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A70BA">
      <w:pPr>
        <w:pStyle w:val="11"/>
        <w:jc w:val="center"/>
        <w:outlineLvl w:val="1"/>
      </w:pPr>
      <w:r>
        <w:rPr>
          <w:rFonts w:ascii="仿宋_GB2312" w:hAnsi="仿宋_GB2312" w:eastAsia="仿宋_GB2312" w:cs="仿宋_GB2312"/>
          <w:b/>
          <w:sz w:val="36"/>
        </w:rPr>
        <w:t>拟签订采购合同文本</w:t>
      </w:r>
    </w:p>
    <w:p w14:paraId="5FE2F2A7">
      <w:pPr>
        <w:spacing w:line="520" w:lineRule="exact"/>
        <w:jc w:val="center"/>
        <w:rPr>
          <w:rFonts w:hint="eastAsia" w:ascii="仿宋_GB2312" w:hAnsi="仿宋_GB2312" w:eastAsia="仿宋_GB2312" w:cs="仿宋_GB2312"/>
          <w:b/>
          <w:snapToGrid/>
          <w:color w:val="auto"/>
          <w:kern w:val="0"/>
          <w:sz w:val="36"/>
          <w:szCs w:val="20"/>
          <w:lang w:val="en-US" w:eastAsia="zh-Hans"/>
        </w:rPr>
      </w:pPr>
    </w:p>
    <w:p w14:paraId="143A047E">
      <w:pPr>
        <w:spacing w:line="520" w:lineRule="exact"/>
        <w:jc w:val="center"/>
        <w:rPr>
          <w:rFonts w:hint="eastAsia" w:ascii="仿宋_GB2312" w:hAnsi="仿宋_GB2312" w:eastAsia="仿宋_GB2312" w:cs="仿宋_GB2312"/>
          <w:b/>
          <w:snapToGrid/>
          <w:color w:val="auto"/>
          <w:kern w:val="0"/>
          <w:sz w:val="36"/>
          <w:szCs w:val="20"/>
          <w:lang w:val="en-US" w:eastAsia="zh-Hans"/>
        </w:rPr>
      </w:pPr>
      <w:r>
        <w:rPr>
          <w:rFonts w:hint="eastAsia" w:ascii="仿宋_GB2312" w:hAnsi="仿宋_GB2312" w:eastAsia="仿宋_GB2312" w:cs="仿宋_GB2312"/>
          <w:b/>
          <w:snapToGrid/>
          <w:color w:val="auto"/>
          <w:kern w:val="0"/>
          <w:sz w:val="36"/>
          <w:szCs w:val="20"/>
          <w:lang w:val="en-US" w:eastAsia="zh-Hans"/>
        </w:rPr>
        <w:t>陕西省教育考试专网租用项目服务合同</w:t>
      </w:r>
    </w:p>
    <w:p w14:paraId="60D8522A">
      <w:pPr>
        <w:jc w:val="center"/>
        <w:rPr>
          <w:rFonts w:hint="eastAsia" w:ascii="仿宋" w:hAnsi="仿宋" w:eastAsia="仿宋" w:cs="仿宋"/>
          <w:b/>
          <w:sz w:val="20"/>
          <w:szCs w:val="20"/>
        </w:rPr>
      </w:pPr>
    </w:p>
    <w:p w14:paraId="3B1E1D9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甲方：陕西省教育考试院</w:t>
      </w:r>
    </w:p>
    <w:p w14:paraId="732082E1">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乙方： </w:t>
      </w:r>
    </w:p>
    <w:p w14:paraId="295F2783">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在陕西省财政厅的监督管理下，按照政府采购程序组织公开招标，确定乙方为</w:t>
      </w:r>
      <w:r>
        <w:rPr>
          <w:rFonts w:hint="eastAsia" w:ascii="仿宋" w:hAnsi="仿宋" w:eastAsia="仿宋" w:cs="仿宋"/>
          <w:sz w:val="20"/>
          <w:szCs w:val="20"/>
          <w:u w:val="single"/>
        </w:rPr>
        <w:t xml:space="preserve">（项目名称）          </w:t>
      </w:r>
      <w:r>
        <w:rPr>
          <w:rFonts w:hint="eastAsia" w:ascii="仿宋" w:hAnsi="仿宋" w:eastAsia="仿宋" w:cs="仿宋"/>
          <w:sz w:val="20"/>
          <w:szCs w:val="20"/>
        </w:rPr>
        <w:t>（项目编号：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）中标人。依据《中华人民共和国政府采购法》、《中华人民共和国民法典》以及招标文件、中标通知书，经甲、乙双方协商，达成如下合同条款。</w:t>
      </w:r>
    </w:p>
    <w:p w14:paraId="6A7562D9">
      <w:pPr>
        <w:pStyle w:val="12"/>
        <w:widowControl w:val="0"/>
        <w:numPr>
          <w:ilvl w:val="0"/>
          <w:numId w:val="1"/>
        </w:numPr>
        <w:tabs>
          <w:tab w:val="left" w:pos="480"/>
        </w:tabs>
        <w:spacing w:line="360" w:lineRule="auto"/>
        <w:ind w:left="482"/>
        <w:jc w:val="both"/>
        <w:rPr>
          <w:rFonts w:hint="eastAsia" w:ascii="仿宋" w:hAnsi="仿宋" w:eastAsia="仿宋" w:cs="仿宋"/>
          <w:b/>
          <w:sz w:val="20"/>
          <w:szCs w:val="20"/>
        </w:rPr>
      </w:pPr>
      <w:r>
        <w:rPr>
          <w:rFonts w:hint="eastAsia" w:ascii="仿宋" w:hAnsi="仿宋" w:eastAsia="仿宋" w:cs="仿宋"/>
          <w:b/>
          <w:sz w:val="20"/>
          <w:szCs w:val="20"/>
        </w:rPr>
        <w:t>合同标的物内容及数量</w:t>
      </w:r>
    </w:p>
    <w:p w14:paraId="0C9462EA">
      <w:pPr>
        <w:tabs>
          <w:tab w:val="left" w:pos="480"/>
        </w:tabs>
        <w:spacing w:line="360" w:lineRule="auto"/>
        <w:ind w:left="-238"/>
        <w:rPr>
          <w:rFonts w:hint="eastAsia" w:ascii="仿宋" w:hAnsi="仿宋" w:eastAsia="仿宋" w:cs="仿宋"/>
          <w:b/>
          <w:spacing w:val="-20"/>
          <w:kern w:val="0"/>
          <w:sz w:val="20"/>
          <w:szCs w:val="20"/>
        </w:rPr>
      </w:pPr>
      <w:r>
        <w:rPr>
          <w:rFonts w:hint="eastAsia" w:ascii="仿宋" w:hAnsi="仿宋" w:eastAsia="仿宋" w:cs="仿宋"/>
          <w:b/>
          <w:sz w:val="20"/>
          <w:szCs w:val="20"/>
        </w:rPr>
        <w:t>（一）</w:t>
      </w:r>
      <w:r>
        <w:rPr>
          <w:rFonts w:hint="eastAsia" w:ascii="仿宋" w:hAnsi="仿宋" w:eastAsia="仿宋" w:cs="仿宋"/>
          <w:sz w:val="20"/>
          <w:szCs w:val="20"/>
        </w:rPr>
        <w:t>专网数量及带宽要求</w:t>
      </w:r>
    </w:p>
    <w:tbl>
      <w:tblPr>
        <w:tblStyle w:val="7"/>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1000"/>
        <w:gridCol w:w="992"/>
        <w:gridCol w:w="851"/>
        <w:gridCol w:w="815"/>
        <w:gridCol w:w="883"/>
        <w:gridCol w:w="1262"/>
        <w:gridCol w:w="1262"/>
        <w:gridCol w:w="1164"/>
      </w:tblGrid>
      <w:tr w14:paraId="24C9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980" w:type="dxa"/>
            <w:vMerge w:val="restart"/>
            <w:tcBorders>
              <w:tl2br w:val="single" w:color="auto" w:sz="4" w:space="0"/>
            </w:tcBorders>
            <w:noWrap w:val="0"/>
            <w:vAlign w:val="center"/>
          </w:tcPr>
          <w:p w14:paraId="0D02FF47">
            <w:pPr>
              <w:pStyle w:val="13"/>
              <w:keepNext w:val="0"/>
              <w:keepLines w:val="0"/>
              <w:widowControl/>
              <w:suppressLineNumbers w:val="0"/>
              <w:spacing w:before="0" w:beforeAutospacing="0" w:after="0" w:afterAutospacing="0" w:line="360" w:lineRule="auto"/>
              <w:ind w:left="0" w:right="0"/>
              <w:jc w:val="right"/>
              <w:rPr>
                <w:rFonts w:hint="eastAsia" w:ascii="仿宋" w:hAnsi="仿宋" w:eastAsia="仿宋" w:cs="仿宋"/>
                <w:kern w:val="2"/>
                <w:sz w:val="20"/>
                <w:szCs w:val="20"/>
              </w:rPr>
            </w:pPr>
            <w:r>
              <w:rPr>
                <w:rFonts w:hint="eastAsia" w:ascii="仿宋" w:hAnsi="仿宋" w:eastAsia="仿宋" w:cs="仿宋"/>
                <w:kern w:val="2"/>
                <w:sz w:val="20"/>
                <w:szCs w:val="20"/>
              </w:rPr>
              <w:t>分类</w:t>
            </w:r>
          </w:p>
          <w:p w14:paraId="7005BD84">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p w14:paraId="28323906">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地市</w:t>
            </w:r>
          </w:p>
        </w:tc>
        <w:tc>
          <w:tcPr>
            <w:tcW w:w="1000" w:type="dxa"/>
            <w:noWrap w:val="0"/>
            <w:vAlign w:val="center"/>
          </w:tcPr>
          <w:p w14:paraId="2862113E">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互联网</w:t>
            </w:r>
          </w:p>
        </w:tc>
        <w:tc>
          <w:tcPr>
            <w:tcW w:w="7229" w:type="dxa"/>
            <w:gridSpan w:val="7"/>
            <w:noWrap w:val="0"/>
            <w:vAlign w:val="center"/>
          </w:tcPr>
          <w:p w14:paraId="671892DC">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专网</w:t>
            </w:r>
          </w:p>
        </w:tc>
      </w:tr>
      <w:tr w14:paraId="0BA70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980" w:type="dxa"/>
            <w:vMerge w:val="continue"/>
            <w:tcBorders>
              <w:tl2br w:val="single" w:color="auto" w:sz="4" w:space="0"/>
            </w:tcBorders>
            <w:noWrap w:val="0"/>
            <w:vAlign w:val="center"/>
          </w:tcPr>
          <w:p w14:paraId="6A3CE23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000" w:type="dxa"/>
            <w:noWrap w:val="0"/>
            <w:vAlign w:val="center"/>
          </w:tcPr>
          <w:p w14:paraId="2ABB2EBE">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1000M</w:t>
            </w:r>
          </w:p>
          <w:p w14:paraId="04C542FC">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出口</w:t>
            </w:r>
          </w:p>
        </w:tc>
        <w:tc>
          <w:tcPr>
            <w:tcW w:w="992" w:type="dxa"/>
            <w:noWrap w:val="0"/>
            <w:vAlign w:val="center"/>
          </w:tcPr>
          <w:p w14:paraId="2D90ABCA">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省中心100M</w:t>
            </w:r>
          </w:p>
          <w:p w14:paraId="37A5BC48">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接口</w:t>
            </w:r>
          </w:p>
        </w:tc>
        <w:tc>
          <w:tcPr>
            <w:tcW w:w="851" w:type="dxa"/>
            <w:noWrap w:val="0"/>
            <w:vAlign w:val="center"/>
          </w:tcPr>
          <w:p w14:paraId="7D688DB8">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市级中心100M</w:t>
            </w:r>
          </w:p>
          <w:p w14:paraId="39895E3E">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接口</w:t>
            </w:r>
          </w:p>
        </w:tc>
        <w:tc>
          <w:tcPr>
            <w:tcW w:w="815" w:type="dxa"/>
            <w:noWrap w:val="0"/>
            <w:vAlign w:val="center"/>
          </w:tcPr>
          <w:p w14:paraId="25F1812E">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区县中心100M接口</w:t>
            </w:r>
          </w:p>
        </w:tc>
        <w:tc>
          <w:tcPr>
            <w:tcW w:w="883" w:type="dxa"/>
            <w:noWrap w:val="0"/>
            <w:vAlign w:val="center"/>
          </w:tcPr>
          <w:p w14:paraId="333C3E66">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考点100M接口</w:t>
            </w:r>
          </w:p>
        </w:tc>
        <w:tc>
          <w:tcPr>
            <w:tcW w:w="1262" w:type="dxa"/>
            <w:noWrap w:val="0"/>
            <w:vAlign w:val="center"/>
          </w:tcPr>
          <w:p w14:paraId="21198677">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阅卷点100M</w:t>
            </w:r>
          </w:p>
          <w:p w14:paraId="3597AAC7">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接口</w:t>
            </w:r>
          </w:p>
        </w:tc>
        <w:tc>
          <w:tcPr>
            <w:tcW w:w="1262" w:type="dxa"/>
            <w:noWrap w:val="0"/>
            <w:vAlign w:val="center"/>
          </w:tcPr>
          <w:p w14:paraId="5339DD03">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招生录取现场100M接口</w:t>
            </w:r>
          </w:p>
        </w:tc>
        <w:tc>
          <w:tcPr>
            <w:tcW w:w="1164" w:type="dxa"/>
            <w:noWrap w:val="0"/>
            <w:vAlign w:val="center"/>
          </w:tcPr>
          <w:p w14:paraId="5BCA976C">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试卷印刷厂100M</w:t>
            </w:r>
          </w:p>
          <w:p w14:paraId="419933E8">
            <w:pPr>
              <w:pStyle w:val="13"/>
              <w:keepNext w:val="0"/>
              <w:keepLines w:val="0"/>
              <w:widowControl/>
              <w:suppressLineNumbers w:val="0"/>
              <w:spacing w:before="0" w:beforeAutospacing="0" w:after="0" w:afterAutospacing="0" w:line="360" w:lineRule="auto"/>
              <w:ind w:left="0" w:right="0"/>
              <w:jc w:val="center"/>
              <w:rPr>
                <w:rFonts w:hint="eastAsia" w:ascii="仿宋" w:hAnsi="仿宋" w:eastAsia="仿宋" w:cs="仿宋"/>
                <w:kern w:val="2"/>
                <w:sz w:val="20"/>
                <w:szCs w:val="20"/>
              </w:rPr>
            </w:pPr>
            <w:r>
              <w:rPr>
                <w:rFonts w:hint="eastAsia" w:ascii="仿宋" w:hAnsi="仿宋" w:eastAsia="仿宋" w:cs="仿宋"/>
                <w:kern w:val="2"/>
                <w:sz w:val="20"/>
                <w:szCs w:val="20"/>
              </w:rPr>
              <w:t>接口</w:t>
            </w:r>
          </w:p>
        </w:tc>
      </w:tr>
      <w:tr w14:paraId="08ED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17F318BC">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陕西省</w:t>
            </w:r>
          </w:p>
        </w:tc>
        <w:tc>
          <w:tcPr>
            <w:tcW w:w="1000" w:type="dxa"/>
            <w:noWrap w:val="0"/>
            <w:vAlign w:val="center"/>
          </w:tcPr>
          <w:p w14:paraId="5810C95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5F56925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651E753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02B037BB">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4DA53036">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4FE4B43F">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420A1BE2">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3A307AAC">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7DAB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7055C31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西安市</w:t>
            </w:r>
          </w:p>
        </w:tc>
        <w:tc>
          <w:tcPr>
            <w:tcW w:w="1000" w:type="dxa"/>
            <w:noWrap w:val="0"/>
            <w:vAlign w:val="center"/>
          </w:tcPr>
          <w:p w14:paraId="0DE065A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503C897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26C8BE7C">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48852768">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2417C82F">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2F84C08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3095E955">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524742D6">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02C58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19735643">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铜川市</w:t>
            </w:r>
          </w:p>
        </w:tc>
        <w:tc>
          <w:tcPr>
            <w:tcW w:w="1000" w:type="dxa"/>
            <w:noWrap w:val="0"/>
            <w:vAlign w:val="center"/>
          </w:tcPr>
          <w:p w14:paraId="01997C96">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51F1F54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6D1A546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0232710B">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5B93F1F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232300C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6DF29D1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497299B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5A62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24FFA899">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宝鸡市</w:t>
            </w:r>
          </w:p>
        </w:tc>
        <w:tc>
          <w:tcPr>
            <w:tcW w:w="1000" w:type="dxa"/>
            <w:noWrap w:val="0"/>
            <w:vAlign w:val="center"/>
          </w:tcPr>
          <w:p w14:paraId="7609EF4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60C2E289">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3A2F1D0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1531596B">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4B34CB7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44C6B119">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5BD9DB08">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297E5BF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6871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4804648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咸阳市</w:t>
            </w:r>
          </w:p>
        </w:tc>
        <w:tc>
          <w:tcPr>
            <w:tcW w:w="1000" w:type="dxa"/>
            <w:noWrap w:val="0"/>
            <w:vAlign w:val="center"/>
          </w:tcPr>
          <w:p w14:paraId="711BCDB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4C32C0C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3484D46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76742A9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59E17F0F">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7121D5D9">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1A244D1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0C7BD7C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46B56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17B0C5B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渭南市</w:t>
            </w:r>
          </w:p>
        </w:tc>
        <w:tc>
          <w:tcPr>
            <w:tcW w:w="1000" w:type="dxa"/>
            <w:noWrap w:val="0"/>
            <w:vAlign w:val="center"/>
          </w:tcPr>
          <w:p w14:paraId="7D1A011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3B02AD39">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5F874DF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580AEE54">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1D19D554">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3C6456F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534E8212">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5BEB50C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40257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25AC82B2">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榆林市</w:t>
            </w:r>
          </w:p>
        </w:tc>
        <w:tc>
          <w:tcPr>
            <w:tcW w:w="1000" w:type="dxa"/>
            <w:noWrap w:val="0"/>
            <w:vAlign w:val="center"/>
          </w:tcPr>
          <w:p w14:paraId="766D4A6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3C9B5A9B">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5E3CA85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2B6DF4D8">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6A21081C">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1163073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501DFF6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684FF2F8">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6293B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11A55FAC">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延安市</w:t>
            </w:r>
          </w:p>
        </w:tc>
        <w:tc>
          <w:tcPr>
            <w:tcW w:w="1000" w:type="dxa"/>
            <w:noWrap w:val="0"/>
            <w:vAlign w:val="center"/>
          </w:tcPr>
          <w:p w14:paraId="49D7653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6888C7C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46D5EC79">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30B2220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5978A6A6">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7F1B50CB">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137AECB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23C5A4C8">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4C07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5CB8CE3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汉中市</w:t>
            </w:r>
          </w:p>
        </w:tc>
        <w:tc>
          <w:tcPr>
            <w:tcW w:w="1000" w:type="dxa"/>
            <w:noWrap w:val="0"/>
            <w:vAlign w:val="center"/>
          </w:tcPr>
          <w:p w14:paraId="2E75CBD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07DECA7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4DFD8F1F">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168991B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647D5AEC">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3A3BCF2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20468312">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1BDD754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6F4D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1987039C">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安康市</w:t>
            </w:r>
          </w:p>
        </w:tc>
        <w:tc>
          <w:tcPr>
            <w:tcW w:w="1000" w:type="dxa"/>
            <w:noWrap w:val="0"/>
            <w:vAlign w:val="center"/>
          </w:tcPr>
          <w:p w14:paraId="5ADB208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19824A4B">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15B7F81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72706D84">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322723B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0CCCD76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4170F7F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2FBF5CDC">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609E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7A653065">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商洛市</w:t>
            </w:r>
          </w:p>
        </w:tc>
        <w:tc>
          <w:tcPr>
            <w:tcW w:w="1000" w:type="dxa"/>
            <w:noWrap w:val="0"/>
            <w:vAlign w:val="center"/>
          </w:tcPr>
          <w:p w14:paraId="1C20B6F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7D8CDEB4">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7F18711F">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00915FDB">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32B50845">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1C1E0D8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00D9A3C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0007609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36C5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26BDF394">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杨凌区</w:t>
            </w:r>
          </w:p>
        </w:tc>
        <w:tc>
          <w:tcPr>
            <w:tcW w:w="1000" w:type="dxa"/>
            <w:noWrap w:val="0"/>
            <w:vAlign w:val="center"/>
          </w:tcPr>
          <w:p w14:paraId="4FBC66D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4875A57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4F1322A2">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3C244B73">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3397BCB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712E13E4">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472D19C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5DB656BE">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6B2B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1E651326">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合计</w:t>
            </w:r>
          </w:p>
        </w:tc>
        <w:tc>
          <w:tcPr>
            <w:tcW w:w="1000" w:type="dxa"/>
            <w:noWrap w:val="0"/>
            <w:vAlign w:val="center"/>
          </w:tcPr>
          <w:p w14:paraId="4C379A2D">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992" w:type="dxa"/>
            <w:noWrap w:val="0"/>
            <w:vAlign w:val="center"/>
          </w:tcPr>
          <w:p w14:paraId="6026A927">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51" w:type="dxa"/>
            <w:noWrap w:val="0"/>
            <w:vAlign w:val="center"/>
          </w:tcPr>
          <w:p w14:paraId="21964D72">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15" w:type="dxa"/>
            <w:noWrap w:val="0"/>
            <w:vAlign w:val="center"/>
          </w:tcPr>
          <w:p w14:paraId="05173A9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883" w:type="dxa"/>
            <w:noWrap w:val="0"/>
            <w:vAlign w:val="center"/>
          </w:tcPr>
          <w:p w14:paraId="1A12816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727A8380">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262" w:type="dxa"/>
            <w:noWrap w:val="0"/>
            <w:vAlign w:val="center"/>
          </w:tcPr>
          <w:p w14:paraId="47163739">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0E8E274B">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r w14:paraId="747D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980" w:type="dxa"/>
            <w:noWrap w:val="0"/>
            <w:vAlign w:val="center"/>
          </w:tcPr>
          <w:p w14:paraId="4AAA4C5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r>
              <w:rPr>
                <w:rFonts w:hint="eastAsia" w:ascii="仿宋" w:hAnsi="仿宋" w:eastAsia="仿宋" w:cs="仿宋"/>
                <w:kern w:val="2"/>
                <w:sz w:val="20"/>
                <w:szCs w:val="20"/>
              </w:rPr>
              <w:t>总计</w:t>
            </w:r>
          </w:p>
        </w:tc>
        <w:tc>
          <w:tcPr>
            <w:tcW w:w="1000" w:type="dxa"/>
            <w:noWrap w:val="0"/>
            <w:vAlign w:val="center"/>
          </w:tcPr>
          <w:p w14:paraId="31F24EEA">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6065" w:type="dxa"/>
            <w:gridSpan w:val="6"/>
            <w:noWrap w:val="0"/>
            <w:vAlign w:val="center"/>
          </w:tcPr>
          <w:p w14:paraId="68322841">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c>
          <w:tcPr>
            <w:tcW w:w="1164" w:type="dxa"/>
            <w:noWrap w:val="0"/>
            <w:vAlign w:val="center"/>
          </w:tcPr>
          <w:p w14:paraId="16881EEF">
            <w:pPr>
              <w:pStyle w:val="13"/>
              <w:keepNext w:val="0"/>
              <w:keepLines w:val="0"/>
              <w:widowControl/>
              <w:suppressLineNumbers w:val="0"/>
              <w:spacing w:before="0" w:beforeAutospacing="0" w:after="0" w:afterAutospacing="0" w:line="360" w:lineRule="auto"/>
              <w:ind w:left="0" w:right="0"/>
              <w:rPr>
                <w:rFonts w:hint="eastAsia" w:ascii="仿宋" w:hAnsi="仿宋" w:eastAsia="仿宋" w:cs="仿宋"/>
                <w:kern w:val="2"/>
                <w:sz w:val="20"/>
                <w:szCs w:val="20"/>
              </w:rPr>
            </w:pPr>
          </w:p>
        </w:tc>
      </w:tr>
    </w:tbl>
    <w:p w14:paraId="10F0D01B">
      <w:pPr>
        <w:snapToGrid w:val="0"/>
        <w:spacing w:line="360" w:lineRule="auto"/>
        <w:rPr>
          <w:rFonts w:hint="eastAsia" w:ascii="仿宋" w:hAnsi="仿宋" w:eastAsia="仿宋" w:cs="仿宋"/>
          <w:b/>
          <w:sz w:val="20"/>
          <w:szCs w:val="20"/>
        </w:rPr>
      </w:pPr>
      <w:r>
        <w:rPr>
          <w:rFonts w:hint="eastAsia" w:ascii="仿宋" w:hAnsi="仿宋" w:eastAsia="仿宋" w:cs="仿宋"/>
          <w:b/>
          <w:sz w:val="20"/>
          <w:szCs w:val="20"/>
        </w:rPr>
        <w:t>（二）总体设计</w:t>
      </w:r>
    </w:p>
    <w:p w14:paraId="6DE216CC">
      <w:pPr>
        <w:snapToGrid w:val="0"/>
        <w:spacing w:line="360" w:lineRule="auto"/>
        <w:rPr>
          <w:rFonts w:hint="eastAsia" w:ascii="仿宋" w:hAnsi="仿宋" w:eastAsia="仿宋" w:cs="仿宋"/>
          <w:sz w:val="20"/>
          <w:szCs w:val="20"/>
        </w:rPr>
      </w:pPr>
      <w:r>
        <w:rPr>
          <w:rFonts w:hint="eastAsia" w:ascii="仿宋" w:hAnsi="仿宋" w:eastAsia="仿宋" w:cs="仿宋"/>
          <w:sz w:val="20"/>
          <w:szCs w:val="20"/>
        </w:rPr>
        <w:t>1、考试院节点建设：</w:t>
      </w:r>
    </w:p>
    <w:p w14:paraId="0AFB2441">
      <w:pPr>
        <w:spacing w:line="360" w:lineRule="auto"/>
        <w:rPr>
          <w:rFonts w:hint="eastAsia" w:ascii="仿宋" w:hAnsi="仿宋" w:eastAsia="仿宋" w:cs="仿宋"/>
          <w:sz w:val="20"/>
          <w:szCs w:val="20"/>
        </w:rPr>
      </w:pPr>
      <w:r>
        <w:rPr>
          <w:rFonts w:hint="eastAsia" w:ascii="仿宋" w:hAnsi="仿宋" w:eastAsia="仿宋" w:cs="仿宋"/>
          <w:sz w:val="20"/>
          <w:szCs w:val="20"/>
        </w:rPr>
        <w:t>考试院专网汇聚为</w:t>
      </w:r>
      <w:r>
        <w:rPr>
          <w:rFonts w:hint="eastAsia" w:ascii="仿宋" w:hAnsi="仿宋" w:eastAsia="仿宋" w:cs="仿宋"/>
          <w:sz w:val="20"/>
          <w:szCs w:val="20"/>
          <w:u w:val="single"/>
        </w:rPr>
        <w:t xml:space="preserve">     </w:t>
      </w:r>
      <w:r>
        <w:rPr>
          <w:rFonts w:hint="eastAsia" w:ascii="仿宋" w:hAnsi="仿宋" w:eastAsia="仿宋" w:cs="仿宋"/>
          <w:sz w:val="20"/>
          <w:szCs w:val="20"/>
        </w:rPr>
        <w:t>个节点，设备为</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3A89ADC3">
      <w:pPr>
        <w:snapToGrid w:val="0"/>
        <w:spacing w:line="360" w:lineRule="auto"/>
        <w:rPr>
          <w:rFonts w:hint="eastAsia" w:ascii="仿宋" w:hAnsi="仿宋" w:eastAsia="仿宋" w:cs="仿宋"/>
          <w:sz w:val="20"/>
          <w:szCs w:val="20"/>
        </w:rPr>
      </w:pPr>
      <w:r>
        <w:rPr>
          <w:rFonts w:hint="eastAsia" w:ascii="仿宋" w:hAnsi="仿宋" w:eastAsia="仿宋" w:cs="仿宋"/>
          <w:sz w:val="20"/>
          <w:szCs w:val="20"/>
        </w:rPr>
        <w:t>2、市级中心节点建设：</w:t>
      </w:r>
    </w:p>
    <w:p w14:paraId="2EA3A5D0">
      <w:pPr>
        <w:spacing w:line="360" w:lineRule="auto"/>
        <w:rPr>
          <w:rFonts w:hint="eastAsia" w:ascii="仿宋" w:hAnsi="仿宋" w:eastAsia="仿宋" w:cs="仿宋"/>
          <w:sz w:val="20"/>
          <w:szCs w:val="20"/>
        </w:rPr>
      </w:pPr>
      <w:r>
        <w:rPr>
          <w:rFonts w:hint="eastAsia" w:ascii="仿宋" w:hAnsi="仿宋" w:eastAsia="仿宋" w:cs="仿宋"/>
          <w:sz w:val="20"/>
          <w:szCs w:val="20"/>
        </w:rPr>
        <w:t>市级汇聚为</w:t>
      </w:r>
      <w:r>
        <w:rPr>
          <w:rFonts w:hint="eastAsia" w:ascii="仿宋" w:hAnsi="仿宋" w:eastAsia="仿宋" w:cs="仿宋"/>
          <w:sz w:val="20"/>
          <w:szCs w:val="20"/>
          <w:u w:val="single"/>
        </w:rPr>
        <w:t xml:space="preserve">     </w:t>
      </w:r>
      <w:r>
        <w:rPr>
          <w:rFonts w:hint="eastAsia" w:ascii="仿宋" w:hAnsi="仿宋" w:eastAsia="仿宋" w:cs="仿宋"/>
          <w:sz w:val="20"/>
          <w:szCs w:val="20"/>
        </w:rPr>
        <w:t>个点位，设备为</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3AC5C96D">
      <w:pPr>
        <w:snapToGrid w:val="0"/>
        <w:spacing w:line="360" w:lineRule="auto"/>
        <w:rPr>
          <w:rFonts w:hint="eastAsia" w:ascii="仿宋" w:hAnsi="仿宋" w:eastAsia="仿宋" w:cs="仿宋"/>
          <w:sz w:val="20"/>
          <w:szCs w:val="20"/>
        </w:rPr>
      </w:pPr>
      <w:r>
        <w:rPr>
          <w:rFonts w:hint="eastAsia" w:ascii="仿宋" w:hAnsi="仿宋" w:eastAsia="仿宋" w:cs="仿宋"/>
          <w:sz w:val="20"/>
          <w:szCs w:val="20"/>
        </w:rPr>
        <w:t>3、区、县中心节点建设</w:t>
      </w:r>
    </w:p>
    <w:p w14:paraId="35B8DF55">
      <w:pPr>
        <w:spacing w:line="360" w:lineRule="auto"/>
        <w:rPr>
          <w:rFonts w:hint="eastAsia" w:ascii="仿宋" w:hAnsi="仿宋" w:eastAsia="仿宋" w:cs="仿宋"/>
          <w:sz w:val="20"/>
          <w:szCs w:val="20"/>
        </w:rPr>
      </w:pPr>
      <w:r>
        <w:rPr>
          <w:rFonts w:hint="eastAsia" w:ascii="仿宋" w:hAnsi="仿宋" w:eastAsia="仿宋" w:cs="仿宋"/>
          <w:sz w:val="20"/>
          <w:szCs w:val="20"/>
        </w:rPr>
        <w:t>区、县中心</w:t>
      </w:r>
      <w:r>
        <w:rPr>
          <w:rFonts w:hint="eastAsia" w:ascii="仿宋" w:hAnsi="仿宋" w:eastAsia="仿宋" w:cs="仿宋"/>
          <w:sz w:val="20"/>
          <w:szCs w:val="20"/>
          <w:u w:val="single"/>
        </w:rPr>
        <w:t xml:space="preserve">     </w:t>
      </w:r>
      <w:r>
        <w:rPr>
          <w:rFonts w:hint="eastAsia" w:ascii="仿宋" w:hAnsi="仿宋" w:eastAsia="仿宋" w:cs="仿宋"/>
          <w:sz w:val="20"/>
          <w:szCs w:val="20"/>
        </w:rPr>
        <w:t>个接入点，设备为</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5321A3F7">
      <w:pPr>
        <w:pStyle w:val="12"/>
        <w:widowControl w:val="0"/>
        <w:numPr>
          <w:ilvl w:val="0"/>
          <w:numId w:val="2"/>
        </w:numPr>
        <w:snapToGrid w:val="0"/>
        <w:spacing w:line="360" w:lineRule="auto"/>
        <w:jc w:val="both"/>
        <w:rPr>
          <w:rFonts w:hint="eastAsia" w:ascii="仿宋" w:hAnsi="仿宋" w:eastAsia="仿宋" w:cs="仿宋"/>
          <w:sz w:val="20"/>
          <w:szCs w:val="20"/>
        </w:rPr>
      </w:pPr>
      <w:r>
        <w:rPr>
          <w:rFonts w:hint="eastAsia" w:ascii="仿宋" w:hAnsi="仿宋" w:eastAsia="仿宋" w:cs="仿宋"/>
          <w:sz w:val="20"/>
          <w:szCs w:val="20"/>
        </w:rPr>
        <w:t>标准化考点建设</w:t>
      </w:r>
    </w:p>
    <w:p w14:paraId="44FA567B">
      <w:pPr>
        <w:spacing w:line="360" w:lineRule="auto"/>
        <w:rPr>
          <w:rFonts w:hint="eastAsia" w:ascii="仿宋" w:hAnsi="仿宋" w:eastAsia="仿宋" w:cs="仿宋"/>
          <w:sz w:val="20"/>
          <w:szCs w:val="20"/>
        </w:rPr>
      </w:pPr>
      <w:r>
        <w:rPr>
          <w:rFonts w:hint="eastAsia" w:ascii="仿宋" w:hAnsi="仿宋" w:eastAsia="仿宋" w:cs="仿宋"/>
          <w:sz w:val="20"/>
          <w:szCs w:val="20"/>
        </w:rPr>
        <w:t>标准化考点</w:t>
      </w:r>
      <w:r>
        <w:rPr>
          <w:rFonts w:hint="eastAsia" w:ascii="仿宋" w:hAnsi="仿宋" w:eastAsia="仿宋" w:cs="仿宋"/>
          <w:sz w:val="20"/>
          <w:szCs w:val="20"/>
          <w:u w:val="single"/>
        </w:rPr>
        <w:t xml:space="preserve">     </w:t>
      </w:r>
      <w:r>
        <w:rPr>
          <w:rFonts w:hint="eastAsia" w:ascii="仿宋" w:hAnsi="仿宋" w:eastAsia="仿宋" w:cs="仿宋"/>
          <w:sz w:val="20"/>
          <w:szCs w:val="20"/>
        </w:rPr>
        <w:t>个，设备为</w:t>
      </w:r>
      <w:r>
        <w:rPr>
          <w:rFonts w:hint="eastAsia" w:ascii="仿宋" w:hAnsi="仿宋" w:eastAsia="仿宋" w:cs="仿宋"/>
          <w:sz w:val="20"/>
          <w:szCs w:val="20"/>
          <w:u w:val="single"/>
        </w:rPr>
        <w:t xml:space="preserve">            </w:t>
      </w:r>
      <w:r>
        <w:rPr>
          <w:rFonts w:hint="eastAsia" w:ascii="仿宋" w:hAnsi="仿宋" w:eastAsia="仿宋" w:cs="仿宋"/>
          <w:sz w:val="20"/>
          <w:szCs w:val="20"/>
        </w:rPr>
        <w:t>。</w:t>
      </w:r>
      <w:bookmarkStart w:id="0" w:name="_Toc5643891"/>
    </w:p>
    <w:p w14:paraId="2D4B1272">
      <w:pPr>
        <w:spacing w:line="360" w:lineRule="auto"/>
        <w:rPr>
          <w:rFonts w:hint="eastAsia" w:ascii="仿宋" w:hAnsi="仿宋" w:eastAsia="仿宋" w:cs="仿宋"/>
          <w:sz w:val="20"/>
          <w:szCs w:val="20"/>
        </w:rPr>
      </w:pPr>
      <w:r>
        <w:rPr>
          <w:rFonts w:hint="eastAsia" w:ascii="仿宋" w:hAnsi="仿宋" w:eastAsia="仿宋" w:cs="仿宋"/>
          <w:sz w:val="20"/>
          <w:szCs w:val="20"/>
        </w:rPr>
        <w:t>5、研究生考点、阅卷点、录取现场、印刷厂</w:t>
      </w:r>
      <w:bookmarkEnd w:id="0"/>
      <w:r>
        <w:rPr>
          <w:rFonts w:hint="eastAsia" w:ascii="仿宋" w:hAnsi="仿宋" w:eastAsia="仿宋" w:cs="仿宋"/>
          <w:sz w:val="20"/>
          <w:szCs w:val="20"/>
        </w:rPr>
        <w:t>节点以及备用线路建设</w:t>
      </w:r>
    </w:p>
    <w:p w14:paraId="56B46F27">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本次研究生考点、阅卷点、录取现场、印刷厂以及34条备用线路网关采用</w:t>
      </w:r>
      <w:r>
        <w:rPr>
          <w:rFonts w:hint="eastAsia" w:ascii="仿宋" w:hAnsi="仿宋" w:eastAsia="仿宋" w:cs="仿宋"/>
          <w:sz w:val="20"/>
          <w:szCs w:val="20"/>
          <w:u w:val="single"/>
        </w:rPr>
        <w:t xml:space="preserve">           </w:t>
      </w:r>
      <w:r>
        <w:rPr>
          <w:rFonts w:hint="eastAsia" w:ascii="仿宋" w:hAnsi="仿宋" w:eastAsia="仿宋" w:cs="仿宋"/>
          <w:sz w:val="20"/>
          <w:szCs w:val="20"/>
        </w:rPr>
        <w:t>，负责将研究生考点、阅卷点、录取现场、印刷厂内部数据通过广域网MSTP链路上传至省级平台。路由器业务端口配置4端口千兆Combo接口，4端口RJ45接口，2端口SFP+接口。</w:t>
      </w:r>
      <w:bookmarkStart w:id="1" w:name="_Toc5643892"/>
    </w:p>
    <w:p w14:paraId="4A4F6762">
      <w:pPr>
        <w:spacing w:line="360" w:lineRule="auto"/>
        <w:rPr>
          <w:rFonts w:hint="eastAsia" w:ascii="仿宋" w:hAnsi="仿宋" w:eastAsia="仿宋" w:cs="仿宋"/>
          <w:sz w:val="20"/>
          <w:szCs w:val="20"/>
        </w:rPr>
      </w:pPr>
      <w:r>
        <w:rPr>
          <w:rFonts w:hint="eastAsia" w:ascii="仿宋" w:hAnsi="仿宋" w:eastAsia="仿宋" w:cs="仿宋"/>
          <w:sz w:val="20"/>
          <w:szCs w:val="20"/>
        </w:rPr>
        <w:t>6、网络运维管理设计</w:t>
      </w:r>
      <w:bookmarkEnd w:id="1"/>
    </w:p>
    <w:p w14:paraId="4BA6EE4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网管平台，实现全网网络设备的统一管理，真实展示全网拓扑结构，实现多厂商设备的统一视图、资源、故障、性能管理，同时为客户提供第三方设备的定制能力与告警北向接口，帮助客户打造专属的统一管理系统，降低运维成本，提升运维效率。</w:t>
      </w:r>
    </w:p>
    <w:p w14:paraId="31636449">
      <w:pPr>
        <w:spacing w:line="360" w:lineRule="auto"/>
        <w:rPr>
          <w:rFonts w:hint="eastAsia" w:ascii="仿宋" w:hAnsi="仿宋" w:eastAsia="仿宋" w:cs="仿宋"/>
          <w:sz w:val="20"/>
          <w:szCs w:val="20"/>
        </w:rPr>
      </w:pPr>
      <w:r>
        <w:rPr>
          <w:rFonts w:hint="eastAsia" w:ascii="仿宋" w:hAnsi="仿宋" w:eastAsia="仿宋" w:cs="仿宋"/>
          <w:sz w:val="20"/>
          <w:szCs w:val="20"/>
        </w:rPr>
        <w:t>通过部署网管平台可实现：</w:t>
      </w:r>
    </w:p>
    <w:p w14:paraId="17F37A6D">
      <w:pPr>
        <w:spacing w:line="360" w:lineRule="auto"/>
        <w:rPr>
          <w:rFonts w:hint="eastAsia" w:ascii="仿宋" w:hAnsi="仿宋" w:eastAsia="仿宋" w:cs="仿宋"/>
          <w:sz w:val="20"/>
          <w:szCs w:val="20"/>
        </w:rPr>
      </w:pPr>
      <w:r>
        <w:rPr>
          <w:rFonts w:hint="eastAsia" w:ascii="仿宋" w:hAnsi="仿宋" w:eastAsia="仿宋" w:cs="仿宋"/>
          <w:sz w:val="20"/>
          <w:szCs w:val="20"/>
        </w:rPr>
        <w:t>（内容根据实际网管软件功能添加）</w:t>
      </w:r>
    </w:p>
    <w:p w14:paraId="289A2960">
      <w:pPr>
        <w:snapToGrid w:val="0"/>
        <w:spacing w:line="360" w:lineRule="auto"/>
        <w:rPr>
          <w:rFonts w:hint="eastAsia" w:ascii="仿宋" w:hAnsi="仿宋" w:eastAsia="仿宋" w:cs="仿宋"/>
          <w:b/>
          <w:sz w:val="20"/>
          <w:szCs w:val="20"/>
        </w:rPr>
      </w:pPr>
      <w:r>
        <w:rPr>
          <w:rFonts w:hint="eastAsia" w:ascii="仿宋" w:hAnsi="仿宋" w:eastAsia="仿宋" w:cs="仿宋"/>
          <w:b/>
          <w:sz w:val="20"/>
          <w:szCs w:val="20"/>
        </w:rPr>
        <w:t>7、千兆出口</w:t>
      </w:r>
      <w:r>
        <w:rPr>
          <w:rFonts w:hint="eastAsia" w:ascii="仿宋" w:hAnsi="仿宋" w:eastAsia="仿宋" w:cs="仿宋"/>
          <w:b/>
          <w:sz w:val="20"/>
          <w:szCs w:val="20"/>
          <w:lang w:val="en-US" w:eastAsia="zh-CN"/>
        </w:rPr>
        <w:t>带宽</w:t>
      </w:r>
    </w:p>
    <w:p w14:paraId="217F955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u w:val="single"/>
        </w:rPr>
        <w:t xml:space="preserve">            </w:t>
      </w:r>
      <w:r>
        <w:rPr>
          <w:rFonts w:hint="eastAsia" w:ascii="仿宋" w:hAnsi="仿宋" w:eastAsia="仿宋" w:cs="仿宋"/>
          <w:sz w:val="20"/>
          <w:szCs w:val="20"/>
        </w:rPr>
        <w:t>将为陕西省教育考试院省中心节点提供</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283A9623">
      <w:pPr>
        <w:tabs>
          <w:tab w:val="left" w:pos="480"/>
        </w:tabs>
        <w:spacing w:line="360" w:lineRule="auto"/>
        <w:rPr>
          <w:rFonts w:hint="eastAsia" w:ascii="仿宋" w:hAnsi="仿宋" w:eastAsia="仿宋" w:cs="仿宋"/>
          <w:b/>
          <w:spacing w:val="-20"/>
          <w:kern w:val="0"/>
          <w:sz w:val="20"/>
          <w:szCs w:val="20"/>
        </w:rPr>
      </w:pPr>
      <w:r>
        <w:rPr>
          <w:rFonts w:hint="eastAsia" w:ascii="仿宋" w:hAnsi="仿宋" w:eastAsia="仿宋" w:cs="仿宋"/>
          <w:b/>
          <w:spacing w:val="-20"/>
          <w:kern w:val="0"/>
          <w:sz w:val="20"/>
          <w:szCs w:val="20"/>
        </w:rPr>
        <w:t>二、交付条件：</w:t>
      </w:r>
    </w:p>
    <w:p w14:paraId="434EBBBE">
      <w:pPr>
        <w:spacing w:line="360" w:lineRule="auto"/>
        <w:ind w:left="420"/>
        <w:rPr>
          <w:rFonts w:hint="eastAsia" w:ascii="仿宋" w:hAnsi="仿宋" w:eastAsia="仿宋" w:cs="仿宋"/>
          <w:sz w:val="20"/>
          <w:szCs w:val="20"/>
        </w:rPr>
      </w:pPr>
      <w:r>
        <w:rPr>
          <w:rFonts w:hint="eastAsia" w:ascii="仿宋" w:hAnsi="仿宋" w:eastAsia="仿宋" w:cs="仿宋"/>
          <w:sz w:val="20"/>
          <w:szCs w:val="20"/>
        </w:rPr>
        <w:t>（一）交付地点：</w:t>
      </w:r>
    </w:p>
    <w:p w14:paraId="25426EA0">
      <w:pPr>
        <w:pStyle w:val="4"/>
        <w:spacing w:line="440" w:lineRule="exact"/>
        <w:ind w:firstLine="400" w:firstLineChars="200"/>
        <w:jc w:val="left"/>
        <w:rPr>
          <w:rFonts w:hint="eastAsia" w:ascii="仿宋" w:hAnsi="仿宋" w:eastAsia="仿宋" w:cs="仿宋"/>
          <w:sz w:val="20"/>
          <w:szCs w:val="20"/>
        </w:rPr>
      </w:pPr>
      <w:r>
        <w:rPr>
          <w:rFonts w:hint="eastAsia" w:ascii="仿宋" w:hAnsi="仿宋" w:eastAsia="仿宋" w:cs="仿宋"/>
          <w:sz w:val="20"/>
          <w:szCs w:val="20"/>
        </w:rPr>
        <w:t>（二）</w:t>
      </w:r>
      <w:r>
        <w:rPr>
          <w:rFonts w:hint="eastAsia" w:ascii="仿宋" w:hAnsi="仿宋" w:eastAsia="仿宋" w:cs="仿宋"/>
          <w:kern w:val="0"/>
          <w:sz w:val="20"/>
          <w:szCs w:val="20"/>
        </w:rPr>
        <w:t>项目完工期：</w:t>
      </w:r>
    </w:p>
    <w:p w14:paraId="6F2BA84C">
      <w:pPr>
        <w:spacing w:line="360" w:lineRule="auto"/>
        <w:rPr>
          <w:rFonts w:hint="eastAsia" w:ascii="仿宋" w:hAnsi="仿宋" w:eastAsia="仿宋" w:cs="仿宋"/>
          <w:b/>
          <w:spacing w:val="-20"/>
          <w:kern w:val="0"/>
          <w:sz w:val="20"/>
          <w:szCs w:val="20"/>
        </w:rPr>
      </w:pPr>
      <w:r>
        <w:rPr>
          <w:rFonts w:hint="eastAsia" w:ascii="仿宋" w:hAnsi="仿宋" w:eastAsia="仿宋" w:cs="仿宋"/>
          <w:b/>
          <w:spacing w:val="-20"/>
          <w:kern w:val="0"/>
          <w:sz w:val="20"/>
          <w:szCs w:val="20"/>
        </w:rPr>
        <w:t>三、</w:t>
      </w:r>
      <w:r>
        <w:rPr>
          <w:rFonts w:hint="eastAsia" w:ascii="仿宋" w:hAnsi="仿宋" w:eastAsia="仿宋" w:cs="仿宋"/>
          <w:b/>
          <w:kern w:val="0"/>
          <w:sz w:val="20"/>
          <w:szCs w:val="20"/>
        </w:rPr>
        <w:t>合同价款</w:t>
      </w:r>
    </w:p>
    <w:p w14:paraId="6E46F8E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1、乙方向甲方提供</w:t>
      </w:r>
      <w:r>
        <w:rPr>
          <w:rFonts w:hint="eastAsia" w:ascii="仿宋" w:hAnsi="仿宋" w:eastAsia="仿宋" w:cs="仿宋"/>
          <w:sz w:val="20"/>
          <w:szCs w:val="20"/>
          <w:u w:val="single"/>
        </w:rPr>
        <w:t xml:space="preserve">_   </w:t>
      </w:r>
      <w:r>
        <w:rPr>
          <w:rFonts w:hint="eastAsia" w:ascii="仿宋" w:hAnsi="仿宋" w:eastAsia="仿宋" w:cs="仿宋"/>
          <w:sz w:val="20"/>
          <w:szCs w:val="20"/>
        </w:rPr>
        <w:t>条光纤专线和</w:t>
      </w:r>
      <w:r>
        <w:rPr>
          <w:rFonts w:hint="eastAsia" w:ascii="仿宋" w:hAnsi="仿宋" w:eastAsia="仿宋" w:cs="仿宋"/>
          <w:sz w:val="20"/>
          <w:szCs w:val="20"/>
          <w:u w:val="single"/>
        </w:rPr>
        <w:t xml:space="preserve">    </w:t>
      </w:r>
      <w:r>
        <w:rPr>
          <w:rFonts w:hint="eastAsia" w:ascii="仿宋" w:hAnsi="仿宋" w:eastAsia="仿宋" w:cs="仿宋"/>
          <w:sz w:val="20"/>
          <w:szCs w:val="20"/>
        </w:rPr>
        <w:t>条专线接入服务。</w:t>
      </w:r>
    </w:p>
    <w:p w14:paraId="7976CCDB">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2、1G宽带光纤接入服务费用为</w:t>
      </w:r>
      <w:r>
        <w:rPr>
          <w:rFonts w:hint="eastAsia" w:ascii="仿宋" w:hAnsi="仿宋" w:eastAsia="仿宋" w:cs="仿宋"/>
          <w:sz w:val="20"/>
          <w:szCs w:val="20"/>
          <w:u w:val="single"/>
        </w:rPr>
        <w:t xml:space="preserve">        </w:t>
      </w:r>
      <w:r>
        <w:rPr>
          <w:rFonts w:hint="eastAsia" w:ascii="仿宋" w:hAnsi="仿宋" w:eastAsia="仿宋" w:cs="仿宋"/>
          <w:sz w:val="20"/>
          <w:szCs w:val="20"/>
        </w:rPr>
        <w:t>元/年（</w:t>
      </w:r>
      <w:r>
        <w:rPr>
          <w:rFonts w:hint="eastAsia" w:ascii="仿宋" w:hAnsi="仿宋" w:eastAsia="仿宋" w:cs="仿宋"/>
          <w:sz w:val="20"/>
          <w:szCs w:val="20"/>
          <w:u w:val="single"/>
        </w:rPr>
        <w:t xml:space="preserve">      </w:t>
      </w:r>
      <w:r>
        <w:rPr>
          <w:rFonts w:hint="eastAsia" w:ascii="仿宋" w:hAnsi="仿宋" w:eastAsia="仿宋" w:cs="仿宋"/>
          <w:sz w:val="20"/>
          <w:szCs w:val="20"/>
        </w:rPr>
        <w:t>元/年），</w:t>
      </w:r>
      <w:r>
        <w:rPr>
          <w:rFonts w:hint="eastAsia" w:ascii="仿宋" w:hAnsi="仿宋" w:eastAsia="仿宋" w:cs="仿宋"/>
          <w:sz w:val="20"/>
          <w:szCs w:val="20"/>
          <w:u w:val="single"/>
        </w:rPr>
        <w:t xml:space="preserve">        </w:t>
      </w:r>
      <w:r>
        <w:rPr>
          <w:rFonts w:hint="eastAsia" w:ascii="仿宋" w:hAnsi="仿宋" w:eastAsia="仿宋" w:cs="仿宋"/>
          <w:sz w:val="20"/>
          <w:szCs w:val="20"/>
        </w:rPr>
        <w:t>条ipran专线接入服务费用为</w:t>
      </w:r>
      <w:r>
        <w:rPr>
          <w:rFonts w:hint="eastAsia" w:ascii="仿宋" w:hAnsi="仿宋" w:eastAsia="仿宋" w:cs="仿宋"/>
          <w:sz w:val="20"/>
          <w:szCs w:val="20"/>
          <w:u w:val="single"/>
        </w:rPr>
        <w:t xml:space="preserve">     </w:t>
      </w:r>
      <w:r>
        <w:rPr>
          <w:rFonts w:hint="eastAsia" w:ascii="仿宋" w:hAnsi="仿宋" w:eastAsia="仿宋" w:cs="仿宋"/>
          <w:sz w:val="20"/>
          <w:szCs w:val="20"/>
        </w:rPr>
        <w:t>元/年（</w:t>
      </w:r>
      <w:r>
        <w:rPr>
          <w:rFonts w:hint="eastAsia" w:ascii="仿宋" w:hAnsi="仿宋" w:eastAsia="仿宋" w:cs="仿宋"/>
          <w:sz w:val="20"/>
          <w:szCs w:val="20"/>
          <w:u w:val="single"/>
        </w:rPr>
        <w:t xml:space="preserve">        </w:t>
      </w:r>
      <w:r>
        <w:rPr>
          <w:rFonts w:hint="eastAsia" w:ascii="仿宋" w:hAnsi="仿宋" w:eastAsia="仿宋" w:cs="仿宋"/>
          <w:sz w:val="20"/>
          <w:szCs w:val="20"/>
        </w:rPr>
        <w:t>元/年），即</w:t>
      </w:r>
      <w:r>
        <w:rPr>
          <w:rFonts w:hint="eastAsia" w:ascii="仿宋" w:hAnsi="仿宋" w:eastAsia="仿宋" w:cs="仿宋"/>
          <w:sz w:val="20"/>
          <w:szCs w:val="20"/>
          <w:u w:val="single"/>
        </w:rPr>
        <w:t xml:space="preserve"> _    </w:t>
      </w:r>
      <w:r>
        <w:rPr>
          <w:rFonts w:hint="eastAsia" w:ascii="仿宋" w:hAnsi="仿宋" w:eastAsia="仿宋" w:cs="仿宋"/>
          <w:sz w:val="20"/>
          <w:szCs w:val="20"/>
        </w:rPr>
        <w:t>元/年（</w:t>
      </w:r>
      <w:r>
        <w:rPr>
          <w:rFonts w:hint="eastAsia" w:ascii="仿宋" w:hAnsi="仿宋" w:eastAsia="仿宋" w:cs="仿宋"/>
          <w:sz w:val="20"/>
          <w:szCs w:val="20"/>
          <w:u w:val="single"/>
        </w:rPr>
        <w:t xml:space="preserve">        元/年</w:t>
      </w:r>
      <w:r>
        <w:rPr>
          <w:rFonts w:hint="eastAsia" w:ascii="仿宋" w:hAnsi="仿宋" w:eastAsia="仿宋" w:cs="仿宋"/>
          <w:sz w:val="20"/>
          <w:szCs w:val="20"/>
        </w:rPr>
        <w:t>）。</w:t>
      </w:r>
    </w:p>
    <w:p w14:paraId="3648E9D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3、本协议期内，乙方为甲方1G光纤免费提供_</w:t>
      </w:r>
      <w:r>
        <w:rPr>
          <w:rFonts w:hint="eastAsia" w:ascii="仿宋" w:hAnsi="仿宋" w:eastAsia="仿宋" w:cs="仿宋"/>
          <w:sz w:val="20"/>
          <w:szCs w:val="20"/>
          <w:u w:val="single"/>
        </w:rPr>
        <w:t xml:space="preserve">   </w:t>
      </w:r>
      <w:r>
        <w:rPr>
          <w:rFonts w:hint="eastAsia" w:ascii="仿宋" w:hAnsi="仿宋" w:eastAsia="仿宋" w:cs="仿宋"/>
          <w:sz w:val="20"/>
          <w:szCs w:val="20"/>
        </w:rPr>
        <w:t>_组IP，其余IP如果甲方有需要，按每组</w:t>
      </w:r>
      <w:r>
        <w:rPr>
          <w:rFonts w:hint="eastAsia" w:ascii="仿宋" w:hAnsi="仿宋" w:eastAsia="仿宋" w:cs="仿宋"/>
          <w:sz w:val="20"/>
          <w:szCs w:val="20"/>
          <w:u w:val="single"/>
        </w:rPr>
        <w:t xml:space="preserve">    </w:t>
      </w:r>
      <w:r>
        <w:rPr>
          <w:rFonts w:hint="eastAsia" w:ascii="仿宋" w:hAnsi="仿宋" w:eastAsia="仿宋" w:cs="仿宋"/>
          <w:sz w:val="20"/>
          <w:szCs w:val="20"/>
        </w:rPr>
        <w:t>元/月（大写人民币</w:t>
      </w:r>
      <w:r>
        <w:rPr>
          <w:rFonts w:hint="eastAsia" w:ascii="仿宋" w:hAnsi="仿宋" w:eastAsia="仿宋" w:cs="仿宋"/>
          <w:sz w:val="20"/>
          <w:szCs w:val="20"/>
          <w:u w:val="single"/>
        </w:rPr>
        <w:t xml:space="preserve">    元/月</w:t>
      </w:r>
      <w:r>
        <w:rPr>
          <w:rFonts w:hint="eastAsia" w:ascii="仿宋" w:hAnsi="仿宋" w:eastAsia="仿宋" w:cs="仿宋"/>
          <w:sz w:val="20"/>
          <w:szCs w:val="20"/>
        </w:rPr>
        <w:t xml:space="preserve">）收取。 </w:t>
      </w:r>
    </w:p>
    <w:p w14:paraId="78196FA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4、以上所有专线共计</w:t>
      </w:r>
      <w:r>
        <w:rPr>
          <w:rFonts w:hint="eastAsia" w:ascii="仿宋" w:hAnsi="仿宋" w:eastAsia="仿宋" w:cs="仿宋"/>
          <w:sz w:val="20"/>
          <w:szCs w:val="20"/>
          <w:u w:val="single"/>
        </w:rPr>
        <w:t xml:space="preserve">    </w:t>
      </w:r>
      <w:r>
        <w:rPr>
          <w:rFonts w:hint="eastAsia" w:ascii="仿宋" w:hAnsi="仿宋" w:eastAsia="仿宋" w:cs="仿宋"/>
          <w:sz w:val="20"/>
          <w:szCs w:val="20"/>
        </w:rPr>
        <w:t>条费用的付费周期为年，合同签约为</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2D22E718">
      <w:pPr>
        <w:tabs>
          <w:tab w:val="left" w:pos="480"/>
        </w:tabs>
        <w:spacing w:line="240" w:lineRule="auto"/>
        <w:rPr>
          <w:rFonts w:hint="eastAsia" w:ascii="仿宋" w:hAnsi="仿宋" w:eastAsia="仿宋" w:cs="仿宋"/>
          <w:b/>
          <w:spacing w:val="-20"/>
          <w:kern w:val="0"/>
          <w:sz w:val="20"/>
          <w:szCs w:val="20"/>
        </w:rPr>
      </w:pPr>
      <w:r>
        <w:rPr>
          <w:rFonts w:hint="eastAsia" w:ascii="仿宋" w:hAnsi="仿宋" w:eastAsia="仿宋" w:cs="仿宋"/>
          <w:b/>
          <w:spacing w:val="-20"/>
          <w:kern w:val="0"/>
          <w:sz w:val="20"/>
          <w:szCs w:val="20"/>
        </w:rPr>
        <w:t>四、</w:t>
      </w:r>
      <w:r>
        <w:rPr>
          <w:rFonts w:hint="eastAsia" w:ascii="仿宋" w:hAnsi="仿宋" w:eastAsia="仿宋" w:cs="仿宋"/>
          <w:b/>
          <w:kern w:val="0"/>
          <w:sz w:val="20"/>
          <w:szCs w:val="20"/>
        </w:rPr>
        <w:t>款项结算</w:t>
      </w:r>
    </w:p>
    <w:p w14:paraId="1146681A">
      <w:pPr>
        <w:pStyle w:val="11"/>
        <w:spacing w:line="360" w:lineRule="auto"/>
        <w:rPr>
          <w:rFonts w:hint="eastAsia" w:ascii="仿宋_GB2312" w:hAnsi="仿宋_GB2312" w:eastAsia="仿宋_GB2312" w:cs="仿宋_GB2312"/>
          <w:b/>
          <w:bCs/>
          <w:highlight w:val="yellow"/>
          <w:lang w:eastAsia="zh-CN"/>
        </w:rPr>
      </w:pPr>
    </w:p>
    <w:p w14:paraId="5097DB09">
      <w:pPr>
        <w:keepNext w:val="0"/>
        <w:keepLines w:val="0"/>
        <w:pageBreakBefore w:val="0"/>
        <w:widowControl/>
        <w:tabs>
          <w:tab w:val="left" w:pos="840"/>
        </w:tabs>
        <w:kinsoku/>
        <w:wordWrap w:val="0"/>
        <w:overflowPunct/>
        <w:topLinePunct/>
        <w:autoSpaceDE/>
        <w:autoSpaceDN/>
        <w:bidi w:val="0"/>
        <w:adjustRightInd w:val="0"/>
        <w:snapToGrid w:val="0"/>
        <w:spacing w:line="360" w:lineRule="auto"/>
        <w:ind w:firstLine="400" w:firstLineChars="200"/>
        <w:textAlignment w:val="baseline"/>
        <w:rPr>
          <w:rFonts w:hint="eastAsia" w:ascii="仿宋" w:hAnsi="仿宋" w:eastAsia="仿宋" w:cs="仿宋"/>
          <w:sz w:val="20"/>
          <w:szCs w:val="20"/>
          <w:highlight w:val="none"/>
        </w:rPr>
      </w:pPr>
      <w:r>
        <w:rPr>
          <w:rFonts w:hint="eastAsia" w:ascii="仿宋" w:hAnsi="仿宋" w:eastAsia="仿宋" w:cs="仿宋"/>
          <w:sz w:val="20"/>
          <w:szCs w:val="20"/>
          <w:highlight w:val="none"/>
        </w:rPr>
        <w:t>注：如投标人中标后未按时间完成本项目，所造成的影响与后果均由中标人承担且采购人有权拒绝支付所有款项，额外产生的全部费用由中标人支付。</w:t>
      </w:r>
    </w:p>
    <w:p w14:paraId="1CF662D8">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（二）支付方式：银行转账。</w:t>
      </w:r>
    </w:p>
    <w:p w14:paraId="2F476B7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（三）具体结算：</w:t>
      </w:r>
    </w:p>
    <w:p w14:paraId="659EEAFE">
      <w:pPr>
        <w:keepNext w:val="0"/>
        <w:keepLines w:val="0"/>
        <w:pageBreakBefore w:val="0"/>
        <w:widowControl/>
        <w:kinsoku/>
        <w:wordWrap w:val="0"/>
        <w:overflowPunct/>
        <w:topLinePunct/>
        <w:autoSpaceDE/>
        <w:autoSpaceDN/>
        <w:bidi w:val="0"/>
        <w:adjustRightInd w:val="0"/>
        <w:snapToGrid w:val="0"/>
        <w:spacing w:line="360" w:lineRule="auto"/>
        <w:ind w:firstLine="400" w:firstLineChars="200"/>
        <w:textAlignment w:val="baseline"/>
        <w:rPr>
          <w:rFonts w:hint="eastAsia" w:ascii="仿宋" w:hAnsi="仿宋" w:eastAsia="仿宋" w:cs="仿宋"/>
          <w:sz w:val="20"/>
          <w:szCs w:val="20"/>
        </w:rPr>
      </w:pPr>
      <w:r>
        <w:rPr>
          <w:rFonts w:hint="eastAsia" w:ascii="仿宋" w:hAnsi="仿宋" w:eastAsia="仿宋" w:cs="仿宋"/>
          <w:sz w:val="20"/>
          <w:szCs w:val="20"/>
        </w:rPr>
        <w:t>甲方每笔付款前10日内，乙方应向甲方开具对应金额的增值税发票，甲方收到后向乙方付款。</w:t>
      </w:r>
    </w:p>
    <w:p w14:paraId="6464A6F5">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甲方银行转账向乙方支付。</w:t>
      </w:r>
    </w:p>
    <w:p w14:paraId="08D6AF49">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开户行：</w:t>
      </w:r>
    </w:p>
    <w:p w14:paraId="3D63A386">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银行地址：</w:t>
      </w:r>
    </w:p>
    <w:p w14:paraId="4411F63A">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户名：</w:t>
      </w:r>
    </w:p>
    <w:p w14:paraId="1150A151">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账号：</w:t>
      </w:r>
    </w:p>
    <w:p w14:paraId="2E464868">
      <w:pPr>
        <w:spacing w:line="360" w:lineRule="auto"/>
        <w:rPr>
          <w:rFonts w:hint="eastAsia" w:ascii="仿宋" w:hAnsi="仿宋" w:eastAsia="仿宋" w:cs="仿宋"/>
          <w:b/>
          <w:spacing w:val="-20"/>
          <w:kern w:val="0"/>
          <w:sz w:val="20"/>
          <w:szCs w:val="20"/>
        </w:rPr>
      </w:pPr>
      <w:r>
        <w:rPr>
          <w:rFonts w:hint="eastAsia" w:ascii="仿宋" w:hAnsi="仿宋" w:eastAsia="仿宋" w:cs="仿宋"/>
          <w:b/>
          <w:spacing w:val="-20"/>
          <w:kern w:val="0"/>
          <w:sz w:val="20"/>
          <w:szCs w:val="20"/>
        </w:rPr>
        <w:t>五、</w:t>
      </w:r>
      <w:r>
        <w:rPr>
          <w:rFonts w:hint="eastAsia" w:ascii="仿宋" w:hAnsi="仿宋" w:eastAsia="仿宋" w:cs="仿宋"/>
          <w:b/>
          <w:kern w:val="0"/>
          <w:sz w:val="20"/>
          <w:szCs w:val="20"/>
        </w:rPr>
        <w:t>双方的权利和义务</w:t>
      </w:r>
    </w:p>
    <w:p w14:paraId="21D24B3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（一）甲方的权利和义务</w:t>
      </w:r>
    </w:p>
    <w:p w14:paraId="3715078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1、甲方协助乙方做好陕西省教育考试院专网项目的准备工作，含</w:t>
      </w:r>
      <w:r>
        <w:rPr>
          <w:rFonts w:hint="eastAsia" w:ascii="仿宋" w:hAnsi="仿宋" w:eastAsia="仿宋" w:cs="仿宋"/>
          <w:sz w:val="20"/>
          <w:szCs w:val="20"/>
          <w:u w:val="single"/>
        </w:rPr>
        <w:t xml:space="preserve">_    </w:t>
      </w:r>
      <w:r>
        <w:rPr>
          <w:rFonts w:hint="eastAsia" w:ascii="仿宋" w:hAnsi="仿宋" w:eastAsia="仿宋" w:cs="仿宋"/>
          <w:sz w:val="20"/>
          <w:szCs w:val="20"/>
        </w:rPr>
        <w:t>个专网建设信息点位和1个千兆宽带信息点位的具体清单及各信息点位负责人的组织、协调工作；安装场地、配套设施的准备；负责配合乙方的施工调测工作等。施工过程中产生的水电物业等费用由各点位承担。</w:t>
      </w:r>
    </w:p>
    <w:p w14:paraId="685DD5F2">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2、甲方应按照国家法律、法规的规定及本合同的约定使用相关系统，妥善保护相关设备设施，并支持乙方合理的巡查线路和维修障碍，为乙方的维护工作提供方便。</w:t>
      </w:r>
    </w:p>
    <w:p w14:paraId="7E15352E">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3、甲方应按照合同要求，向乙方及时支付费用。</w:t>
      </w:r>
    </w:p>
    <w:p w14:paraId="245327F2">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（二）乙方的权利和义务</w:t>
      </w:r>
    </w:p>
    <w:p w14:paraId="52730EDD">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1、乙方进场安装施工前，应完成准备工作。包括：安装设计方案、施工方案等，以确保安装施工质量。</w:t>
      </w:r>
    </w:p>
    <w:p w14:paraId="6BC555B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2、从工程开始至工程结束，乙方应确保工程质量达到施工标准。 </w:t>
      </w:r>
    </w:p>
    <w:p w14:paraId="4DB1F0A3">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3、乙方在安装调试完毕后，应向甲方提供相应的设备清单及系统验收文档作为服务验收依据</w:t>
      </w:r>
    </w:p>
    <w:p w14:paraId="70B80D8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4、乙方有义务向甲方提供施工进度安排，如因客观原因施工进度需要变更，乙方必须提前通知甲方。</w:t>
      </w:r>
    </w:p>
    <w:p w14:paraId="7F0E9DF6">
      <w:pPr>
        <w:tabs>
          <w:tab w:val="left" w:pos="480"/>
        </w:tabs>
        <w:spacing w:line="360" w:lineRule="auto"/>
        <w:rPr>
          <w:rFonts w:hint="eastAsia" w:ascii="仿宋" w:hAnsi="仿宋" w:eastAsia="仿宋" w:cs="仿宋"/>
          <w:b/>
          <w:kern w:val="0"/>
          <w:sz w:val="20"/>
          <w:szCs w:val="20"/>
        </w:rPr>
      </w:pPr>
      <w:r>
        <w:rPr>
          <w:rFonts w:hint="eastAsia" w:ascii="仿宋" w:hAnsi="仿宋" w:eastAsia="仿宋" w:cs="仿宋"/>
          <w:b/>
          <w:kern w:val="0"/>
          <w:sz w:val="20"/>
          <w:szCs w:val="20"/>
        </w:rPr>
        <w:t>六、质量保证</w:t>
      </w:r>
    </w:p>
    <w:p w14:paraId="52B2B8AA">
      <w:pPr>
        <w:pStyle w:val="13"/>
        <w:spacing w:line="360" w:lineRule="auto"/>
        <w:ind w:firstLine="400" w:firstLineChars="200"/>
        <w:rPr>
          <w:rFonts w:hint="eastAsia" w:ascii="仿宋" w:hAnsi="仿宋" w:eastAsia="仿宋" w:cs="仿宋"/>
          <w:kern w:val="2"/>
          <w:sz w:val="20"/>
          <w:szCs w:val="20"/>
        </w:rPr>
      </w:pPr>
      <w:r>
        <w:rPr>
          <w:rFonts w:hint="eastAsia" w:ascii="仿宋" w:hAnsi="仿宋" w:eastAsia="仿宋" w:cs="仿宋"/>
          <w:kern w:val="2"/>
          <w:sz w:val="20"/>
          <w:szCs w:val="20"/>
        </w:rPr>
        <w:t>1、</w:t>
      </w:r>
      <w:r>
        <w:rPr>
          <w:rFonts w:hint="eastAsia" w:ascii="仿宋" w:hAnsi="仿宋" w:eastAsia="仿宋" w:cs="仿宋"/>
          <w:sz w:val="20"/>
          <w:szCs w:val="20"/>
        </w:rPr>
        <w:t>乙方</w:t>
      </w:r>
      <w:r>
        <w:rPr>
          <w:rFonts w:hint="eastAsia" w:ascii="仿宋" w:hAnsi="仿宋" w:eastAsia="仿宋" w:cs="仿宋"/>
          <w:kern w:val="2"/>
          <w:sz w:val="20"/>
          <w:szCs w:val="20"/>
        </w:rPr>
        <w:t>保证所供货物的来源渠道正常，产品是全新的、未使用过的、且完全符合合同规定的质量、规格、技术指标等要求，并在运维服务期内、外应对由于产品设计、工艺或材料的缺陷而产生的质量问题负责。</w:t>
      </w:r>
    </w:p>
    <w:p w14:paraId="3169E4A7">
      <w:pPr>
        <w:pStyle w:val="13"/>
        <w:spacing w:line="360" w:lineRule="auto"/>
        <w:ind w:firstLine="300" w:firstLineChars="150"/>
        <w:rPr>
          <w:rFonts w:hint="eastAsia" w:ascii="仿宋" w:hAnsi="仿宋" w:eastAsia="仿宋" w:cs="仿宋"/>
          <w:kern w:val="2"/>
          <w:sz w:val="20"/>
          <w:szCs w:val="20"/>
        </w:rPr>
      </w:pPr>
      <w:r>
        <w:rPr>
          <w:rFonts w:hint="eastAsia" w:ascii="仿宋" w:hAnsi="仿宋" w:eastAsia="仿宋" w:cs="仿宋"/>
          <w:kern w:val="2"/>
          <w:sz w:val="20"/>
          <w:szCs w:val="20"/>
        </w:rPr>
        <w:t>2、在运维服务期内，如果发现货物的质量、规格、技术指标等存在与合同中任何一项不符，采购人可在最短时间内，以书面形式向</w:t>
      </w:r>
      <w:r>
        <w:rPr>
          <w:rFonts w:hint="eastAsia" w:ascii="仿宋" w:hAnsi="仿宋" w:eastAsia="仿宋" w:cs="仿宋"/>
          <w:sz w:val="20"/>
          <w:szCs w:val="20"/>
        </w:rPr>
        <w:t>乙方</w:t>
      </w:r>
      <w:r>
        <w:rPr>
          <w:rFonts w:hint="eastAsia" w:ascii="仿宋" w:hAnsi="仿宋" w:eastAsia="仿宋" w:cs="仿宋"/>
          <w:kern w:val="2"/>
          <w:sz w:val="20"/>
          <w:szCs w:val="20"/>
        </w:rPr>
        <w:t>提出索赔。同时通告采购代理机构。</w:t>
      </w:r>
    </w:p>
    <w:p w14:paraId="53BB1278">
      <w:pPr>
        <w:pStyle w:val="13"/>
        <w:spacing w:line="360" w:lineRule="auto"/>
        <w:ind w:firstLine="300" w:firstLineChars="150"/>
        <w:rPr>
          <w:rFonts w:hint="eastAsia" w:ascii="仿宋" w:hAnsi="仿宋" w:eastAsia="仿宋" w:cs="仿宋"/>
          <w:kern w:val="2"/>
          <w:sz w:val="20"/>
          <w:szCs w:val="20"/>
        </w:rPr>
      </w:pPr>
      <w:r>
        <w:rPr>
          <w:rFonts w:hint="eastAsia" w:ascii="仿宋" w:hAnsi="仿宋" w:eastAsia="仿宋" w:cs="仿宋"/>
          <w:kern w:val="2"/>
          <w:sz w:val="20"/>
          <w:szCs w:val="20"/>
        </w:rPr>
        <w:t>3、保修期内，损坏部件的修理费、往返运保费等均由我公司承担。保修期外，只收取单程的运保费及已维修的元器件成本费，未尽事宜由双方协商解决。</w:t>
      </w:r>
    </w:p>
    <w:p w14:paraId="111BF800">
      <w:pPr>
        <w:tabs>
          <w:tab w:val="left" w:pos="480"/>
        </w:tabs>
        <w:spacing w:line="360" w:lineRule="auto"/>
        <w:ind w:firstLine="392" w:firstLineChars="196"/>
        <w:rPr>
          <w:rFonts w:hint="eastAsia" w:ascii="仿宋" w:hAnsi="仿宋" w:eastAsia="仿宋" w:cs="仿宋"/>
          <w:sz w:val="20"/>
          <w:szCs w:val="20"/>
        </w:rPr>
      </w:pPr>
      <w:r>
        <w:rPr>
          <w:rFonts w:hint="eastAsia" w:ascii="仿宋" w:hAnsi="仿宋" w:eastAsia="仿宋" w:cs="仿宋"/>
          <w:sz w:val="20"/>
          <w:szCs w:val="20"/>
        </w:rPr>
        <w:t>4、乙方明确售后服务公约，承诺免费维修服务条件。</w:t>
      </w:r>
    </w:p>
    <w:p w14:paraId="7809BDD5">
      <w:pPr>
        <w:tabs>
          <w:tab w:val="left" w:pos="480"/>
        </w:tabs>
        <w:spacing w:line="360" w:lineRule="auto"/>
        <w:rPr>
          <w:rFonts w:hint="eastAsia" w:ascii="仿宋" w:hAnsi="仿宋" w:eastAsia="仿宋" w:cs="仿宋"/>
          <w:b/>
          <w:kern w:val="0"/>
          <w:sz w:val="20"/>
          <w:szCs w:val="20"/>
        </w:rPr>
      </w:pPr>
      <w:r>
        <w:rPr>
          <w:rFonts w:hint="eastAsia" w:ascii="仿宋" w:hAnsi="仿宋" w:eastAsia="仿宋" w:cs="仿宋"/>
          <w:b/>
          <w:kern w:val="0"/>
          <w:sz w:val="20"/>
          <w:szCs w:val="20"/>
        </w:rPr>
        <w:t>七、验收</w:t>
      </w:r>
    </w:p>
    <w:p w14:paraId="51DF058A">
      <w:pPr>
        <w:keepNext w:val="0"/>
        <w:keepLines w:val="0"/>
        <w:pageBreakBefore w:val="0"/>
        <w:widowControl/>
        <w:kinsoku/>
        <w:wordWrap/>
        <w:overflowPunct/>
        <w:topLinePunct w:val="0"/>
        <w:autoSpaceDE w:val="0"/>
        <w:autoSpaceDN w:val="0"/>
        <w:bidi w:val="0"/>
        <w:adjustRightInd w:val="0"/>
        <w:snapToGrid w:val="0"/>
        <w:spacing w:line="360" w:lineRule="auto"/>
        <w:ind w:firstLine="400" w:firstLineChars="200"/>
        <w:textAlignment w:val="baseline"/>
        <w:rPr>
          <w:rFonts w:hint="eastAsia" w:ascii="仿宋" w:hAnsi="仿宋" w:eastAsia="仿宋" w:cs="仿宋"/>
          <w:sz w:val="20"/>
          <w:szCs w:val="20"/>
        </w:rPr>
      </w:pPr>
      <w:r>
        <w:rPr>
          <w:rFonts w:hint="eastAsia" w:ascii="仿宋" w:hAnsi="仿宋" w:eastAsia="仿宋" w:cs="仿宋"/>
          <w:sz w:val="20"/>
          <w:szCs w:val="20"/>
        </w:rPr>
        <w:t>待项目运维服务期满由采购代理机构负责组织验收，邀请有关专家或质检机构共同进行验收,验收费用由中标人支付；验收合格须交接项目实施的全部资料，并填写政府采购项目验收报告单。验收须以合同、招投标文件、澄清、及国家相应的标准、规范等为依据。</w:t>
      </w:r>
    </w:p>
    <w:p w14:paraId="483B0EDD">
      <w:pPr>
        <w:tabs>
          <w:tab w:val="left" w:pos="480"/>
        </w:tabs>
        <w:spacing w:line="360" w:lineRule="auto"/>
        <w:rPr>
          <w:rFonts w:hint="eastAsia" w:ascii="仿宋" w:hAnsi="仿宋" w:eastAsia="仿宋" w:cs="仿宋"/>
          <w:b/>
          <w:kern w:val="0"/>
          <w:sz w:val="20"/>
          <w:szCs w:val="20"/>
        </w:rPr>
      </w:pPr>
      <w:r>
        <w:rPr>
          <w:rFonts w:hint="eastAsia" w:ascii="仿宋" w:hAnsi="仿宋" w:eastAsia="仿宋" w:cs="仿宋"/>
          <w:b/>
          <w:kern w:val="0"/>
          <w:sz w:val="20"/>
          <w:szCs w:val="20"/>
        </w:rPr>
        <w:t>八、售后服务</w:t>
      </w:r>
      <w:bookmarkStart w:id="2" w:name="_Toc5643925"/>
    </w:p>
    <w:p w14:paraId="11B1815C">
      <w:pPr>
        <w:spacing w:line="360" w:lineRule="auto"/>
        <w:rPr>
          <w:rFonts w:hint="eastAsia" w:ascii="仿宋" w:hAnsi="仿宋" w:eastAsia="仿宋" w:cs="仿宋"/>
          <w:sz w:val="20"/>
          <w:szCs w:val="20"/>
        </w:rPr>
      </w:pPr>
      <w:r>
        <w:rPr>
          <w:rFonts w:hint="eastAsia" w:ascii="仿宋" w:hAnsi="仿宋" w:eastAsia="仿宋" w:cs="仿宋"/>
          <w:sz w:val="20"/>
          <w:szCs w:val="20"/>
        </w:rPr>
        <w:t>1、专网链路障碍修复时限</w:t>
      </w:r>
      <w:bookmarkEnd w:id="2"/>
    </w:p>
    <w:p w14:paraId="4EC08349">
      <w:pPr>
        <w:keepNext w:val="0"/>
        <w:keepLines w:val="0"/>
        <w:pageBreakBefore w:val="0"/>
        <w:widowControl/>
        <w:kinsoku/>
        <w:wordWrap/>
        <w:overflowPunct/>
        <w:topLinePunct w:val="0"/>
        <w:autoSpaceDE w:val="0"/>
        <w:autoSpaceDN w:val="0"/>
        <w:bidi w:val="0"/>
        <w:adjustRightInd w:val="0"/>
        <w:snapToGrid w:val="0"/>
        <w:spacing w:line="360" w:lineRule="auto"/>
        <w:ind w:firstLine="400" w:firstLineChars="200"/>
        <w:textAlignment w:val="baseline"/>
        <w:rPr>
          <w:rFonts w:hint="eastAsia" w:ascii="仿宋" w:hAnsi="仿宋" w:eastAsia="仿宋" w:cs="仿宋"/>
          <w:sz w:val="20"/>
          <w:szCs w:val="20"/>
        </w:rPr>
      </w:pPr>
      <w:r>
        <w:rPr>
          <w:rFonts w:hint="eastAsia" w:ascii="仿宋" w:hAnsi="仿宋" w:eastAsia="仿宋" w:cs="仿宋"/>
          <w:sz w:val="20"/>
          <w:szCs w:val="20"/>
        </w:rPr>
        <w:t>乙方承诺接到为陕西省教育考试院的故障申告后，各市分支节点15分钟内电话响应。如需要现场服务，2小时内赶到现场，对于专网链路故障，最长处理时限为4小时，区、县级支节点30分钟内电话响应。如需要现场服务，2小时内赶到现场，对于专网链路故障，故障最长处理时限为4小时（不可抗力除外，不可抗力指：异常天气、地震等自然灾害，电力系统问题、市政阻挡，地铁施工，物业阻挡等），在障碍处理过程中，维护人员将及时客户申告人员通告故障处理进展情况。</w:t>
      </w:r>
      <w:bookmarkStart w:id="3" w:name="_Toc5643927"/>
    </w:p>
    <w:p w14:paraId="202E1E2E">
      <w:pPr>
        <w:pStyle w:val="3"/>
        <w:spacing w:line="360" w:lineRule="auto"/>
        <w:rPr>
          <w:rFonts w:hint="eastAsia" w:ascii="仿宋" w:hAnsi="仿宋" w:eastAsia="仿宋" w:cs="仿宋"/>
          <w:color w:val="auto"/>
          <w:sz w:val="20"/>
          <w:szCs w:val="20"/>
        </w:rPr>
      </w:pPr>
      <w:r>
        <w:rPr>
          <w:rFonts w:hint="eastAsia" w:ascii="仿宋" w:hAnsi="仿宋" w:eastAsia="仿宋" w:cs="仿宋"/>
          <w:color w:val="auto"/>
          <w:sz w:val="20"/>
          <w:szCs w:val="20"/>
        </w:rPr>
        <w:t>2、重点保障服务</w:t>
      </w:r>
      <w:bookmarkEnd w:id="3"/>
    </w:p>
    <w:p w14:paraId="45236708">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为提高专网可用性和降低重保时期故障率，各级部门应在重要通信保障期间禁止一切影响业务运行的割接、升级、打补丁、加载等操作，禁止一切影响业务运行局数据修改、网络优化等操作。</w:t>
      </w:r>
    </w:p>
    <w:p w14:paraId="1104D00D">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各级部门针对重点保障期间的专线服务应安排专人重点保障，以确保保障期间各类业务正常运行。</w:t>
      </w:r>
    </w:p>
    <w:p w14:paraId="3CC07F5A">
      <w:pPr>
        <w:spacing w:line="360" w:lineRule="auto"/>
        <w:rPr>
          <w:rFonts w:hint="eastAsia" w:ascii="仿宋" w:hAnsi="仿宋" w:eastAsia="仿宋" w:cs="仿宋"/>
          <w:sz w:val="20"/>
          <w:szCs w:val="20"/>
        </w:rPr>
      </w:pPr>
      <w:bookmarkStart w:id="4" w:name="_Toc122491063"/>
      <w:bookmarkStart w:id="5" w:name="_Toc16402"/>
      <w:bookmarkStart w:id="6" w:name="_Toc324166326"/>
      <w:bookmarkStart w:id="7" w:name="_Toc466450236"/>
      <w:bookmarkStart w:id="8" w:name="_Toc28407"/>
      <w:bookmarkStart w:id="9" w:name="_Toc354663791"/>
      <w:bookmarkStart w:id="10" w:name="_Toc118466697"/>
      <w:bookmarkStart w:id="11" w:name="_Toc5598"/>
      <w:bookmarkStart w:id="12" w:name="_Toc5643930"/>
      <w:bookmarkStart w:id="13" w:name="_Toc467831710"/>
      <w:r>
        <w:rPr>
          <w:rFonts w:hint="eastAsia" w:ascii="仿宋" w:hAnsi="仿宋" w:eastAsia="仿宋" w:cs="仿宋"/>
          <w:sz w:val="20"/>
          <w:szCs w:val="20"/>
        </w:rPr>
        <w:t>4、</w:t>
      </w:r>
      <w:bookmarkEnd w:id="4"/>
      <w:bookmarkEnd w:id="5"/>
      <w:bookmarkEnd w:id="6"/>
      <w:bookmarkEnd w:id="7"/>
      <w:bookmarkEnd w:id="8"/>
      <w:bookmarkEnd w:id="9"/>
      <w:bookmarkEnd w:id="10"/>
      <w:bookmarkEnd w:id="11"/>
      <w:bookmarkEnd w:id="12"/>
      <w:bookmarkEnd w:id="13"/>
      <w:r>
        <w:rPr>
          <w:rFonts w:hint="eastAsia" w:ascii="仿宋" w:hAnsi="仿宋" w:eastAsia="仿宋" w:cs="仿宋"/>
          <w:b/>
          <w:kern w:val="0"/>
          <w:sz w:val="20"/>
          <w:szCs w:val="20"/>
        </w:rPr>
        <w:t>故障申告途径及保障人员联系方式</w:t>
      </w:r>
    </w:p>
    <w:p w14:paraId="0E494F4D">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陕西省教育考试院客户遇到障碍时，联系各负责区域的客户经理进行申告，乙方应针对不同等级的网络故障，采用不同的处理方式，并有相应的处理流程提供保证。并列出客户经理清单（附件二）。</w:t>
      </w:r>
    </w:p>
    <w:p w14:paraId="360F7540">
      <w:pPr>
        <w:pStyle w:val="3"/>
        <w:spacing w:line="360" w:lineRule="auto"/>
        <w:rPr>
          <w:rFonts w:hint="eastAsia" w:ascii="仿宋" w:hAnsi="仿宋" w:eastAsia="仿宋" w:cs="仿宋"/>
          <w:color w:val="auto"/>
          <w:sz w:val="20"/>
          <w:szCs w:val="20"/>
        </w:rPr>
      </w:pPr>
      <w:r>
        <w:rPr>
          <w:rFonts w:hint="eastAsia" w:ascii="仿宋" w:hAnsi="仿宋" w:eastAsia="仿宋" w:cs="仿宋"/>
          <w:b/>
          <w:color w:val="auto"/>
          <w:kern w:val="0"/>
          <w:sz w:val="20"/>
          <w:szCs w:val="20"/>
        </w:rPr>
        <w:t>九、违约责任</w:t>
      </w:r>
    </w:p>
    <w:p w14:paraId="34B75CB7">
      <w:pPr>
        <w:pStyle w:val="13"/>
        <w:keepNext w:val="0"/>
        <w:keepLines w:val="0"/>
        <w:pageBreakBefore w:val="0"/>
        <w:widowControl/>
        <w:wordWrap w:val="0"/>
        <w:overflowPunct/>
        <w:topLinePunct/>
        <w:bidi w:val="0"/>
        <w:spacing w:line="360" w:lineRule="auto"/>
        <w:ind w:firstLine="400" w:firstLineChars="200"/>
        <w:rPr>
          <w:rFonts w:hint="eastAsia" w:ascii="仿宋" w:hAnsi="仿宋" w:eastAsia="仿宋" w:cs="仿宋"/>
          <w:kern w:val="2"/>
          <w:sz w:val="20"/>
          <w:szCs w:val="20"/>
        </w:rPr>
      </w:pPr>
      <w:r>
        <w:rPr>
          <w:rFonts w:hint="eastAsia" w:ascii="仿宋" w:hAnsi="仿宋" w:eastAsia="仿宋" w:cs="仿宋"/>
          <w:kern w:val="2"/>
          <w:sz w:val="20"/>
          <w:szCs w:val="20"/>
        </w:rPr>
        <w:t>项目完工期：5个日历日，合同签订之日</w:t>
      </w:r>
      <w:r>
        <w:rPr>
          <w:rFonts w:hint="eastAsia" w:ascii="仿宋" w:hAnsi="仿宋" w:eastAsia="仿宋" w:cs="仿宋"/>
          <w:sz w:val="20"/>
          <w:szCs w:val="20"/>
        </w:rPr>
        <w:t>（以甲方签字之日为准）</w:t>
      </w:r>
      <w:r>
        <w:rPr>
          <w:rFonts w:hint="eastAsia" w:ascii="仿宋" w:hAnsi="仿宋" w:eastAsia="仿宋" w:cs="仿宋"/>
          <w:kern w:val="2"/>
          <w:sz w:val="20"/>
          <w:szCs w:val="20"/>
        </w:rPr>
        <w:t>起5个日历日交付采购人试用（试用期一个月）。我公司未征得采购人同意和谅解而单方面延迟服务，将按违约终止合同。</w:t>
      </w:r>
    </w:p>
    <w:p w14:paraId="17377AF5">
      <w:pPr>
        <w:keepNext w:val="0"/>
        <w:keepLines w:val="0"/>
        <w:pageBreakBefore w:val="0"/>
        <w:widowControl/>
        <w:kinsoku/>
        <w:wordWrap w:val="0"/>
        <w:overflowPunct/>
        <w:topLinePunct/>
        <w:autoSpaceDE w:val="0"/>
        <w:autoSpaceDN w:val="0"/>
        <w:bidi w:val="0"/>
        <w:adjustRightInd w:val="0"/>
        <w:snapToGrid w:val="0"/>
        <w:spacing w:line="360" w:lineRule="auto"/>
        <w:ind w:firstLine="400" w:firstLineChars="200"/>
        <w:textAlignment w:val="baseline"/>
        <w:rPr>
          <w:rFonts w:hint="eastAsia" w:ascii="仿宋" w:hAnsi="仿宋" w:eastAsia="仿宋" w:cs="仿宋"/>
          <w:sz w:val="20"/>
          <w:szCs w:val="20"/>
        </w:rPr>
      </w:pPr>
      <w:r>
        <w:rPr>
          <w:rFonts w:hint="eastAsia" w:ascii="仿宋" w:hAnsi="仿宋" w:eastAsia="仿宋" w:cs="仿宋"/>
          <w:sz w:val="20"/>
          <w:szCs w:val="20"/>
        </w:rPr>
        <w:t>乙方遇到可能妨碍按时服务和提供服务的情况，应当及时以书面形式通知采购人，说明原由、拖延的期限等；采购人、采购代理机构在收到通知后，尽快进行情况评估并确定是否通过修改合同，酌情延长服务时间或者通过协商加收误期赔偿金。</w:t>
      </w:r>
    </w:p>
    <w:p w14:paraId="60D97EC1">
      <w:pPr>
        <w:tabs>
          <w:tab w:val="left" w:pos="480"/>
        </w:tabs>
        <w:spacing w:line="360" w:lineRule="auto"/>
        <w:rPr>
          <w:rFonts w:hint="eastAsia" w:ascii="仿宋" w:hAnsi="仿宋" w:eastAsia="仿宋" w:cs="仿宋"/>
          <w:b/>
          <w:kern w:val="0"/>
          <w:sz w:val="20"/>
          <w:szCs w:val="20"/>
        </w:rPr>
      </w:pPr>
      <w:r>
        <w:rPr>
          <w:rFonts w:hint="eastAsia" w:ascii="仿宋" w:hAnsi="仿宋" w:eastAsia="仿宋" w:cs="仿宋"/>
          <w:b/>
          <w:kern w:val="0"/>
          <w:sz w:val="20"/>
          <w:szCs w:val="20"/>
        </w:rPr>
        <w:t>十、争议解决</w:t>
      </w:r>
    </w:p>
    <w:p w14:paraId="23C36E9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（一）本合同在履行过程中发生的争议，由甲、乙双方当事人协商解决，协商不成的按下列第</w:t>
      </w:r>
      <w:r>
        <w:rPr>
          <w:rFonts w:hint="eastAsia" w:ascii="仿宋" w:hAnsi="仿宋" w:eastAsia="仿宋" w:cs="仿宋"/>
          <w:sz w:val="20"/>
          <w:szCs w:val="20"/>
          <w:u w:val="single"/>
        </w:rPr>
        <w:t xml:space="preserve">   </w:t>
      </w:r>
      <w:r>
        <w:rPr>
          <w:rFonts w:hint="eastAsia" w:ascii="仿宋" w:hAnsi="仿宋" w:eastAsia="仿宋" w:cs="仿宋"/>
          <w:sz w:val="20"/>
          <w:szCs w:val="20"/>
        </w:rPr>
        <w:t>种方式解决：</w:t>
      </w:r>
    </w:p>
    <w:p w14:paraId="48E05851">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1、依法向甲方所在地人民法院起诉。</w:t>
      </w:r>
    </w:p>
    <w:p w14:paraId="68E82ACF">
      <w:pPr>
        <w:tabs>
          <w:tab w:val="left" w:pos="480"/>
        </w:tabs>
        <w:spacing w:line="360" w:lineRule="auto"/>
        <w:rPr>
          <w:rFonts w:hint="eastAsia" w:ascii="仿宋" w:hAnsi="仿宋" w:eastAsia="仿宋" w:cs="仿宋"/>
          <w:b/>
          <w:kern w:val="0"/>
          <w:sz w:val="20"/>
          <w:szCs w:val="20"/>
        </w:rPr>
      </w:pPr>
      <w:r>
        <w:rPr>
          <w:rFonts w:hint="eastAsia" w:ascii="仿宋" w:hAnsi="仿宋" w:eastAsia="仿宋" w:cs="仿宋"/>
          <w:b/>
          <w:kern w:val="0"/>
          <w:sz w:val="20"/>
          <w:szCs w:val="20"/>
        </w:rPr>
        <w:t>十一、合同变更</w:t>
      </w:r>
    </w:p>
    <w:p w14:paraId="6DEAB7F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在合同的执行期内，如因项目需求情况发生变化，需要项目变更的，应双方协商后签订项目变更协议，并经鉴证方确认后生效，如双方变更事项不能达成一致的，仍按原合同履行。</w:t>
      </w:r>
    </w:p>
    <w:p w14:paraId="5D9F2998">
      <w:pPr>
        <w:numPr>
          <w:ilvl w:val="0"/>
          <w:numId w:val="0"/>
        </w:numPr>
        <w:tabs>
          <w:tab w:val="left" w:pos="480"/>
        </w:tabs>
        <w:spacing w:line="360" w:lineRule="auto"/>
        <w:rPr>
          <w:rFonts w:hint="eastAsia" w:ascii="仿宋" w:hAnsi="仿宋" w:eastAsia="仿宋" w:cs="仿宋"/>
          <w:b/>
          <w:kern w:val="0"/>
          <w:sz w:val="20"/>
          <w:szCs w:val="20"/>
        </w:rPr>
      </w:pPr>
      <w:r>
        <w:rPr>
          <w:rFonts w:hint="eastAsia" w:ascii="仿宋" w:hAnsi="仿宋" w:eastAsia="仿宋" w:cs="仿宋"/>
          <w:b/>
          <w:kern w:val="0"/>
          <w:sz w:val="20"/>
          <w:szCs w:val="20"/>
        </w:rPr>
        <w:t>合同生效</w:t>
      </w:r>
    </w:p>
    <w:p w14:paraId="578628CD">
      <w:pPr>
        <w:widowControl w:val="0"/>
        <w:numPr>
          <w:ilvl w:val="0"/>
          <w:numId w:val="0"/>
        </w:numPr>
        <w:tabs>
          <w:tab w:val="left" w:pos="480"/>
        </w:tabs>
        <w:spacing w:line="360" w:lineRule="auto"/>
        <w:jc w:val="both"/>
        <w:rPr>
          <w:rFonts w:hint="eastAsia" w:ascii="仿宋" w:hAnsi="仿宋" w:eastAsia="仿宋" w:cs="仿宋"/>
          <w:b/>
          <w:kern w:val="0"/>
          <w:sz w:val="20"/>
          <w:szCs w:val="20"/>
        </w:rPr>
      </w:pPr>
    </w:p>
    <w:p w14:paraId="7D4C4DA1">
      <w:pPr>
        <w:pStyle w:val="3"/>
        <w:rPr>
          <w:rFonts w:hint="eastAsia" w:ascii="仿宋" w:hAnsi="仿宋" w:eastAsia="仿宋" w:cs="仿宋"/>
          <w:color w:val="auto"/>
          <w:sz w:val="20"/>
          <w:szCs w:val="20"/>
        </w:rPr>
      </w:pPr>
    </w:p>
    <w:tbl>
      <w:tblPr>
        <w:tblStyle w:val="7"/>
        <w:tblW w:w="9336"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0"/>
        <w:gridCol w:w="4766"/>
      </w:tblGrid>
      <w:tr w14:paraId="5437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495BF7C3">
            <w:pPr>
              <w:autoSpaceDE w:val="0"/>
              <w:autoSpaceDN w:val="0"/>
              <w:adjustRightInd w:val="0"/>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甲  方</w:t>
            </w:r>
          </w:p>
        </w:tc>
        <w:tc>
          <w:tcPr>
            <w:tcW w:w="4766" w:type="dxa"/>
            <w:tcBorders>
              <w:top w:val="single" w:color="auto" w:sz="4" w:space="0"/>
              <w:left w:val="single" w:color="auto" w:sz="4" w:space="0"/>
              <w:bottom w:val="single" w:color="auto" w:sz="4" w:space="0"/>
              <w:right w:val="single" w:color="auto" w:sz="4" w:space="0"/>
            </w:tcBorders>
            <w:noWrap w:val="0"/>
            <w:vAlign w:val="top"/>
          </w:tcPr>
          <w:p w14:paraId="7AED164F">
            <w:pPr>
              <w:autoSpaceDE w:val="0"/>
              <w:autoSpaceDN w:val="0"/>
              <w:adjustRightInd w:val="0"/>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乙  方</w:t>
            </w:r>
          </w:p>
        </w:tc>
      </w:tr>
      <w:tr w14:paraId="013C8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trPr>
        <w:tc>
          <w:tcPr>
            <w:tcW w:w="4570" w:type="dxa"/>
            <w:tcBorders>
              <w:top w:val="single" w:color="auto" w:sz="4" w:space="0"/>
              <w:left w:val="single" w:color="auto" w:sz="4" w:space="0"/>
              <w:bottom w:val="single" w:color="auto" w:sz="4" w:space="0"/>
              <w:right w:val="single" w:color="auto" w:sz="4" w:space="0"/>
            </w:tcBorders>
            <w:noWrap w:val="0"/>
            <w:vAlign w:val="center"/>
          </w:tcPr>
          <w:p w14:paraId="5B66A566">
            <w:pPr>
              <w:autoSpaceDE w:val="0"/>
              <w:autoSpaceDN w:val="0"/>
              <w:adjustRightInd w:val="0"/>
              <w:spacing w:line="360" w:lineRule="auto"/>
              <w:rPr>
                <w:rFonts w:hint="eastAsia" w:ascii="仿宋" w:hAnsi="仿宋" w:eastAsia="仿宋" w:cs="仿宋"/>
                <w:kern w:val="0"/>
                <w:sz w:val="20"/>
                <w:szCs w:val="20"/>
              </w:rPr>
            </w:pPr>
            <w:r>
              <w:rPr>
                <w:rFonts w:hint="eastAsia" w:ascii="仿宋" w:hAnsi="仿宋" w:eastAsia="仿宋" w:cs="仿宋"/>
                <w:kern w:val="0"/>
                <w:sz w:val="20"/>
                <w:szCs w:val="20"/>
              </w:rPr>
              <w:t>采购人名称</w:t>
            </w:r>
          </w:p>
          <w:p w14:paraId="6114167B">
            <w:pPr>
              <w:autoSpaceDE w:val="0"/>
              <w:autoSpaceDN w:val="0"/>
              <w:adjustRightInd w:val="0"/>
              <w:spacing w:line="360" w:lineRule="auto"/>
              <w:rPr>
                <w:rFonts w:hint="eastAsia" w:ascii="仿宋" w:hAnsi="仿宋" w:eastAsia="仿宋" w:cs="仿宋"/>
                <w:kern w:val="0"/>
                <w:sz w:val="20"/>
                <w:szCs w:val="20"/>
              </w:rPr>
            </w:pPr>
            <w:r>
              <w:rPr>
                <w:rFonts w:hint="eastAsia" w:ascii="仿宋" w:hAnsi="仿宋" w:eastAsia="仿宋" w:cs="仿宋"/>
                <w:kern w:val="0"/>
                <w:sz w:val="20"/>
                <w:szCs w:val="20"/>
              </w:rPr>
              <w:t>陕西省教育考试院</w:t>
            </w:r>
          </w:p>
          <w:p w14:paraId="12047F7A">
            <w:pPr>
              <w:autoSpaceDE w:val="0"/>
              <w:autoSpaceDN w:val="0"/>
              <w:adjustRightInd w:val="0"/>
              <w:spacing w:line="360" w:lineRule="auto"/>
              <w:ind w:firstLine="700" w:firstLineChars="350"/>
              <w:jc w:val="left"/>
              <w:rPr>
                <w:rFonts w:hint="eastAsia" w:ascii="仿宋" w:hAnsi="仿宋" w:eastAsia="仿宋" w:cs="仿宋"/>
                <w:kern w:val="0"/>
                <w:sz w:val="20"/>
                <w:szCs w:val="20"/>
              </w:rPr>
            </w:pPr>
            <w:r>
              <w:rPr>
                <w:rFonts w:hint="eastAsia" w:ascii="仿宋" w:hAnsi="仿宋" w:eastAsia="仿宋" w:cs="仿宋"/>
                <w:kern w:val="0"/>
                <w:sz w:val="20"/>
                <w:szCs w:val="20"/>
              </w:rPr>
              <w:t>（盖章）</w:t>
            </w:r>
          </w:p>
        </w:tc>
        <w:tc>
          <w:tcPr>
            <w:tcW w:w="4766" w:type="dxa"/>
            <w:tcBorders>
              <w:top w:val="single" w:color="auto" w:sz="4" w:space="0"/>
              <w:left w:val="single" w:color="auto" w:sz="4" w:space="0"/>
              <w:bottom w:val="single" w:color="auto" w:sz="4" w:space="0"/>
              <w:right w:val="single" w:color="auto" w:sz="4" w:space="0"/>
            </w:tcBorders>
            <w:noWrap w:val="0"/>
            <w:vAlign w:val="center"/>
          </w:tcPr>
          <w:p w14:paraId="094CE371">
            <w:pPr>
              <w:autoSpaceDE w:val="0"/>
              <w:autoSpaceDN w:val="0"/>
              <w:adjustRightInd w:val="0"/>
              <w:spacing w:line="360" w:lineRule="auto"/>
              <w:rPr>
                <w:rFonts w:hint="eastAsia" w:ascii="仿宋" w:hAnsi="仿宋" w:eastAsia="仿宋" w:cs="仿宋"/>
                <w:kern w:val="0"/>
                <w:sz w:val="20"/>
                <w:szCs w:val="20"/>
              </w:rPr>
            </w:pPr>
            <w:r>
              <w:rPr>
                <w:rFonts w:hint="eastAsia" w:ascii="仿宋" w:hAnsi="仿宋" w:eastAsia="仿宋" w:cs="仿宋"/>
                <w:kern w:val="0"/>
                <w:sz w:val="20"/>
                <w:szCs w:val="20"/>
              </w:rPr>
              <w:t>成交供应商全称</w:t>
            </w:r>
          </w:p>
          <w:p w14:paraId="49E734A4">
            <w:pPr>
              <w:autoSpaceDE w:val="0"/>
              <w:autoSpaceDN w:val="0"/>
              <w:adjustRightInd w:val="0"/>
              <w:spacing w:line="360" w:lineRule="auto"/>
              <w:jc w:val="center"/>
              <w:rPr>
                <w:rFonts w:hint="eastAsia" w:ascii="仿宋" w:hAnsi="仿宋" w:eastAsia="仿宋" w:cs="仿宋"/>
                <w:kern w:val="0"/>
                <w:sz w:val="20"/>
                <w:szCs w:val="20"/>
              </w:rPr>
            </w:pPr>
          </w:p>
          <w:p w14:paraId="4C60FC58">
            <w:pPr>
              <w:autoSpaceDE w:val="0"/>
              <w:autoSpaceDN w:val="0"/>
              <w:adjustRightInd w:val="0"/>
              <w:spacing w:line="360" w:lineRule="auto"/>
              <w:ind w:firstLine="800" w:firstLineChars="400"/>
              <w:jc w:val="left"/>
              <w:rPr>
                <w:rFonts w:hint="eastAsia" w:ascii="仿宋" w:hAnsi="仿宋" w:eastAsia="仿宋" w:cs="仿宋"/>
                <w:kern w:val="0"/>
                <w:sz w:val="20"/>
                <w:szCs w:val="20"/>
              </w:rPr>
            </w:pPr>
            <w:r>
              <w:rPr>
                <w:rFonts w:hint="eastAsia" w:ascii="仿宋" w:hAnsi="仿宋" w:eastAsia="仿宋" w:cs="仿宋"/>
                <w:kern w:val="0"/>
                <w:sz w:val="20"/>
                <w:szCs w:val="20"/>
              </w:rPr>
              <w:t>（盖章）</w:t>
            </w:r>
          </w:p>
        </w:tc>
      </w:tr>
      <w:tr w14:paraId="5D2F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63A2BFCB">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地址：西安市含光路40号</w:t>
            </w:r>
          </w:p>
        </w:tc>
        <w:tc>
          <w:tcPr>
            <w:tcW w:w="4766" w:type="dxa"/>
            <w:tcBorders>
              <w:top w:val="single" w:color="auto" w:sz="4" w:space="0"/>
              <w:left w:val="single" w:color="auto" w:sz="4" w:space="0"/>
              <w:bottom w:val="single" w:color="auto" w:sz="4" w:space="0"/>
              <w:right w:val="single" w:color="auto" w:sz="4" w:space="0"/>
            </w:tcBorders>
            <w:noWrap w:val="0"/>
            <w:vAlign w:val="top"/>
          </w:tcPr>
          <w:p w14:paraId="46BAFB7D">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地址： </w:t>
            </w:r>
          </w:p>
        </w:tc>
      </w:tr>
      <w:tr w14:paraId="7B5C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76158B98">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邮编：</w:t>
            </w:r>
          </w:p>
        </w:tc>
        <w:tc>
          <w:tcPr>
            <w:tcW w:w="4766" w:type="dxa"/>
            <w:tcBorders>
              <w:top w:val="single" w:color="auto" w:sz="4" w:space="0"/>
              <w:left w:val="single" w:color="auto" w:sz="4" w:space="0"/>
              <w:bottom w:val="single" w:color="auto" w:sz="4" w:space="0"/>
              <w:right w:val="single" w:color="auto" w:sz="4" w:space="0"/>
            </w:tcBorders>
            <w:noWrap w:val="0"/>
            <w:vAlign w:val="top"/>
          </w:tcPr>
          <w:p w14:paraId="1107BA19">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邮编：</w:t>
            </w:r>
          </w:p>
        </w:tc>
      </w:tr>
      <w:tr w14:paraId="5D38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7B1A4489">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法定代表人： </w:t>
            </w:r>
          </w:p>
        </w:tc>
        <w:tc>
          <w:tcPr>
            <w:tcW w:w="4766" w:type="dxa"/>
            <w:tcBorders>
              <w:top w:val="single" w:color="auto" w:sz="4" w:space="0"/>
              <w:left w:val="single" w:color="auto" w:sz="4" w:space="0"/>
              <w:bottom w:val="single" w:color="auto" w:sz="4" w:space="0"/>
              <w:right w:val="single" w:color="auto" w:sz="4" w:space="0"/>
            </w:tcBorders>
            <w:noWrap w:val="0"/>
            <w:vAlign w:val="top"/>
          </w:tcPr>
          <w:p w14:paraId="38EF920B">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法定代表人</w:t>
            </w:r>
            <w:r>
              <w:rPr>
                <w:rFonts w:hint="eastAsia" w:ascii="仿宋" w:hAnsi="仿宋" w:eastAsia="仿宋" w:cs="仿宋"/>
                <w:sz w:val="20"/>
                <w:szCs w:val="20"/>
              </w:rPr>
              <w:t>或负责人</w:t>
            </w:r>
            <w:r>
              <w:rPr>
                <w:rFonts w:hint="eastAsia" w:ascii="仿宋" w:hAnsi="仿宋" w:eastAsia="仿宋" w:cs="仿宋"/>
                <w:kern w:val="0"/>
                <w:sz w:val="20"/>
                <w:szCs w:val="20"/>
              </w:rPr>
              <w:t xml:space="preserve">： </w:t>
            </w:r>
          </w:p>
        </w:tc>
      </w:tr>
      <w:tr w14:paraId="4B0F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51F461D1">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被授权代表：（签字）</w:t>
            </w:r>
          </w:p>
        </w:tc>
        <w:tc>
          <w:tcPr>
            <w:tcW w:w="4766" w:type="dxa"/>
            <w:tcBorders>
              <w:top w:val="single" w:color="auto" w:sz="4" w:space="0"/>
              <w:left w:val="single" w:color="auto" w:sz="4" w:space="0"/>
              <w:bottom w:val="single" w:color="auto" w:sz="4" w:space="0"/>
              <w:right w:val="single" w:color="auto" w:sz="4" w:space="0"/>
            </w:tcBorders>
            <w:noWrap w:val="0"/>
            <w:vAlign w:val="top"/>
          </w:tcPr>
          <w:p w14:paraId="63D31D58">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被授权代表：（签字）</w:t>
            </w:r>
          </w:p>
        </w:tc>
      </w:tr>
      <w:tr w14:paraId="3B44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5315CB1A">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电话：</w:t>
            </w:r>
          </w:p>
        </w:tc>
        <w:tc>
          <w:tcPr>
            <w:tcW w:w="4766" w:type="dxa"/>
            <w:tcBorders>
              <w:top w:val="single" w:color="auto" w:sz="4" w:space="0"/>
              <w:left w:val="single" w:color="auto" w:sz="4" w:space="0"/>
              <w:bottom w:val="single" w:color="auto" w:sz="4" w:space="0"/>
              <w:right w:val="single" w:color="auto" w:sz="4" w:space="0"/>
            </w:tcBorders>
            <w:noWrap w:val="0"/>
            <w:vAlign w:val="top"/>
          </w:tcPr>
          <w:p w14:paraId="6D1CA1E5">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电话：</w:t>
            </w:r>
          </w:p>
        </w:tc>
      </w:tr>
      <w:tr w14:paraId="1701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44D04BE3">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传真：</w:t>
            </w:r>
          </w:p>
        </w:tc>
        <w:tc>
          <w:tcPr>
            <w:tcW w:w="4766" w:type="dxa"/>
            <w:tcBorders>
              <w:top w:val="single" w:color="auto" w:sz="4" w:space="0"/>
              <w:left w:val="single" w:color="auto" w:sz="4" w:space="0"/>
              <w:bottom w:val="single" w:color="auto" w:sz="4" w:space="0"/>
              <w:right w:val="single" w:color="auto" w:sz="4" w:space="0"/>
            </w:tcBorders>
            <w:noWrap w:val="0"/>
            <w:vAlign w:val="top"/>
          </w:tcPr>
          <w:p w14:paraId="1A21CE05">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传真：</w:t>
            </w:r>
          </w:p>
        </w:tc>
      </w:tr>
      <w:tr w14:paraId="3BD74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202CCFFC">
            <w:pPr>
              <w:autoSpaceDE w:val="0"/>
              <w:autoSpaceDN w:val="0"/>
              <w:adjustRightInd w:val="0"/>
              <w:spacing w:line="360" w:lineRule="auto"/>
              <w:jc w:val="left"/>
              <w:rPr>
                <w:rFonts w:hint="eastAsia" w:ascii="仿宋" w:hAnsi="仿宋" w:eastAsia="仿宋" w:cs="仿宋"/>
                <w:kern w:val="0"/>
                <w:sz w:val="20"/>
                <w:szCs w:val="20"/>
              </w:rPr>
            </w:pPr>
          </w:p>
        </w:tc>
        <w:tc>
          <w:tcPr>
            <w:tcW w:w="4766" w:type="dxa"/>
            <w:tcBorders>
              <w:top w:val="single" w:color="auto" w:sz="4" w:space="0"/>
              <w:left w:val="single" w:color="auto" w:sz="4" w:space="0"/>
              <w:bottom w:val="single" w:color="auto" w:sz="4" w:space="0"/>
              <w:right w:val="single" w:color="auto" w:sz="4" w:space="0"/>
            </w:tcBorders>
            <w:noWrap w:val="0"/>
            <w:vAlign w:val="top"/>
          </w:tcPr>
          <w:p w14:paraId="007C4F34">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开户银行： </w:t>
            </w:r>
          </w:p>
        </w:tc>
      </w:tr>
      <w:tr w14:paraId="23E0C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3DFAA184">
            <w:pPr>
              <w:autoSpaceDE w:val="0"/>
              <w:autoSpaceDN w:val="0"/>
              <w:adjustRightInd w:val="0"/>
              <w:spacing w:line="360" w:lineRule="auto"/>
              <w:jc w:val="left"/>
              <w:rPr>
                <w:rFonts w:hint="eastAsia" w:ascii="仿宋" w:hAnsi="仿宋" w:eastAsia="仿宋" w:cs="仿宋"/>
                <w:kern w:val="0"/>
                <w:sz w:val="20"/>
                <w:szCs w:val="20"/>
              </w:rPr>
            </w:pPr>
          </w:p>
        </w:tc>
        <w:tc>
          <w:tcPr>
            <w:tcW w:w="4766" w:type="dxa"/>
            <w:tcBorders>
              <w:top w:val="single" w:color="auto" w:sz="4" w:space="0"/>
              <w:left w:val="single" w:color="auto" w:sz="4" w:space="0"/>
              <w:bottom w:val="single" w:color="auto" w:sz="4" w:space="0"/>
              <w:right w:val="single" w:color="auto" w:sz="4" w:space="0"/>
            </w:tcBorders>
            <w:noWrap w:val="0"/>
            <w:vAlign w:val="top"/>
          </w:tcPr>
          <w:p w14:paraId="7A4F36DF">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帐号：</w:t>
            </w:r>
          </w:p>
        </w:tc>
      </w:tr>
      <w:tr w14:paraId="1372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570" w:type="dxa"/>
            <w:tcBorders>
              <w:top w:val="single" w:color="auto" w:sz="4" w:space="0"/>
              <w:left w:val="single" w:color="auto" w:sz="4" w:space="0"/>
              <w:bottom w:val="single" w:color="auto" w:sz="4" w:space="0"/>
              <w:right w:val="single" w:color="auto" w:sz="4" w:space="0"/>
            </w:tcBorders>
            <w:noWrap w:val="0"/>
            <w:vAlign w:val="top"/>
          </w:tcPr>
          <w:p w14:paraId="147FB78E">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日期： </w:t>
            </w:r>
          </w:p>
        </w:tc>
        <w:tc>
          <w:tcPr>
            <w:tcW w:w="4766" w:type="dxa"/>
            <w:tcBorders>
              <w:top w:val="single" w:color="auto" w:sz="4" w:space="0"/>
              <w:left w:val="single" w:color="auto" w:sz="4" w:space="0"/>
              <w:bottom w:val="single" w:color="auto" w:sz="4" w:space="0"/>
              <w:right w:val="single" w:color="auto" w:sz="4" w:space="0"/>
            </w:tcBorders>
            <w:noWrap w:val="0"/>
            <w:vAlign w:val="top"/>
          </w:tcPr>
          <w:p w14:paraId="3957294E">
            <w:pPr>
              <w:autoSpaceDE w:val="0"/>
              <w:autoSpaceDN w:val="0"/>
              <w:adjustRightInd w:val="0"/>
              <w:spacing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 xml:space="preserve">日期：   </w:t>
            </w:r>
          </w:p>
        </w:tc>
      </w:tr>
    </w:tbl>
    <w:p w14:paraId="5A6E5F75">
      <w:pPr>
        <w:widowControl/>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乙方在招投标过程中提交的投标文件及向甲方作出的承诺为本合同组成部分，乙方应严格遵守。本合同一式陆份，甲方、乙方、采购代理机构各执贰份，政府采购管理部门备案壹份。签字盖章后生效，合同执行完毕自动失效，附件具有同等法律效力。（合同的服务承诺则长期有效）。</w:t>
      </w:r>
    </w:p>
    <w:p w14:paraId="713D03DD">
      <w:pPr>
        <w:spacing w:line="360" w:lineRule="auto"/>
        <w:rPr>
          <w:rFonts w:hint="eastAsia" w:ascii="仿宋" w:hAnsi="仿宋" w:eastAsia="仿宋" w:cs="仿宋"/>
          <w:sz w:val="20"/>
          <w:szCs w:val="20"/>
        </w:rPr>
      </w:pPr>
      <w:r>
        <w:rPr>
          <w:rFonts w:hint="eastAsia" w:ascii="仿宋" w:hAnsi="仿宋" w:eastAsia="仿宋" w:cs="仿宋"/>
          <w:sz w:val="20"/>
          <w:szCs w:val="20"/>
        </w:rPr>
        <w:br w:type="page"/>
      </w:r>
      <w:r>
        <w:rPr>
          <w:rFonts w:hint="eastAsia" w:ascii="仿宋" w:hAnsi="仿宋" w:eastAsia="仿宋" w:cs="仿宋"/>
          <w:sz w:val="20"/>
          <w:szCs w:val="20"/>
        </w:rPr>
        <w:t>附表一：</w:t>
      </w:r>
    </w:p>
    <w:p w14:paraId="1F6DFE78">
      <w:pPr>
        <w:rPr>
          <w:rFonts w:hint="eastAsia" w:ascii="仿宋" w:hAnsi="仿宋" w:eastAsia="仿宋" w:cs="仿宋"/>
          <w:sz w:val="20"/>
          <w:szCs w:val="20"/>
        </w:rPr>
      </w:pPr>
    </w:p>
    <w:tbl>
      <w:tblPr>
        <w:tblStyle w:val="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0"/>
        <w:gridCol w:w="1617"/>
        <w:gridCol w:w="2949"/>
        <w:gridCol w:w="4630"/>
      </w:tblGrid>
      <w:tr w14:paraId="2EBC2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3" w:hRule="atLeast"/>
          <w:jc w:val="center"/>
        </w:trPr>
        <w:tc>
          <w:tcPr>
            <w:tcW w:w="382" w:type="pct"/>
            <w:noWrap w:val="0"/>
            <w:vAlign w:val="center"/>
          </w:tcPr>
          <w:p w14:paraId="1220808E">
            <w:pPr>
              <w:jc w:val="center"/>
              <w:rPr>
                <w:rFonts w:hint="eastAsia" w:ascii="仿宋" w:hAnsi="仿宋" w:eastAsia="仿宋" w:cs="仿宋"/>
                <w:sz w:val="20"/>
                <w:szCs w:val="20"/>
              </w:rPr>
            </w:pPr>
            <w:r>
              <w:rPr>
                <w:rFonts w:hint="eastAsia" w:ascii="仿宋" w:hAnsi="仿宋" w:eastAsia="仿宋" w:cs="仿宋"/>
                <w:sz w:val="20"/>
                <w:szCs w:val="20"/>
              </w:rPr>
              <w:t>序号</w:t>
            </w:r>
          </w:p>
        </w:tc>
        <w:tc>
          <w:tcPr>
            <w:tcW w:w="812" w:type="pct"/>
            <w:noWrap w:val="0"/>
            <w:vAlign w:val="center"/>
          </w:tcPr>
          <w:p w14:paraId="0EB6C6D2">
            <w:pPr>
              <w:jc w:val="center"/>
              <w:rPr>
                <w:rFonts w:hint="eastAsia" w:ascii="仿宋" w:hAnsi="仿宋" w:eastAsia="仿宋" w:cs="仿宋"/>
                <w:sz w:val="20"/>
                <w:szCs w:val="20"/>
              </w:rPr>
            </w:pPr>
            <w:r>
              <w:rPr>
                <w:rFonts w:hint="eastAsia" w:ascii="仿宋" w:hAnsi="仿宋" w:eastAsia="仿宋" w:cs="仿宋"/>
                <w:sz w:val="20"/>
                <w:szCs w:val="20"/>
              </w:rPr>
              <w:t>保障天数</w:t>
            </w:r>
          </w:p>
        </w:tc>
        <w:tc>
          <w:tcPr>
            <w:tcW w:w="1481" w:type="pct"/>
            <w:noWrap w:val="0"/>
            <w:vAlign w:val="center"/>
          </w:tcPr>
          <w:p w14:paraId="79CB2841">
            <w:pPr>
              <w:jc w:val="center"/>
              <w:rPr>
                <w:rFonts w:hint="eastAsia" w:ascii="仿宋" w:hAnsi="仿宋" w:eastAsia="仿宋" w:cs="仿宋"/>
                <w:sz w:val="20"/>
                <w:szCs w:val="20"/>
              </w:rPr>
            </w:pPr>
            <w:r>
              <w:rPr>
                <w:rFonts w:hint="eastAsia" w:ascii="仿宋" w:hAnsi="仿宋" w:eastAsia="仿宋" w:cs="仿宋"/>
                <w:sz w:val="20"/>
                <w:szCs w:val="20"/>
              </w:rPr>
              <w:t>会议/考试时间</w:t>
            </w:r>
          </w:p>
        </w:tc>
        <w:tc>
          <w:tcPr>
            <w:tcW w:w="2325" w:type="pct"/>
            <w:noWrap w:val="0"/>
            <w:vAlign w:val="center"/>
          </w:tcPr>
          <w:p w14:paraId="706FF2CA">
            <w:pPr>
              <w:jc w:val="center"/>
              <w:rPr>
                <w:rFonts w:hint="eastAsia" w:ascii="仿宋" w:hAnsi="仿宋" w:eastAsia="仿宋" w:cs="仿宋"/>
                <w:sz w:val="20"/>
                <w:szCs w:val="20"/>
              </w:rPr>
            </w:pPr>
            <w:r>
              <w:rPr>
                <w:rFonts w:hint="eastAsia" w:ascii="仿宋" w:hAnsi="仿宋" w:eastAsia="仿宋" w:cs="仿宋"/>
                <w:sz w:val="20"/>
                <w:szCs w:val="20"/>
              </w:rPr>
              <w:t>会议/考试项目</w:t>
            </w:r>
          </w:p>
        </w:tc>
      </w:tr>
      <w:tr w14:paraId="68BDB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3" w:hRule="atLeast"/>
          <w:jc w:val="center"/>
        </w:trPr>
        <w:tc>
          <w:tcPr>
            <w:tcW w:w="382" w:type="pct"/>
            <w:noWrap w:val="0"/>
            <w:vAlign w:val="center"/>
          </w:tcPr>
          <w:p w14:paraId="1F30ADAD">
            <w:pPr>
              <w:jc w:val="center"/>
              <w:rPr>
                <w:rFonts w:hint="eastAsia" w:ascii="仿宋" w:hAnsi="仿宋" w:eastAsia="仿宋" w:cs="仿宋"/>
                <w:sz w:val="20"/>
                <w:szCs w:val="20"/>
              </w:rPr>
            </w:pPr>
            <w:r>
              <w:rPr>
                <w:rFonts w:hint="eastAsia" w:ascii="仿宋" w:hAnsi="仿宋" w:eastAsia="仿宋" w:cs="仿宋"/>
                <w:sz w:val="20"/>
                <w:szCs w:val="20"/>
              </w:rPr>
              <w:t>1</w:t>
            </w:r>
          </w:p>
        </w:tc>
        <w:tc>
          <w:tcPr>
            <w:tcW w:w="812" w:type="pct"/>
            <w:noWrap w:val="0"/>
            <w:vAlign w:val="center"/>
          </w:tcPr>
          <w:p w14:paraId="174F8007">
            <w:pPr>
              <w:rPr>
                <w:rFonts w:hint="eastAsia" w:ascii="仿宋" w:hAnsi="仿宋" w:eastAsia="仿宋" w:cs="仿宋"/>
                <w:sz w:val="20"/>
                <w:szCs w:val="20"/>
              </w:rPr>
            </w:pPr>
          </w:p>
        </w:tc>
        <w:tc>
          <w:tcPr>
            <w:tcW w:w="1481" w:type="pct"/>
            <w:noWrap w:val="0"/>
            <w:vAlign w:val="center"/>
          </w:tcPr>
          <w:p w14:paraId="7F3FC1D4">
            <w:pPr>
              <w:rPr>
                <w:rFonts w:hint="eastAsia" w:ascii="仿宋" w:hAnsi="仿宋" w:eastAsia="仿宋" w:cs="仿宋"/>
                <w:sz w:val="20"/>
                <w:szCs w:val="20"/>
              </w:rPr>
            </w:pPr>
          </w:p>
        </w:tc>
        <w:tc>
          <w:tcPr>
            <w:tcW w:w="2325" w:type="pct"/>
            <w:noWrap w:val="0"/>
            <w:vAlign w:val="center"/>
          </w:tcPr>
          <w:p w14:paraId="0951AE28">
            <w:pPr>
              <w:rPr>
                <w:rFonts w:hint="eastAsia" w:ascii="仿宋" w:hAnsi="仿宋" w:eastAsia="仿宋" w:cs="仿宋"/>
                <w:sz w:val="20"/>
                <w:szCs w:val="20"/>
              </w:rPr>
            </w:pPr>
          </w:p>
        </w:tc>
      </w:tr>
      <w:tr w14:paraId="4FDCF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3" w:hRule="atLeast"/>
          <w:jc w:val="center"/>
        </w:trPr>
        <w:tc>
          <w:tcPr>
            <w:tcW w:w="382" w:type="pct"/>
            <w:noWrap w:val="0"/>
            <w:vAlign w:val="center"/>
          </w:tcPr>
          <w:p w14:paraId="10AFA49E">
            <w:pPr>
              <w:jc w:val="center"/>
              <w:rPr>
                <w:rFonts w:hint="eastAsia" w:ascii="仿宋" w:hAnsi="仿宋" w:eastAsia="仿宋" w:cs="仿宋"/>
                <w:sz w:val="20"/>
                <w:szCs w:val="20"/>
              </w:rPr>
            </w:pPr>
            <w:r>
              <w:rPr>
                <w:rFonts w:hint="eastAsia" w:ascii="仿宋" w:hAnsi="仿宋" w:eastAsia="仿宋" w:cs="仿宋"/>
                <w:sz w:val="20"/>
                <w:szCs w:val="20"/>
              </w:rPr>
              <w:t>2</w:t>
            </w:r>
          </w:p>
        </w:tc>
        <w:tc>
          <w:tcPr>
            <w:tcW w:w="812" w:type="pct"/>
            <w:noWrap w:val="0"/>
            <w:vAlign w:val="center"/>
          </w:tcPr>
          <w:p w14:paraId="1FD490EC">
            <w:pPr>
              <w:rPr>
                <w:rFonts w:hint="eastAsia" w:ascii="仿宋" w:hAnsi="仿宋" w:eastAsia="仿宋" w:cs="仿宋"/>
                <w:sz w:val="20"/>
                <w:szCs w:val="20"/>
              </w:rPr>
            </w:pPr>
          </w:p>
        </w:tc>
        <w:tc>
          <w:tcPr>
            <w:tcW w:w="1481" w:type="pct"/>
            <w:noWrap w:val="0"/>
            <w:vAlign w:val="center"/>
          </w:tcPr>
          <w:p w14:paraId="75BEE8E1">
            <w:pPr>
              <w:rPr>
                <w:rFonts w:hint="eastAsia" w:ascii="仿宋" w:hAnsi="仿宋" w:eastAsia="仿宋" w:cs="仿宋"/>
                <w:sz w:val="20"/>
                <w:szCs w:val="20"/>
              </w:rPr>
            </w:pPr>
          </w:p>
        </w:tc>
        <w:tc>
          <w:tcPr>
            <w:tcW w:w="2325" w:type="pct"/>
            <w:noWrap w:val="0"/>
            <w:vAlign w:val="center"/>
          </w:tcPr>
          <w:p w14:paraId="2EB83EBB">
            <w:pPr>
              <w:rPr>
                <w:rFonts w:hint="eastAsia" w:ascii="仿宋" w:hAnsi="仿宋" w:eastAsia="仿宋" w:cs="仿宋"/>
                <w:sz w:val="20"/>
                <w:szCs w:val="20"/>
              </w:rPr>
            </w:pPr>
          </w:p>
        </w:tc>
      </w:tr>
      <w:tr w14:paraId="73473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3" w:hRule="atLeast"/>
          <w:jc w:val="center"/>
        </w:trPr>
        <w:tc>
          <w:tcPr>
            <w:tcW w:w="382" w:type="pct"/>
            <w:noWrap w:val="0"/>
            <w:vAlign w:val="center"/>
          </w:tcPr>
          <w:p w14:paraId="10B0F10D">
            <w:pPr>
              <w:jc w:val="center"/>
              <w:rPr>
                <w:rFonts w:hint="eastAsia" w:ascii="仿宋" w:hAnsi="仿宋" w:eastAsia="仿宋" w:cs="仿宋"/>
                <w:sz w:val="20"/>
                <w:szCs w:val="20"/>
              </w:rPr>
            </w:pPr>
            <w:r>
              <w:rPr>
                <w:rFonts w:hint="eastAsia" w:ascii="仿宋" w:hAnsi="仿宋" w:eastAsia="仿宋" w:cs="仿宋"/>
                <w:sz w:val="20"/>
                <w:szCs w:val="20"/>
              </w:rPr>
              <w:t>3</w:t>
            </w:r>
          </w:p>
        </w:tc>
        <w:tc>
          <w:tcPr>
            <w:tcW w:w="812" w:type="pct"/>
            <w:noWrap w:val="0"/>
            <w:vAlign w:val="center"/>
          </w:tcPr>
          <w:p w14:paraId="029A2D4A">
            <w:pPr>
              <w:rPr>
                <w:rFonts w:hint="eastAsia" w:ascii="仿宋" w:hAnsi="仿宋" w:eastAsia="仿宋" w:cs="仿宋"/>
                <w:sz w:val="20"/>
                <w:szCs w:val="20"/>
              </w:rPr>
            </w:pPr>
          </w:p>
        </w:tc>
        <w:tc>
          <w:tcPr>
            <w:tcW w:w="1481" w:type="pct"/>
            <w:noWrap w:val="0"/>
            <w:vAlign w:val="center"/>
          </w:tcPr>
          <w:p w14:paraId="173D590F">
            <w:pPr>
              <w:rPr>
                <w:rFonts w:hint="eastAsia" w:ascii="仿宋" w:hAnsi="仿宋" w:eastAsia="仿宋" w:cs="仿宋"/>
                <w:sz w:val="20"/>
                <w:szCs w:val="20"/>
              </w:rPr>
            </w:pPr>
          </w:p>
        </w:tc>
        <w:tc>
          <w:tcPr>
            <w:tcW w:w="2325" w:type="pct"/>
            <w:noWrap w:val="0"/>
            <w:vAlign w:val="center"/>
          </w:tcPr>
          <w:p w14:paraId="349A6B48">
            <w:pPr>
              <w:rPr>
                <w:rFonts w:hint="eastAsia" w:ascii="仿宋" w:hAnsi="仿宋" w:eastAsia="仿宋" w:cs="仿宋"/>
                <w:sz w:val="20"/>
                <w:szCs w:val="20"/>
              </w:rPr>
            </w:pPr>
          </w:p>
        </w:tc>
      </w:tr>
      <w:tr w14:paraId="05DE4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3" w:hRule="atLeast"/>
          <w:jc w:val="center"/>
        </w:trPr>
        <w:tc>
          <w:tcPr>
            <w:tcW w:w="382" w:type="pct"/>
            <w:noWrap w:val="0"/>
            <w:vAlign w:val="center"/>
          </w:tcPr>
          <w:p w14:paraId="2E6EEF4E">
            <w:pPr>
              <w:jc w:val="center"/>
              <w:rPr>
                <w:rFonts w:hint="eastAsia" w:ascii="仿宋" w:hAnsi="仿宋" w:eastAsia="仿宋" w:cs="仿宋"/>
                <w:sz w:val="20"/>
                <w:szCs w:val="20"/>
              </w:rPr>
            </w:pPr>
            <w:r>
              <w:rPr>
                <w:rFonts w:hint="eastAsia" w:ascii="仿宋" w:hAnsi="仿宋" w:eastAsia="仿宋" w:cs="仿宋"/>
                <w:sz w:val="20"/>
                <w:szCs w:val="20"/>
              </w:rPr>
              <w:t>4</w:t>
            </w:r>
          </w:p>
        </w:tc>
        <w:tc>
          <w:tcPr>
            <w:tcW w:w="812" w:type="pct"/>
            <w:noWrap w:val="0"/>
            <w:vAlign w:val="center"/>
          </w:tcPr>
          <w:p w14:paraId="48E17B4E">
            <w:pPr>
              <w:rPr>
                <w:rFonts w:hint="eastAsia" w:ascii="仿宋" w:hAnsi="仿宋" w:eastAsia="仿宋" w:cs="仿宋"/>
                <w:sz w:val="20"/>
                <w:szCs w:val="20"/>
              </w:rPr>
            </w:pPr>
          </w:p>
        </w:tc>
        <w:tc>
          <w:tcPr>
            <w:tcW w:w="1481" w:type="pct"/>
            <w:noWrap w:val="0"/>
            <w:vAlign w:val="center"/>
          </w:tcPr>
          <w:p w14:paraId="2ACD796E">
            <w:pPr>
              <w:rPr>
                <w:rFonts w:hint="eastAsia" w:ascii="仿宋" w:hAnsi="仿宋" w:eastAsia="仿宋" w:cs="仿宋"/>
                <w:sz w:val="20"/>
                <w:szCs w:val="20"/>
              </w:rPr>
            </w:pPr>
          </w:p>
        </w:tc>
        <w:tc>
          <w:tcPr>
            <w:tcW w:w="2325" w:type="pct"/>
            <w:noWrap w:val="0"/>
            <w:vAlign w:val="center"/>
          </w:tcPr>
          <w:p w14:paraId="29E13602">
            <w:pPr>
              <w:rPr>
                <w:rFonts w:hint="eastAsia" w:ascii="仿宋" w:hAnsi="仿宋" w:eastAsia="仿宋" w:cs="仿宋"/>
                <w:sz w:val="20"/>
                <w:szCs w:val="20"/>
              </w:rPr>
            </w:pPr>
          </w:p>
        </w:tc>
      </w:tr>
      <w:tr w14:paraId="58F2F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9" w:hRule="atLeast"/>
          <w:jc w:val="center"/>
        </w:trPr>
        <w:tc>
          <w:tcPr>
            <w:tcW w:w="382" w:type="pct"/>
            <w:noWrap w:val="0"/>
            <w:vAlign w:val="center"/>
          </w:tcPr>
          <w:p w14:paraId="7F9BC02B">
            <w:pPr>
              <w:jc w:val="center"/>
              <w:rPr>
                <w:rFonts w:hint="eastAsia" w:ascii="仿宋" w:hAnsi="仿宋" w:eastAsia="仿宋" w:cs="仿宋"/>
                <w:sz w:val="20"/>
                <w:szCs w:val="20"/>
              </w:rPr>
            </w:pPr>
            <w:r>
              <w:rPr>
                <w:rFonts w:hint="eastAsia" w:ascii="仿宋" w:hAnsi="仿宋" w:eastAsia="仿宋" w:cs="仿宋"/>
                <w:sz w:val="20"/>
                <w:szCs w:val="20"/>
              </w:rPr>
              <w:t>备注</w:t>
            </w:r>
          </w:p>
        </w:tc>
        <w:tc>
          <w:tcPr>
            <w:tcW w:w="812" w:type="pct"/>
            <w:noWrap w:val="0"/>
            <w:vAlign w:val="center"/>
          </w:tcPr>
          <w:p w14:paraId="491A30B5">
            <w:pPr>
              <w:rPr>
                <w:rFonts w:hint="eastAsia" w:ascii="仿宋" w:hAnsi="仿宋" w:eastAsia="仿宋" w:cs="仿宋"/>
                <w:sz w:val="20"/>
                <w:szCs w:val="20"/>
              </w:rPr>
            </w:pPr>
          </w:p>
        </w:tc>
        <w:tc>
          <w:tcPr>
            <w:tcW w:w="3806" w:type="pct"/>
            <w:gridSpan w:val="2"/>
            <w:noWrap w:val="0"/>
            <w:vAlign w:val="center"/>
          </w:tcPr>
          <w:p w14:paraId="7CD71E02">
            <w:pPr>
              <w:rPr>
                <w:rFonts w:hint="eastAsia" w:ascii="仿宋" w:hAnsi="仿宋" w:eastAsia="仿宋" w:cs="仿宋"/>
                <w:sz w:val="20"/>
                <w:szCs w:val="20"/>
              </w:rPr>
            </w:pPr>
          </w:p>
        </w:tc>
      </w:tr>
    </w:tbl>
    <w:p w14:paraId="4F0443A3">
      <w:pPr>
        <w:rPr>
          <w:rFonts w:hint="eastAsia" w:ascii="仿宋" w:hAnsi="仿宋" w:eastAsia="仿宋" w:cs="仿宋"/>
          <w:sz w:val="20"/>
          <w:szCs w:val="20"/>
        </w:rPr>
      </w:pPr>
    </w:p>
    <w:p w14:paraId="302FEB70">
      <w:pPr>
        <w:keepNext w:val="0"/>
        <w:keepLines w:val="0"/>
        <w:pageBreakBefore w:val="0"/>
        <w:widowControl/>
        <w:kinsoku/>
        <w:wordWrap w:val="0"/>
        <w:overflowPunct/>
        <w:topLinePunct/>
        <w:autoSpaceDE/>
        <w:autoSpaceDN/>
        <w:bidi w:val="0"/>
        <w:adjustRightInd w:val="0"/>
        <w:snapToGrid w:val="0"/>
        <w:spacing w:line="360" w:lineRule="auto"/>
        <w:textAlignment w:val="baseline"/>
        <w:rPr>
          <w:rFonts w:hint="eastAsia"/>
          <w:lang w:val="en-US" w:eastAsia="zh-Hans"/>
        </w:rPr>
      </w:pPr>
    </w:p>
    <w:p w14:paraId="1F0D3552">
      <w:bookmarkStart w:id="14" w:name="_GoBack"/>
      <w:bookmarkEnd w:id="14"/>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48A8">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4F801">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7AC4F801">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5E3E1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65E3E1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japaneseCounting"/>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00000012"/>
    <w:multiLevelType w:val="multilevel"/>
    <w:tmpl w:val="00000012"/>
    <w:lvl w:ilvl="0" w:tentative="0">
      <w:start w:val="4"/>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2EDF7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Plain Text"/>
    <w:basedOn w:val="1"/>
    <w:next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styleId="12">
    <w:name w:val="List Paragraph"/>
    <w:basedOn w:val="1"/>
    <w:qFormat/>
    <w:uiPriority w:val="0"/>
    <w:pPr>
      <w:widowControl/>
      <w:spacing w:line="240" w:lineRule="auto"/>
      <w:ind w:left="720"/>
      <w:contextualSpacing/>
      <w:jc w:val="left"/>
    </w:pPr>
    <w:rPr>
      <w:rFonts w:ascii="Calibri" w:hAnsi="Calibri"/>
      <w:kern w:val="0"/>
      <w:sz w:val="24"/>
      <w:lang w:eastAsia="en-US" w:bidi="en-US"/>
    </w:rPr>
  </w:style>
  <w:style w:type="paragraph" w:customStyle="1" w:styleId="13">
    <w:name w:val="表格1"/>
    <w:next w:val="1"/>
    <w:qFormat/>
    <w:uiPriority w:val="0"/>
    <w:rPr>
      <w:rFonts w:ascii="Times New Roman"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1267</Words>
  <Characters>1278</Characters>
  <Lines>11</Lines>
  <Paragraphs>3</Paragraphs>
  <TotalTime>0</TotalTime>
  <ScaleCrop>false</ScaleCrop>
  <LinksUpToDate>false</LinksUpToDate>
  <CharactersWithSpaces>1547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2026-04-29T14:36:44Z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