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版本号：LZBC2026-51420260514001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执法装备和执法在线视频指挥无线传输终端运维</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LZBC2026-514</w:t>
      </w:r>
      <w:r>
        <w:br/>
      </w:r>
      <w:r>
        <w:br/>
      </w:r>
      <w:r>
        <w:br/>
      </w:r>
    </w:p>
    <w:p>
      <w:pPr>
        <w:pStyle w:val="null3"/>
        <w:jc w:val="center"/>
        <w:outlineLvl w:val="2"/>
      </w:pPr>
      <w:r>
        <w:rPr>
          <w:rFonts w:ascii="仿宋_GB2312" w:hAnsi="仿宋_GB2312" w:cs="仿宋_GB2312" w:eastAsia="仿宋_GB2312"/>
          <w:sz w:val="28"/>
          <w:b/>
        </w:rPr>
        <w:t>西安市生态环境保护综合执法支队</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西安市生态环境保护综合执法支队</w:t>
      </w:r>
      <w:r>
        <w:rPr>
          <w:rFonts w:ascii="仿宋_GB2312" w:hAnsi="仿宋_GB2312" w:cs="仿宋_GB2312" w:eastAsia="仿宋_GB2312"/>
        </w:rPr>
        <w:t>委托，拟对</w:t>
      </w:r>
      <w:r>
        <w:rPr>
          <w:rFonts w:ascii="仿宋_GB2312" w:hAnsi="仿宋_GB2312" w:cs="仿宋_GB2312" w:eastAsia="仿宋_GB2312"/>
        </w:rPr>
        <w:t>执法装备和执法在线视频指挥无线传输终端运维</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LZBC2026-514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执法装备和执法在线视频指挥无线传输终端运维</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执法装备和执法在线视频指挥无线传输终端运维，具体详见磋商文件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采购包1（执法装备和执法在线视频指挥无线传输终端运维）：属于专门面向中小企业采购。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法人需提供合法有效的营业执照，其他组织需提供合法有效的营业执照等证明资料，自然人须提供身份证明。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pPr>
        <w:pStyle w:val="null3"/>
      </w:pPr>
      <w:r>
        <w:rPr>
          <w:rFonts w:ascii="仿宋_GB2312" w:hAnsi="仿宋_GB2312" w:cs="仿宋_GB2312" w:eastAsia="仿宋_GB2312"/>
        </w:rPr>
        <w:t>3、财务状况报告：财务状况报告：供应商2024年或2025年经审计的财务报告（事业法人可提供部门决算报告）或基本开户银行出具的资信证明或担保机构出具的投标担保函，供应商需在项目电子化交易系统中按要求上传相应证明文件并进行电子签章。</w:t>
      </w:r>
    </w:p>
    <w:p>
      <w:pPr>
        <w:pStyle w:val="null3"/>
      </w:pPr>
      <w:r>
        <w:rPr>
          <w:rFonts w:ascii="仿宋_GB2312" w:hAnsi="仿宋_GB2312" w:cs="仿宋_GB2312" w:eastAsia="仿宋_GB2312"/>
        </w:rPr>
        <w:t>4、参加政府采购活动前3年内在经营活动中没有重大违法记录的书面声明：参加政府采购活动前3年内在经营活动中没有重大违法记录的书面声明：重大违法记录是指供应商因违法经营受到刑事处罚或者责令停产停业、吊销许可证或者执照、较大数额罚款等行政处罚。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书面声明函：履行合同所必需的设备和专业技术能力书面声明函：供应商应提供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6、信用状况：信用状况：供应商未被列入《信用中国》失信被执行人、重大税收违法失信主体、政府采购严重违法失信行为记录名单和《中国政府采购网》政府采购严重违法失信行为记录名单。以响应文件上传截止时间后当日内采购人或采购代理机构的查询结果为准。</w:t>
      </w:r>
    </w:p>
    <w:p>
      <w:pPr>
        <w:pStyle w:val="null3"/>
      </w:pPr>
      <w:r>
        <w:rPr>
          <w:rFonts w:ascii="仿宋_GB2312" w:hAnsi="仿宋_GB2312" w:cs="仿宋_GB2312" w:eastAsia="仿宋_GB2312"/>
        </w:rPr>
        <w:t>7、本项目是否为专门面向中小企业的采购：本项目为专门面向中小企业的采购（监狱企业、残疾人福利性单位视同小微企业），需提供《中小企业声明函》或《监狱企业的证明文件》或《残疾人福利性单位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西安市生态环境保护综合执法支队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西安市碑林区大学东路4号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029-85392325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易景元、王申午、张波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采购包1：1,090,000.00元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招标代理服务收费管理暂行办法》的通知（计价格〔2002〕1980号）、《国家发展和改革委员会办公厅关于招标代理服务收费有关问题的通知》（发改办价格〔2003〕857号）。2、成交供应商在取得成交通知书时，向采购代理机构一次性缴付成交服务费。代理服务费以转账或现金形式缴纳至以下账户： 开户名称：龙寰项目管理咨询有限公司 开户银行：平安银行西安高新路支行 账号：30201278018530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西安市生态环境保护综合执法支队</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西安市生态环境保护综合执法支队</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西安市生态环境保护综合执法支队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联系人：易景元、王申午、张波</w:t>
      </w:r>
    </w:p>
    <w:p>
      <w:pPr>
        <w:pStyle w:val="null3"/>
      </w:pPr>
      <w:r>
        <w:rPr>
          <w:rFonts w:ascii="仿宋_GB2312" w:hAnsi="仿宋_GB2312" w:cs="仿宋_GB2312" w:eastAsia="仿宋_GB2312"/>
        </w:rPr>
        <w:t>联系电话：029-88228899-635</w:t>
      </w:r>
    </w:p>
    <w:p>
      <w:pPr>
        <w:pStyle w:val="null3"/>
      </w:pPr>
      <w:r>
        <w:rPr>
          <w:rFonts w:ascii="仿宋_GB2312" w:hAnsi="仿宋_GB2312" w:cs="仿宋_GB2312" w:eastAsia="仿宋_GB2312"/>
        </w:rPr>
        <w:t>地址：西安市高新区太白南路181号西部电子社区A座A区501室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执法装备和执法在线视频指挥无线传输终端运维，具体详见磋商文件。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1,090,000.00</w:t>
      </w:r>
    </w:p>
    <w:p>
      <w:pPr>
        <w:pStyle w:val="null3"/>
      </w:pPr>
      <w:r>
        <w:rPr>
          <w:rFonts w:ascii="仿宋_GB2312" w:hAnsi="仿宋_GB2312" w:cs="仿宋_GB2312" w:eastAsia="仿宋_GB2312"/>
        </w:rPr>
        <w:t>采购包最高限价（元）: 1,090,000.00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终端运维</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1,090,000.00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标的名称：终端运维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服务内容</w:t>
            </w:r>
          </w:p>
          <w:p>
            <w:pPr>
              <w:pStyle w:val="null3"/>
              <w:ind w:firstLine="416"/>
              <w:jc w:val="left"/>
            </w:pPr>
            <w:r>
              <w:rPr>
                <w:rFonts w:ascii="仿宋_GB2312" w:hAnsi="仿宋_GB2312" w:cs="仿宋_GB2312" w:eastAsia="仿宋_GB2312"/>
                <w:sz w:val="20"/>
              </w:rPr>
              <w:t>本项目为西安市生态环境保护综合执法支队现有执法装备和执法在线视频</w:t>
            </w:r>
            <w:r>
              <w:rPr>
                <w:rFonts w:ascii="仿宋_GB2312" w:hAnsi="仿宋_GB2312" w:cs="仿宋_GB2312" w:eastAsia="仿宋_GB2312"/>
                <w:sz w:val="20"/>
              </w:rPr>
              <w:t>指挥无线传输终端等运维，具体包括：</w:t>
            </w:r>
          </w:p>
          <w:p>
            <w:pPr>
              <w:pStyle w:val="null3"/>
              <w:ind w:firstLine="372"/>
              <w:jc w:val="left"/>
            </w:pPr>
            <w:r>
              <w:rPr>
                <w:rFonts w:ascii="仿宋_GB2312" w:hAnsi="仿宋_GB2312" w:cs="仿宋_GB2312" w:eastAsia="仿宋_GB2312"/>
                <w:sz w:val="20"/>
              </w:rPr>
              <w:t>1.执法装备运维：</w:t>
            </w:r>
          </w:p>
          <w:p>
            <w:pPr>
              <w:pStyle w:val="null3"/>
              <w:ind w:firstLine="392"/>
              <w:jc w:val="left"/>
            </w:pPr>
            <w:r>
              <w:rPr>
                <w:rFonts w:ascii="仿宋_GB2312" w:hAnsi="仿宋_GB2312" w:cs="仿宋_GB2312" w:eastAsia="仿宋_GB2312"/>
                <w:sz w:val="20"/>
              </w:rPr>
              <w:t>1.1对配发</w:t>
            </w:r>
            <w:r>
              <w:rPr>
                <w:rFonts w:ascii="仿宋_GB2312" w:hAnsi="仿宋_GB2312" w:cs="仿宋_GB2312" w:eastAsia="仿宋_GB2312"/>
                <w:sz w:val="20"/>
              </w:rPr>
              <w:t>的执法装备</w:t>
            </w:r>
            <w:r>
              <w:rPr>
                <w:rFonts w:ascii="仿宋_GB2312" w:hAnsi="仿宋_GB2312" w:cs="仿宋_GB2312" w:eastAsia="仿宋_GB2312"/>
                <w:sz w:val="20"/>
              </w:rPr>
              <w:t>进行</w:t>
            </w:r>
            <w:r>
              <w:rPr>
                <w:rFonts w:ascii="仿宋_GB2312" w:hAnsi="仿宋_GB2312" w:cs="仿宋_GB2312" w:eastAsia="仿宋_GB2312"/>
                <w:sz w:val="20"/>
              </w:rPr>
              <w:t>的维护及保</w:t>
            </w:r>
            <w:r>
              <w:rPr>
                <w:rFonts w:ascii="仿宋_GB2312" w:hAnsi="仿宋_GB2312" w:cs="仿宋_GB2312" w:eastAsia="仿宋_GB2312"/>
                <w:sz w:val="20"/>
              </w:rPr>
              <w:t>养；</w:t>
            </w:r>
          </w:p>
          <w:p>
            <w:pPr>
              <w:pStyle w:val="null3"/>
              <w:ind w:firstLine="392"/>
              <w:jc w:val="left"/>
            </w:pPr>
            <w:r>
              <w:rPr>
                <w:rFonts w:ascii="仿宋_GB2312" w:hAnsi="仿宋_GB2312" w:cs="仿宋_GB2312" w:eastAsia="仿宋_GB2312"/>
                <w:sz w:val="20"/>
              </w:rPr>
              <w:t>1.2对配发的执法装备损耗品进行更新；</w:t>
            </w:r>
          </w:p>
          <w:p>
            <w:pPr>
              <w:pStyle w:val="null3"/>
              <w:ind w:firstLine="392"/>
              <w:jc w:val="left"/>
            </w:pPr>
            <w:r>
              <w:rPr>
                <w:rFonts w:ascii="仿宋_GB2312" w:hAnsi="仿宋_GB2312" w:cs="仿宋_GB2312" w:eastAsia="仿宋_GB2312"/>
                <w:sz w:val="20"/>
              </w:rPr>
              <w:t>1.3对配发的执法装备开展相关培训。</w:t>
            </w:r>
          </w:p>
          <w:p>
            <w:pPr>
              <w:pStyle w:val="null3"/>
              <w:ind w:firstLine="396"/>
              <w:jc w:val="left"/>
            </w:pPr>
            <w:r>
              <w:rPr>
                <w:rFonts w:ascii="仿宋_GB2312" w:hAnsi="仿宋_GB2312" w:cs="仿宋_GB2312" w:eastAsia="仿宋_GB2312"/>
                <w:sz w:val="20"/>
              </w:rPr>
              <w:t>2.执法在线视频指挥无</w:t>
            </w:r>
            <w:r>
              <w:rPr>
                <w:rFonts w:ascii="仿宋_GB2312" w:hAnsi="仿宋_GB2312" w:cs="仿宋_GB2312" w:eastAsia="仿宋_GB2312"/>
                <w:sz w:val="20"/>
              </w:rPr>
              <w:t>线传输终端的五个管理平台运维及软件升</w:t>
            </w:r>
            <w:r>
              <w:rPr>
                <w:rFonts w:ascii="仿宋_GB2312" w:hAnsi="仿宋_GB2312" w:cs="仿宋_GB2312" w:eastAsia="仿宋_GB2312"/>
                <w:sz w:val="20"/>
              </w:rPr>
              <w:t>级：</w:t>
            </w:r>
          </w:p>
          <w:p>
            <w:pPr>
              <w:pStyle w:val="null3"/>
              <w:ind w:firstLine="392"/>
              <w:jc w:val="left"/>
            </w:pPr>
            <w:r>
              <w:rPr>
                <w:rFonts w:ascii="仿宋_GB2312" w:hAnsi="仿宋_GB2312" w:cs="仿宋_GB2312" w:eastAsia="仿宋_GB2312"/>
                <w:sz w:val="20"/>
              </w:rPr>
              <w:t>2.1运维工程师3名；</w:t>
            </w:r>
          </w:p>
          <w:p>
            <w:pPr>
              <w:pStyle w:val="null3"/>
              <w:ind w:firstLine="392"/>
              <w:jc w:val="left"/>
            </w:pPr>
            <w:r>
              <w:rPr>
                <w:rFonts w:ascii="仿宋_GB2312" w:hAnsi="仿宋_GB2312" w:cs="仿宋_GB2312" w:eastAsia="仿宋_GB2312"/>
                <w:sz w:val="20"/>
              </w:rPr>
              <w:t>2.2管理系统平台数据库维护；</w:t>
            </w:r>
          </w:p>
          <w:p>
            <w:pPr>
              <w:pStyle w:val="null3"/>
              <w:ind w:firstLine="400"/>
              <w:jc w:val="left"/>
            </w:pPr>
            <w:r>
              <w:rPr>
                <w:rFonts w:ascii="仿宋_GB2312" w:hAnsi="仿宋_GB2312" w:cs="仿宋_GB2312" w:eastAsia="仿宋_GB2312"/>
                <w:sz w:val="20"/>
              </w:rPr>
              <w:t>2.3执法记录仪软件、视频会议软件、安全管理系</w:t>
            </w:r>
            <w:r>
              <w:rPr>
                <w:rFonts w:ascii="仿宋_GB2312" w:hAnsi="仿宋_GB2312" w:cs="仿宋_GB2312" w:eastAsia="仿宋_GB2312"/>
                <w:sz w:val="20"/>
              </w:rPr>
              <w:t>统的升级与维护；</w:t>
            </w:r>
          </w:p>
          <w:p>
            <w:pPr>
              <w:pStyle w:val="null3"/>
              <w:ind w:firstLine="408"/>
              <w:jc w:val="left"/>
            </w:pPr>
            <w:r>
              <w:rPr>
                <w:rFonts w:ascii="仿宋_GB2312" w:hAnsi="仿宋_GB2312" w:cs="仿宋_GB2312" w:eastAsia="仿宋_GB2312"/>
                <w:sz w:val="20"/>
              </w:rPr>
              <w:t>2.4系统网络维护：包含网点</w:t>
            </w:r>
            <w:r>
              <w:rPr>
                <w:rFonts w:ascii="仿宋_GB2312" w:hAnsi="仿宋_GB2312" w:cs="仿宋_GB2312" w:eastAsia="仿宋_GB2312"/>
                <w:sz w:val="20"/>
              </w:rPr>
              <w:t>IP</w:t>
            </w:r>
            <w:r>
              <w:rPr>
                <w:rFonts w:ascii="仿宋_GB2312" w:hAnsi="仿宋_GB2312" w:cs="仿宋_GB2312" w:eastAsia="仿宋_GB2312"/>
                <w:sz w:val="20"/>
              </w:rPr>
              <w:t>调试、线路排查等。</w:t>
            </w:r>
          </w:p>
          <w:p>
            <w:pPr>
              <w:pStyle w:val="null3"/>
              <w:ind w:firstLine="396"/>
              <w:jc w:val="left"/>
            </w:pPr>
            <w:r>
              <w:rPr>
                <w:rFonts w:ascii="仿宋_GB2312" w:hAnsi="仿宋_GB2312" w:cs="仿宋_GB2312" w:eastAsia="仿宋_GB2312"/>
                <w:sz w:val="20"/>
              </w:rPr>
              <w:t>3.4G物联网卡和执法在线视频指挥无线传输终端</w:t>
            </w:r>
            <w:r>
              <w:rPr>
                <w:rFonts w:ascii="仿宋_GB2312" w:hAnsi="仿宋_GB2312" w:cs="仿宋_GB2312" w:eastAsia="仿宋_GB2312"/>
                <w:sz w:val="20"/>
              </w:rPr>
              <w:t>系统网络专线：</w:t>
            </w:r>
          </w:p>
          <w:p>
            <w:pPr>
              <w:pStyle w:val="null3"/>
              <w:ind w:firstLine="404"/>
              <w:jc w:val="left"/>
            </w:pPr>
            <w:r>
              <w:rPr>
                <w:rFonts w:ascii="仿宋_GB2312" w:hAnsi="仿宋_GB2312" w:cs="仿宋_GB2312" w:eastAsia="仿宋_GB2312"/>
                <w:sz w:val="20"/>
              </w:rPr>
              <w:t>3.1执法在线视频指挥无线传输终端系统网络专线300兆/年/条，固定 IP，</w:t>
            </w:r>
            <w:r>
              <w:rPr>
                <w:rFonts w:ascii="仿宋_GB2312" w:hAnsi="仿宋_GB2312" w:cs="仿宋_GB2312" w:eastAsia="仿宋_GB2312"/>
                <w:sz w:val="20"/>
              </w:rPr>
              <w:t>保障21个视频会议系统</w:t>
            </w:r>
            <w:r>
              <w:rPr>
                <w:rFonts w:ascii="仿宋_GB2312" w:hAnsi="仿宋_GB2312" w:cs="仿宋_GB2312" w:eastAsia="仿宋_GB2312"/>
                <w:sz w:val="20"/>
              </w:rPr>
              <w:t>分会场同时接入视频和音频；保障视频会议系统主会场系统终端正常联网运行</w:t>
            </w:r>
            <w:r>
              <w:rPr>
                <w:rFonts w:ascii="仿宋_GB2312" w:hAnsi="仿宋_GB2312" w:cs="仿宋_GB2312" w:eastAsia="仿宋_GB2312"/>
                <w:sz w:val="20"/>
              </w:rPr>
              <w:t>；</w:t>
            </w:r>
          </w:p>
          <w:p>
            <w:pPr>
              <w:pStyle w:val="null3"/>
              <w:ind w:firstLine="404"/>
              <w:jc w:val="left"/>
            </w:pPr>
            <w:r>
              <w:rPr>
                <w:rFonts w:ascii="仿宋_GB2312" w:hAnsi="仿宋_GB2312" w:cs="仿宋_GB2312" w:eastAsia="仿宋_GB2312"/>
                <w:sz w:val="20"/>
              </w:rPr>
              <w:t>3.2保障移动执法记录仪和移动执法包（移动路由器）正常通信的</w:t>
            </w:r>
            <w:r>
              <w:rPr>
                <w:rFonts w:ascii="仿宋_GB2312" w:hAnsi="仿宋_GB2312" w:cs="仿宋_GB2312" w:eastAsia="仿宋_GB2312"/>
                <w:sz w:val="20"/>
              </w:rPr>
              <w:t>4G物联网卡474张，</w:t>
            </w:r>
            <w:r>
              <w:rPr>
                <w:rFonts w:ascii="仿宋_GB2312" w:hAnsi="仿宋_GB2312" w:cs="仿宋_GB2312" w:eastAsia="仿宋_GB2312"/>
                <w:sz w:val="20"/>
              </w:rPr>
              <w:t>流量池上限不超过</w:t>
            </w:r>
            <w:r>
              <w:rPr>
                <w:rFonts w:ascii="仿宋_GB2312" w:hAnsi="仿宋_GB2312" w:cs="仿宋_GB2312" w:eastAsia="仿宋_GB2312"/>
                <w:sz w:val="20"/>
              </w:rPr>
              <w:t>14220G/月。</w:t>
            </w:r>
          </w:p>
          <w:p>
            <w:pPr>
              <w:pStyle w:val="null3"/>
              <w:jc w:val="left"/>
            </w:pPr>
            <w:r>
              <w:rPr>
                <w:rFonts w:ascii="仿宋_GB2312" w:hAnsi="仿宋_GB2312" w:cs="仿宋_GB2312" w:eastAsia="仿宋_GB2312"/>
                <w:sz w:val="20"/>
                <w:b/>
              </w:rPr>
              <w:t>服务方式</w:t>
            </w:r>
          </w:p>
          <w:p>
            <w:pPr>
              <w:pStyle w:val="null3"/>
              <w:ind w:firstLine="396"/>
              <w:jc w:val="left"/>
            </w:pPr>
            <w:r>
              <w:rPr>
                <w:rFonts w:ascii="仿宋_GB2312" w:hAnsi="仿宋_GB2312" w:cs="仿宋_GB2312" w:eastAsia="仿宋_GB2312"/>
                <w:sz w:val="20"/>
              </w:rPr>
              <w:t>1.运维工程师需通过相关部门背景审查，签订保密协议，</w:t>
            </w:r>
            <w:r>
              <w:rPr>
                <w:rFonts w:ascii="仿宋_GB2312" w:hAnsi="仿宋_GB2312" w:cs="仿宋_GB2312" w:eastAsia="仿宋_GB2312"/>
                <w:sz w:val="20"/>
              </w:rPr>
              <w:t>参加保密培训</w:t>
            </w:r>
            <w:r>
              <w:rPr>
                <w:rFonts w:ascii="仿宋_GB2312" w:hAnsi="仿宋_GB2312" w:cs="仿宋_GB2312" w:eastAsia="仿宋_GB2312"/>
                <w:sz w:val="20"/>
              </w:rPr>
              <w:t>。</w:t>
            </w:r>
            <w:r>
              <w:rPr>
                <w:rFonts w:ascii="仿宋_GB2312" w:hAnsi="仿宋_GB2312" w:cs="仿宋_GB2312" w:eastAsia="仿宋_GB2312"/>
                <w:sz w:val="20"/>
              </w:rPr>
              <w:t>需</w:t>
            </w:r>
            <w:r>
              <w:rPr>
                <w:rFonts w:ascii="仿宋_GB2312" w:hAnsi="仿宋_GB2312" w:cs="仿宋_GB2312" w:eastAsia="仿宋_GB2312"/>
                <w:sz w:val="20"/>
              </w:rPr>
              <w:t>选派专业</w:t>
            </w:r>
            <w:r>
              <w:rPr>
                <w:rFonts w:ascii="仿宋_GB2312" w:hAnsi="仿宋_GB2312" w:cs="仿宋_GB2312" w:eastAsia="仿宋_GB2312"/>
                <w:sz w:val="20"/>
              </w:rPr>
              <w:t>技术骨干为运维人员，包括1名经验丰富的项目经理作为运维负责人，主要负责与支队日常对接、统筹运维任务。此外，根据现场的实际情况，配备</w:t>
            </w:r>
            <w:r>
              <w:rPr>
                <w:rFonts w:ascii="仿宋_GB2312" w:hAnsi="仿宋_GB2312" w:cs="仿宋_GB2312" w:eastAsia="仿宋_GB2312"/>
                <w:sz w:val="20"/>
              </w:rPr>
              <w:t>2</w:t>
            </w:r>
            <w:r>
              <w:rPr>
                <w:rFonts w:ascii="仿宋_GB2312" w:hAnsi="仿宋_GB2312" w:cs="仿宋_GB2312" w:eastAsia="仿宋_GB2312"/>
                <w:sz w:val="20"/>
              </w:rPr>
              <w:t>位系统运</w:t>
            </w:r>
            <w:r>
              <w:rPr>
                <w:rFonts w:ascii="仿宋_GB2312" w:hAnsi="仿宋_GB2312" w:cs="仿宋_GB2312" w:eastAsia="仿宋_GB2312"/>
                <w:sz w:val="20"/>
              </w:rPr>
              <w:t>维工程师，支持现场工作，确保可随时进行技术保障。</w:t>
            </w:r>
          </w:p>
          <w:p>
            <w:pPr>
              <w:pStyle w:val="null3"/>
              <w:ind w:firstLine="400"/>
              <w:jc w:val="both"/>
            </w:pPr>
            <w:r>
              <w:rPr>
                <w:rFonts w:ascii="仿宋_GB2312" w:hAnsi="仿宋_GB2312" w:cs="仿宋_GB2312" w:eastAsia="仿宋_GB2312"/>
                <w:sz w:val="20"/>
              </w:rPr>
              <w:t>2.运维人员工作时间与支队日常工作时间同步，服从支队管</w:t>
            </w:r>
            <w:r>
              <w:rPr>
                <w:rFonts w:ascii="仿宋_GB2312" w:hAnsi="仿宋_GB2312" w:cs="仿宋_GB2312" w:eastAsia="仿宋_GB2312"/>
                <w:sz w:val="20"/>
              </w:rPr>
              <w:t>理。在工作日</w:t>
            </w:r>
            <w:r>
              <w:rPr>
                <w:rFonts w:ascii="仿宋_GB2312" w:hAnsi="仿宋_GB2312" w:cs="仿宋_GB2312" w:eastAsia="仿宋_GB2312"/>
                <w:sz w:val="20"/>
              </w:rPr>
              <w:t>内保持全勤在岗，随时响应各类突发与常规运维需求，非工作日及节假日则安排</w:t>
            </w:r>
            <w:r>
              <w:rPr>
                <w:rFonts w:ascii="仿宋_GB2312" w:hAnsi="仿宋_GB2312" w:cs="仿宋_GB2312" w:eastAsia="仿宋_GB2312"/>
                <w:sz w:val="20"/>
              </w:rPr>
              <w:t>轮班值守，确保不间断技术保障，特别是针对可能影响案</w:t>
            </w:r>
            <w:r>
              <w:rPr>
                <w:rFonts w:ascii="仿宋_GB2312" w:hAnsi="仿宋_GB2312" w:cs="仿宋_GB2312" w:eastAsia="仿宋_GB2312"/>
                <w:sz w:val="20"/>
              </w:rPr>
              <w:t>件办理进程的紧急故障，能第一时间介入处理。</w:t>
            </w:r>
          </w:p>
          <w:p>
            <w:pPr>
              <w:pStyle w:val="null3"/>
              <w:jc w:val="both"/>
            </w:pPr>
            <w:r>
              <w:rPr>
                <w:rFonts w:ascii="仿宋_GB2312" w:hAnsi="仿宋_GB2312" w:cs="仿宋_GB2312" w:eastAsia="仿宋_GB2312"/>
                <w:sz w:val="20"/>
                <w:b/>
              </w:rPr>
              <w:t>技术要求</w:t>
            </w:r>
          </w:p>
          <w:p>
            <w:pPr>
              <w:pStyle w:val="null3"/>
              <w:ind w:firstLine="396"/>
              <w:jc w:val="both"/>
            </w:pPr>
            <w:r>
              <w:rPr>
                <w:rFonts w:ascii="仿宋_GB2312" w:hAnsi="仿宋_GB2312" w:cs="仿宋_GB2312" w:eastAsia="仿宋_GB2312"/>
                <w:sz w:val="20"/>
              </w:rPr>
              <w:t>1.对支队执法装备的维护、保养及校准，保障执法工作的正常。对支队执</w:t>
            </w:r>
            <w:r>
              <w:rPr>
                <w:rFonts w:ascii="仿宋_GB2312" w:hAnsi="仿宋_GB2312" w:cs="仿宋_GB2312" w:eastAsia="仿宋_GB2312"/>
                <w:sz w:val="20"/>
              </w:rPr>
              <w:t>法管理系统、视频会议系统—主会场、视频会议系统—分会场、内网OA、外网</w:t>
            </w:r>
            <w:r>
              <w:rPr>
                <w:rFonts w:ascii="仿宋_GB2312" w:hAnsi="仿宋_GB2312" w:cs="仿宋_GB2312" w:eastAsia="仿宋_GB2312"/>
                <w:sz w:val="20"/>
              </w:rPr>
              <w:t>OA、办公网络、机房监控、信息安全部分进行日常运维管理，通过每日巡检、</w:t>
            </w:r>
            <w:r>
              <w:rPr>
                <w:rFonts w:ascii="仿宋_GB2312" w:hAnsi="仿宋_GB2312" w:cs="仿宋_GB2312" w:eastAsia="仿宋_GB2312"/>
                <w:sz w:val="20"/>
              </w:rPr>
              <w:t>定期设备除尘、定期数据备份、按需不定期进行升级、网络维护、线路排查、故障处理及安全运维等，保障执法在线视频指挥无线传输终端系统的正常运行，提</w:t>
            </w:r>
            <w:r>
              <w:rPr>
                <w:rFonts w:ascii="仿宋_GB2312" w:hAnsi="仿宋_GB2312" w:cs="仿宋_GB2312" w:eastAsia="仿宋_GB2312"/>
                <w:sz w:val="20"/>
              </w:rPr>
              <w:t>供制式运维表。</w:t>
            </w:r>
          </w:p>
          <w:p>
            <w:pPr>
              <w:pStyle w:val="null3"/>
              <w:ind w:firstLine="380"/>
              <w:jc w:val="both"/>
            </w:pPr>
            <w:r>
              <w:rPr>
                <w:rFonts w:ascii="仿宋_GB2312" w:hAnsi="仿宋_GB2312" w:cs="仿宋_GB2312" w:eastAsia="仿宋_GB2312"/>
                <w:sz w:val="20"/>
              </w:rPr>
              <w:t>2.数据安全。未经支队书面同意，不得泄露系统配置</w:t>
            </w:r>
            <w:r>
              <w:rPr>
                <w:rFonts w:ascii="仿宋_GB2312" w:hAnsi="仿宋_GB2312" w:cs="仿宋_GB2312" w:eastAsia="仿宋_GB2312"/>
                <w:sz w:val="20"/>
              </w:rPr>
              <w:t>、IP地址等敏感信息，</w:t>
            </w:r>
            <w:r>
              <w:rPr>
                <w:rFonts w:ascii="仿宋_GB2312" w:hAnsi="仿宋_GB2312" w:cs="仿宋_GB2312" w:eastAsia="仿宋_GB2312"/>
                <w:sz w:val="20"/>
              </w:rPr>
              <w:t>必须严格遵守信息安全管理办法（如泄密将承担相关法律责任）。</w:t>
            </w:r>
          </w:p>
          <w:p>
            <w:pPr>
              <w:pStyle w:val="null3"/>
              <w:ind w:firstLine="400"/>
              <w:jc w:val="both"/>
            </w:pPr>
            <w:r>
              <w:rPr>
                <w:rFonts w:ascii="仿宋_GB2312" w:hAnsi="仿宋_GB2312" w:cs="仿宋_GB2312" w:eastAsia="仿宋_GB2312"/>
                <w:sz w:val="20"/>
              </w:rPr>
              <w:t>3.报告提交。每周提交《运维服务记录单</w:t>
            </w:r>
            <w:r>
              <w:rPr>
                <w:rFonts w:ascii="仿宋_GB2312" w:hAnsi="仿宋_GB2312" w:cs="仿宋_GB2312" w:eastAsia="仿宋_GB2312"/>
                <w:sz w:val="20"/>
              </w:rPr>
              <w:t>》，年度服务报告需包含问题统</w:t>
            </w:r>
            <w:r>
              <w:rPr>
                <w:rFonts w:ascii="仿宋_GB2312" w:hAnsi="仿宋_GB2312" w:cs="仿宋_GB2312" w:eastAsia="仿宋_GB2312"/>
                <w:sz w:val="20"/>
              </w:rPr>
              <w:t>计及改进建议。</w:t>
            </w:r>
          </w:p>
          <w:p>
            <w:pPr>
              <w:pStyle w:val="null3"/>
              <w:ind w:firstLine="384"/>
              <w:jc w:val="both"/>
            </w:pPr>
            <w:r>
              <w:rPr>
                <w:rFonts w:ascii="仿宋_GB2312" w:hAnsi="仿宋_GB2312" w:cs="仿宋_GB2312" w:eastAsia="仿宋_GB2312"/>
                <w:sz w:val="20"/>
              </w:rPr>
              <w:t>4.具体运维要求：</w:t>
            </w:r>
          </w:p>
          <w:p>
            <w:pPr>
              <w:pStyle w:val="null3"/>
              <w:ind w:firstLine="396"/>
              <w:jc w:val="both"/>
            </w:pPr>
            <w:r>
              <w:rPr>
                <w:rFonts w:ascii="仿宋_GB2312" w:hAnsi="仿宋_GB2312" w:cs="仿宋_GB2312" w:eastAsia="仿宋_GB2312"/>
                <w:sz w:val="20"/>
              </w:rPr>
              <w:t>4.1执法装备运维</w:t>
            </w:r>
          </w:p>
          <w:tbl>
            <w:tblPr>
              <w:tblBorders>
                <w:top w:val="none" w:color="000000" w:sz="4"/>
                <w:left w:val="none" w:color="000000" w:sz="4"/>
                <w:bottom w:val="none" w:color="000000" w:sz="4"/>
                <w:right w:val="none" w:color="000000" w:sz="4"/>
                <w:insideH w:val="none"/>
                <w:insideV w:val="none"/>
              </w:tblBorders>
            </w:tblPr>
            <w:tblGrid>
              <w:gridCol w:w="172"/>
              <w:gridCol w:w="647"/>
              <w:gridCol w:w="198"/>
              <w:gridCol w:w="1534"/>
            </w:tblGrid>
            <w:tr>
              <w:tc>
                <w:tcPr>
                  <w:tcW w:type="dxa" w:w="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设备品名</w:t>
                  </w:r>
                </w:p>
              </w:tc>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15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运维服务</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油气回收三项检测仪</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运维期限内对设备状态监测、保养清洁等，确保设备可正常使用，同时根据原厂对设备的要求，一年两次更换油封；进行1次的检测校准；如需维修及更换硬件费用另算。</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快检便携式水污染多参数在线分析仪试剂包</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设备在使用过程中需要的耗材在运维期内，按需补充。</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手持式光离子化检测仪(PID)</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运维期限内对设备状态监测、保养清洁等，确保设备可正常使用；根据原厂对设备的要求进行1次的检测校准；如需维修及更换硬件费用另算。</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移动执法包</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运维期限内对设备状态监测、保养清洁等，确保设备可正常使用；对打印机重点墨盒不定期更换，确保打印设备可正常使用，如需维修及更换硬件费用另算。</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便携式水污染多参数在线分析仪</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运维期限内对设备状态监测、保养清洁等，确保设备可正常使用；根据原厂对设备的要求进行1次的检测校准；如需维修及更换硬件费用另算。</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便携式水污染多参数分析仪</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运维期限内对设备状态监测、保养清洁等，确保设备可正常使用；根据原厂对设备的要求进行1次的检测校准；如需维修及更换硬件费用另算。</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红外摄像机</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运维期限内对设备状态监测、保养清洁等，确保设备可正常使用；如需维修及更换硬件费用另算。</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采样设备</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运维期限内对设备状态监测、保养清洁等，确保设备可正常使用；按需进行校准；</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流量计</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运维期限内对设备状态监测、保养清洁等，确保设备可正常使用；根据原厂对设备的要求进行1次的检测校准；如需维修及更换硬件费用另算。</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测距仪</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运维期限内对设备状态监测、保养清洁等，确保设备可正常使用；按需进行校准；如需维修及更换硬件费用另算。</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热球式风速仪</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运维期限内对设备状态监测、保养清洁等，确保设备可正常使用；根据原厂对设备的要求进行1次的检测校准；如需维修及更换硬件费用另算。</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粉尘快速测定仪</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运维期限内对设备状态监测、保养清洁等，确保设备可正常使用；按需进行校准；如需维修及更换硬件费用另算。</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环境气体应急检测仪</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运维期限内对设备状态监测、保养清洁等，确保设备可正常使用；传感器两年一换；如需维修及更换硬件费用另算。</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手持式光学气体成像仪</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运维期限内对设备状态监测、保养清洁等，确保设备可正常使用；电池2~3年一换；如需维修及更换硬件费用另算。</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手持测温热像仪</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运维期限内对设备状态监测、保养清洁等，确保设备可正常使用；按需进行校准；如需维修及更换硬件费用另算。</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执法记录仪</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383</w:t>
                  </w:r>
                </w:p>
              </w:tc>
              <w:tc>
                <w:tcPr>
                  <w:tcW w:type="dxa" w:w="15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运维期间内对设备软件方面进行升级、维修、数据备份等，如需维修及更换硬件费用另算。</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执法记录仪数据采集站</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1534"/>
                  <w:vMerge/>
                  <w:tcBorders>
                    <w:top w:val="none" w:color="000000" w:sz="4"/>
                    <w:left w:val="single" w:color="000000" w:sz="4"/>
                    <w:bottom w:val="single" w:color="000000" w:sz="4"/>
                    <w:right w:val="single" w:color="000000" w:sz="4"/>
                  </w:tcBorders>
                </w:tcPr>
                <w:p/>
              </w:tc>
            </w:tr>
          </w:tbl>
          <w:p>
            <w:pPr>
              <w:pStyle w:val="null3"/>
              <w:ind w:firstLine="396"/>
              <w:jc w:val="both"/>
            </w:pPr>
            <w:r>
              <w:rPr>
                <w:rFonts w:ascii="仿宋_GB2312" w:hAnsi="仿宋_GB2312" w:cs="仿宋_GB2312" w:eastAsia="仿宋_GB2312"/>
                <w:sz w:val="20"/>
              </w:rPr>
              <w:t>4.2执法在线视频指挥无线传输终端运维</w:t>
            </w:r>
          </w:p>
          <w:tbl>
            <w:tblPr>
              <w:tblBorders>
                <w:top w:val="none" w:color="000000" w:sz="4"/>
                <w:left w:val="none" w:color="000000" w:sz="4"/>
                <w:bottom w:val="none" w:color="000000" w:sz="4"/>
                <w:right w:val="none" w:color="000000" w:sz="4"/>
                <w:insideH w:val="none"/>
                <w:insideV w:val="none"/>
              </w:tblBorders>
            </w:tblPr>
            <w:tblGrid>
              <w:gridCol w:w="213"/>
              <w:gridCol w:w="276"/>
              <w:gridCol w:w="255"/>
              <w:gridCol w:w="156"/>
              <w:gridCol w:w="203"/>
              <w:gridCol w:w="1443"/>
            </w:tblGrid>
            <w:tr>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53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设备品名</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14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运维服务</w:t>
                  </w:r>
                </w:p>
              </w:tc>
            </w:tr>
            <w:tr>
              <w:tc>
                <w:tcPr>
                  <w:tcW w:type="dxa" w:w="2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2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智能指挥调度平台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应用服务器</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4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定期检查CPU、内存、硬盘、电源、风扇等硬件状态，监测温度、电压等指标，预防过热或硬件故障；定期安装操作系统补丁，修复安全漏洞，优化系统性能</w:t>
                  </w:r>
                </w:p>
              </w:tc>
            </w:tr>
            <w:tr>
              <w:tc>
                <w:tcPr>
                  <w:tcW w:type="dxa" w:w="213"/>
                  <w:vMerge/>
                  <w:tcBorders>
                    <w:top w:val="none" w:color="000000" w:sz="4"/>
                    <w:left w:val="single" w:color="000000" w:sz="4"/>
                    <w:bottom w:val="single" w:color="000000" w:sz="4"/>
                    <w:right w:val="single" w:color="000000" w:sz="4"/>
                  </w:tcBorders>
                </w:tcPr>
                <w:p/>
              </w:tc>
              <w:tc>
                <w:tcPr>
                  <w:tcW w:type="dxa" w:w="276"/>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应用软件</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对应用软件提供使用支持，包括业务需求、bug修复、使用支持、上线测试、技术培训等方面的内容。通过应用支持服务，实现 “应用不停”的工作目标</w:t>
                  </w:r>
                </w:p>
              </w:tc>
            </w:tr>
            <w:tr>
              <w:tc>
                <w:tcPr>
                  <w:tcW w:type="dxa" w:w="213"/>
                  <w:vMerge/>
                  <w:tcBorders>
                    <w:top w:val="none" w:color="000000" w:sz="4"/>
                    <w:left w:val="single" w:color="000000" w:sz="4"/>
                    <w:bottom w:val="single" w:color="000000" w:sz="4"/>
                    <w:right w:val="single" w:color="000000" w:sz="4"/>
                  </w:tcBorders>
                </w:tcPr>
                <w:p/>
              </w:tc>
              <w:tc>
                <w:tcPr>
                  <w:tcW w:type="dxa" w:w="276"/>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磁盘阵列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日常监控与参数管理；数据冗余与一致性维护；故障处理与硬件维护等</w:t>
                  </w:r>
                </w:p>
              </w:tc>
            </w:tr>
            <w:tr>
              <w:tc>
                <w:tcPr>
                  <w:tcW w:type="dxa" w:w="2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2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音视频管理平台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应用服务器</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定期检查CPU、内存、硬盘、电源、风扇等硬件状态，监测温度、电压等指标，预防过热或硬件故障；定期安装操作系统补丁，修复安全漏洞，优化系统性能</w:t>
                  </w:r>
                </w:p>
              </w:tc>
            </w:tr>
            <w:tr>
              <w:tc>
                <w:tcPr>
                  <w:tcW w:type="dxa" w:w="213"/>
                  <w:vMerge/>
                  <w:tcBorders>
                    <w:top w:val="none" w:color="000000" w:sz="4"/>
                    <w:left w:val="single" w:color="000000" w:sz="4"/>
                    <w:bottom w:val="single" w:color="000000" w:sz="4"/>
                    <w:right w:val="single" w:color="000000" w:sz="4"/>
                  </w:tcBorders>
                </w:tcPr>
                <w:p/>
              </w:tc>
              <w:tc>
                <w:tcPr>
                  <w:tcW w:type="dxa" w:w="276"/>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应用软件</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对应用软件提供使用支持，包括业务需求、bug修复、使用支持、上线测试、技术培训等方面的内容。通过应用支持服务，实现 “应用不停”的工作目标</w:t>
                  </w:r>
                </w:p>
              </w:tc>
            </w:tr>
            <w:tr>
              <w:tc>
                <w:tcPr>
                  <w:tcW w:type="dxa" w:w="2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2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安全加密系统</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移动安全接入系统</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提供日常技术咨询服务，解决最终用户在使用中遇到的技术问题。</w:t>
                  </w:r>
                </w:p>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每周对系统软件进行</w:t>
                  </w:r>
                  <w:r>
                    <w:rPr>
                      <w:rFonts w:ascii="仿宋_GB2312" w:hAnsi="仿宋_GB2312" w:cs="仿宋_GB2312" w:eastAsia="仿宋_GB2312"/>
                      <w:sz w:val="20"/>
                    </w:rPr>
                    <w:t>登录</w:t>
                  </w:r>
                  <w:r>
                    <w:rPr>
                      <w:rFonts w:ascii="仿宋_GB2312" w:hAnsi="仿宋_GB2312" w:cs="仿宋_GB2312" w:eastAsia="仿宋_GB2312"/>
                      <w:sz w:val="20"/>
                    </w:rPr>
                    <w:t>、查询操作，确认系统组件处于正常工作状态。</w:t>
                  </w:r>
                </w:p>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每周对系统应用、数据库等运行情况进行例行巡检，发现问题后及时处理或进行优化。</w:t>
                  </w:r>
                </w:p>
                <w:p>
                  <w:pPr>
                    <w:pStyle w:val="null3"/>
                    <w:jc w:val="center"/>
                  </w:pPr>
                  <w:r>
                    <w:rPr>
                      <w:rFonts w:ascii="仿宋_GB2312" w:hAnsi="仿宋_GB2312" w:cs="仿宋_GB2312" w:eastAsia="仿宋_GB2312"/>
                      <w:sz w:val="20"/>
                    </w:rPr>
                    <w:t>4.</w:t>
                  </w:r>
                  <w:r>
                    <w:rPr>
                      <w:rFonts w:ascii="仿宋_GB2312" w:hAnsi="仿宋_GB2312" w:cs="仿宋_GB2312" w:eastAsia="仿宋_GB2312"/>
                      <w:sz w:val="20"/>
                    </w:rPr>
                    <w:t>每月定期清理过期日志，确保系统不会因为日志过大而造成服务意外关闭或系统死机。</w:t>
                  </w:r>
                </w:p>
                <w:p>
                  <w:pPr>
                    <w:pStyle w:val="null3"/>
                    <w:jc w:val="center"/>
                  </w:pPr>
                  <w:r>
                    <w:rPr>
                      <w:rFonts w:ascii="仿宋_GB2312" w:hAnsi="仿宋_GB2312" w:cs="仿宋_GB2312" w:eastAsia="仿宋_GB2312"/>
                      <w:sz w:val="20"/>
                    </w:rPr>
                    <w:t>5.</w:t>
                  </w:r>
                  <w:r>
                    <w:rPr>
                      <w:rFonts w:ascii="仿宋_GB2312" w:hAnsi="仿宋_GB2312" w:cs="仿宋_GB2312" w:eastAsia="仿宋_GB2312"/>
                      <w:sz w:val="20"/>
                    </w:rPr>
                    <w:t>每季度对维保设备提供一次全面巡检服务，根据巡检情况提供书面巡检报告。</w:t>
                  </w:r>
                </w:p>
              </w:tc>
            </w:tr>
            <w:tr>
              <w:tc>
                <w:tcPr>
                  <w:tcW w:type="dxa" w:w="213"/>
                  <w:vMerge/>
                  <w:tcBorders>
                    <w:top w:val="none" w:color="000000" w:sz="4"/>
                    <w:left w:val="single" w:color="000000" w:sz="4"/>
                    <w:bottom w:val="single" w:color="000000" w:sz="4"/>
                    <w:right w:val="single" w:color="000000" w:sz="4"/>
                  </w:tcBorders>
                </w:tcPr>
                <w:p/>
              </w:tc>
              <w:tc>
                <w:tcPr>
                  <w:tcW w:type="dxa" w:w="276"/>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综合认证系统</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443"/>
                  <w:vMerge/>
                  <w:tcBorders>
                    <w:top w:val="none" w:color="000000" w:sz="4"/>
                    <w:left w:val="none" w:color="000000" w:sz="4"/>
                    <w:bottom w:val="single" w:color="000000" w:sz="4"/>
                    <w:right w:val="single" w:color="000000" w:sz="4"/>
                  </w:tcBorders>
                </w:tcPr>
                <w:p/>
              </w:tc>
            </w:tr>
            <w:tr>
              <w:tc>
                <w:tcPr>
                  <w:tcW w:type="dxa" w:w="213"/>
                  <w:vMerge/>
                  <w:tcBorders>
                    <w:top w:val="none" w:color="000000" w:sz="4"/>
                    <w:left w:val="single" w:color="000000" w:sz="4"/>
                    <w:bottom w:val="single" w:color="000000" w:sz="4"/>
                    <w:right w:val="single" w:color="000000" w:sz="4"/>
                  </w:tcBorders>
                </w:tcPr>
                <w:p/>
              </w:tc>
              <w:tc>
                <w:tcPr>
                  <w:tcW w:type="dxa" w:w="276"/>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综合管理系统</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443"/>
                  <w:vMerge/>
                  <w:tcBorders>
                    <w:top w:val="none" w:color="000000" w:sz="4"/>
                    <w:left w:val="none" w:color="000000" w:sz="4"/>
                    <w:bottom w:val="single" w:color="000000" w:sz="4"/>
                    <w:right w:val="single" w:color="000000" w:sz="4"/>
                  </w:tcBorders>
                </w:tcPr>
                <w:p/>
              </w:tc>
            </w:tr>
            <w:tr>
              <w:tc>
                <w:tcPr>
                  <w:tcW w:type="dxa" w:w="2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p>
                  <w:pPr>
                    <w:pStyle w:val="null3"/>
                    <w:jc w:val="center"/>
                  </w:pPr>
                </w:p>
              </w:tc>
              <w:tc>
                <w:tcPr>
                  <w:tcW w:type="dxa" w:w="2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会议室设备及配套系统</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会议系统</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1.会议前的设备检查2.软硬件系统调试准备3.信号管理、切换和显示4.会议状态监控保障5.声音质量调节处理6.视频信息存储管理7.会议音响设备保障</w:t>
                  </w:r>
                </w:p>
              </w:tc>
            </w:tr>
            <w:tr>
              <w:tc>
                <w:tcPr>
                  <w:tcW w:type="dxa" w:w="213"/>
                  <w:vMerge/>
                  <w:tcBorders>
                    <w:top w:val="none" w:color="000000" w:sz="4"/>
                    <w:left w:val="single" w:color="000000" w:sz="4"/>
                    <w:bottom w:val="single" w:color="000000" w:sz="4"/>
                    <w:right w:val="single" w:color="000000" w:sz="4"/>
                  </w:tcBorders>
                </w:tcPr>
                <w:p/>
              </w:tc>
              <w:tc>
                <w:tcPr>
                  <w:tcW w:type="dxa" w:w="276"/>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扩音系统</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包括音响6台，功放3台及音频处理设备等，每日检查设备散热风扇运行状态，清理通风口积尘，每月测试输出功率与阻抗匹配，避免过载导致失真或烧毁，同时保障运维期间按需调试，确保各项设备正常运行</w:t>
                  </w:r>
                </w:p>
              </w:tc>
            </w:tr>
            <w:tr>
              <w:tc>
                <w:tcPr>
                  <w:tcW w:type="dxa" w:w="2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2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机房配套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UPS系统</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包括UPS主机一台，电池32块，日常设备状态检查：每日查看UPS控制面板，确认电压、负载率、电池容量等；电池充电管理，避免长期欠压或过充等</w:t>
                  </w:r>
                </w:p>
              </w:tc>
            </w:tr>
            <w:tr>
              <w:tc>
                <w:tcPr>
                  <w:tcW w:type="dxa" w:w="213"/>
                  <w:vMerge/>
                  <w:tcBorders>
                    <w:top w:val="none" w:color="000000" w:sz="4"/>
                    <w:left w:val="single" w:color="000000" w:sz="4"/>
                    <w:bottom w:val="single" w:color="000000" w:sz="4"/>
                    <w:right w:val="single" w:color="000000" w:sz="4"/>
                  </w:tcBorders>
                </w:tcPr>
                <w:p/>
              </w:tc>
              <w:tc>
                <w:tcPr>
                  <w:tcW w:type="dxa" w:w="276"/>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动环系统</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定期对比实际值与传感器数据，调整偏差；清理漏水感应线，测试定位/不定位报警功能，模拟漏水场景验证响应灵敏度；检查新风系统滤网清洁度，防止设备积尘及门禁管理等。</w:t>
                  </w:r>
                </w:p>
              </w:tc>
            </w:tr>
            <w:tr>
              <w:tc>
                <w:tcPr>
                  <w:tcW w:type="dxa" w:w="213"/>
                  <w:vMerge/>
                  <w:tcBorders>
                    <w:top w:val="none" w:color="000000" w:sz="4"/>
                    <w:left w:val="single" w:color="000000" w:sz="4"/>
                    <w:bottom w:val="single" w:color="000000" w:sz="4"/>
                    <w:right w:val="single" w:color="000000" w:sz="4"/>
                  </w:tcBorders>
                </w:tcPr>
                <w:p/>
              </w:tc>
              <w:tc>
                <w:tcPr>
                  <w:tcW w:type="dxa" w:w="276"/>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网络系统</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验证交换机/IP摄像头通信状态，更新防火墙策略，确保视频监控存储稳定性。</w:t>
                  </w:r>
                </w:p>
              </w:tc>
            </w:tr>
          </w:tbl>
          <w:p>
            <w:pPr>
              <w:pStyle w:val="null3"/>
              <w:jc w:val="both"/>
            </w:pPr>
            <w:r>
              <w:rPr>
                <w:rFonts w:ascii="仿宋_GB2312" w:hAnsi="仿宋_GB2312" w:cs="仿宋_GB2312" w:eastAsia="仿宋_GB2312"/>
                <w:sz w:val="20"/>
                <w:b/>
              </w:rPr>
              <w:t>服务要求</w:t>
            </w:r>
          </w:p>
          <w:p>
            <w:pPr>
              <w:pStyle w:val="null3"/>
              <w:ind w:firstLine="396"/>
              <w:jc w:val="both"/>
            </w:pPr>
            <w:r>
              <w:rPr>
                <w:rFonts w:ascii="仿宋_GB2312" w:hAnsi="仿宋_GB2312" w:cs="仿宋_GB2312" w:eastAsia="仿宋_GB2312"/>
                <w:sz w:val="20"/>
              </w:rPr>
              <w:t>1.各类运维服务的质量指标包括但不限于：</w:t>
            </w:r>
          </w:p>
          <w:p>
            <w:pPr>
              <w:pStyle w:val="null3"/>
              <w:ind w:firstLine="396"/>
              <w:jc w:val="both"/>
            </w:pPr>
            <w:r>
              <w:rPr>
                <w:rFonts w:ascii="仿宋_GB2312" w:hAnsi="仿宋_GB2312" w:cs="仿宋_GB2312" w:eastAsia="仿宋_GB2312"/>
                <w:sz w:val="20"/>
              </w:rPr>
              <w:t>（1）业务应用系统运维服务。</w:t>
            </w:r>
          </w:p>
          <w:p>
            <w:pPr>
              <w:pStyle w:val="null3"/>
              <w:ind w:firstLine="396"/>
              <w:jc w:val="both"/>
            </w:pPr>
            <w:r>
              <w:rPr>
                <w:rFonts w:ascii="仿宋_GB2312" w:hAnsi="仿宋_GB2312" w:cs="仿宋_GB2312" w:eastAsia="仿宋_GB2312"/>
                <w:sz w:val="20"/>
              </w:rPr>
              <w:t>（2）运维故障响应：故障响应时间30分钟。</w:t>
            </w:r>
          </w:p>
          <w:p>
            <w:pPr>
              <w:pStyle w:val="null3"/>
              <w:ind w:firstLine="396"/>
              <w:jc w:val="both"/>
            </w:pPr>
            <w:r>
              <w:rPr>
                <w:rFonts w:ascii="仿宋_GB2312" w:hAnsi="仿宋_GB2312" w:cs="仿宋_GB2312" w:eastAsia="仿宋_GB2312"/>
                <w:sz w:val="20"/>
              </w:rPr>
              <w:t>（3）全部软硬件系统巡检：至少保障每季度一次全系统巡检。</w:t>
            </w:r>
          </w:p>
          <w:p>
            <w:pPr>
              <w:pStyle w:val="null3"/>
              <w:ind w:firstLine="396"/>
              <w:jc w:val="both"/>
            </w:pPr>
            <w:r>
              <w:rPr>
                <w:rFonts w:ascii="仿宋_GB2312" w:hAnsi="仿宋_GB2312" w:cs="仿宋_GB2312" w:eastAsia="仿宋_GB2312"/>
                <w:sz w:val="20"/>
              </w:rPr>
              <w:t>（4）培训类服务：培训的覆盖面、培训的课时及参与培训人员的调查满意度。</w:t>
            </w:r>
          </w:p>
          <w:p>
            <w:pPr>
              <w:pStyle w:val="null3"/>
              <w:ind w:firstLine="396"/>
              <w:jc w:val="both"/>
            </w:pPr>
            <w:r>
              <w:rPr>
                <w:rFonts w:ascii="仿宋_GB2312" w:hAnsi="仿宋_GB2312" w:cs="仿宋_GB2312" w:eastAsia="仿宋_GB2312"/>
                <w:sz w:val="20"/>
              </w:rPr>
              <w:t>（5）日常维护类服务：包括维护作业计划的及时完成率、故障隐患发现率、异常主动发现率、故障服务请求及时满足率、业务服务请求及时满足率、问题解决率等。</w:t>
            </w:r>
          </w:p>
          <w:p>
            <w:pPr>
              <w:pStyle w:val="null3"/>
              <w:ind w:firstLine="396"/>
              <w:jc w:val="both"/>
            </w:pPr>
            <w:r>
              <w:rPr>
                <w:rFonts w:ascii="仿宋_GB2312" w:hAnsi="仿宋_GB2312" w:cs="仿宋_GB2312" w:eastAsia="仿宋_GB2312"/>
                <w:sz w:val="20"/>
              </w:rPr>
              <w:t>（6）运行保障类服务：服务响应及时率、到达现场及时率、故障修复及时率。</w:t>
            </w:r>
          </w:p>
          <w:p>
            <w:pPr>
              <w:pStyle w:val="null3"/>
              <w:ind w:firstLine="396"/>
              <w:jc w:val="both"/>
            </w:pPr>
            <w:r>
              <w:rPr>
                <w:rFonts w:ascii="仿宋_GB2312" w:hAnsi="仿宋_GB2312" w:cs="仿宋_GB2312" w:eastAsia="仿宋_GB2312"/>
                <w:sz w:val="20"/>
              </w:rPr>
              <w:t>（7）软件升级类服务：软件升级的及时率、软件升级的成功率，在保证软件升级后仍可通过平台调取原有数据。</w:t>
            </w:r>
          </w:p>
          <w:p>
            <w:pPr>
              <w:pStyle w:val="null3"/>
              <w:ind w:firstLine="396"/>
              <w:jc w:val="both"/>
            </w:pPr>
            <w:r>
              <w:rPr>
                <w:rFonts w:ascii="仿宋_GB2312" w:hAnsi="仿宋_GB2312" w:cs="仿宋_GB2312" w:eastAsia="仿宋_GB2312"/>
                <w:sz w:val="20"/>
              </w:rPr>
              <w:t>（8）技术支持类服务：平均响应时间、问题解决比率、用户满意度等。</w:t>
            </w:r>
          </w:p>
          <w:p>
            <w:pPr>
              <w:pStyle w:val="null3"/>
              <w:ind w:firstLine="396"/>
              <w:jc w:val="both"/>
            </w:pPr>
            <w:r>
              <w:rPr>
                <w:rFonts w:ascii="仿宋_GB2312" w:hAnsi="仿宋_GB2312" w:cs="仿宋_GB2312" w:eastAsia="仿宋_GB2312"/>
                <w:sz w:val="20"/>
              </w:rPr>
              <w:t>2.通过运维服务体系的建设，实现以用户为中心的、安全稳固的、质量成本最优的7*24小时IT运维服务，从而保障</w:t>
            </w:r>
            <w:r>
              <w:rPr>
                <w:rFonts w:ascii="仿宋_GB2312" w:hAnsi="仿宋_GB2312" w:cs="仿宋_GB2312" w:eastAsia="仿宋_GB2312"/>
                <w:sz w:val="20"/>
              </w:rPr>
              <w:t>支队</w:t>
            </w:r>
            <w:r>
              <w:rPr>
                <w:rFonts w:ascii="仿宋_GB2312" w:hAnsi="仿宋_GB2312" w:cs="仿宋_GB2312" w:eastAsia="仿宋_GB2312"/>
                <w:sz w:val="20"/>
              </w:rPr>
              <w:t>业务运作的安全稳定。</w:t>
            </w:r>
          </w:p>
          <w:p>
            <w:pPr>
              <w:pStyle w:val="null3"/>
              <w:ind w:firstLine="396"/>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IT系统安全、稳定：</w:t>
            </w:r>
          </w:p>
          <w:p>
            <w:pPr>
              <w:pStyle w:val="null3"/>
              <w:ind w:firstLine="396"/>
              <w:jc w:val="both"/>
            </w:pPr>
            <w:r>
              <w:rPr>
                <w:rFonts w:ascii="仿宋_GB2312" w:hAnsi="仿宋_GB2312" w:cs="仿宋_GB2312" w:eastAsia="仿宋_GB2312"/>
                <w:sz w:val="20"/>
              </w:rPr>
              <w:t>（1）重大安全事故次数为0（其中重大安全事故指因人为操作失误或破坏等原因，导致业务系统出现业务中断、系统破坏、数据破坏、信息失窃或泄密等故障，从而造成不利政治影响和经济损失等）。</w:t>
            </w:r>
          </w:p>
          <w:p>
            <w:pPr>
              <w:pStyle w:val="null3"/>
              <w:ind w:firstLine="396"/>
              <w:jc w:val="both"/>
            </w:pPr>
            <w:r>
              <w:rPr>
                <w:rFonts w:ascii="仿宋_GB2312" w:hAnsi="仿宋_GB2312" w:cs="仿宋_GB2312" w:eastAsia="仿宋_GB2312"/>
                <w:sz w:val="20"/>
              </w:rPr>
              <w:t>（2）业务应用系统稳定运行率≥99.9%</w:t>
            </w:r>
          </w:p>
          <w:p>
            <w:pPr>
              <w:pStyle w:val="null3"/>
              <w:ind w:firstLine="396"/>
              <w:jc w:val="both"/>
            </w:pPr>
            <w:r>
              <w:rPr>
                <w:rFonts w:ascii="仿宋_GB2312" w:hAnsi="仿宋_GB2312" w:cs="仿宋_GB2312" w:eastAsia="仿宋_GB2312"/>
                <w:sz w:val="20"/>
              </w:rPr>
              <w:t>（3）重大IT运行事故次数为0（其中重大IT运行事故指大面积业务瘫痪、技术保障失误、业务系统运行较长时间中断等）。</w:t>
            </w:r>
          </w:p>
          <w:p>
            <w:pPr>
              <w:pStyle w:val="null3"/>
              <w:ind w:firstLine="396"/>
              <w:jc w:val="both"/>
            </w:pPr>
            <w:r>
              <w:rPr>
                <w:rFonts w:ascii="仿宋_GB2312" w:hAnsi="仿宋_GB2312" w:cs="仿宋_GB2312" w:eastAsia="仿宋_GB2312"/>
                <w:sz w:val="20"/>
              </w:rPr>
              <w:t>4.优质服务：</w:t>
            </w:r>
          </w:p>
          <w:p>
            <w:pPr>
              <w:pStyle w:val="null3"/>
              <w:ind w:firstLine="396"/>
              <w:jc w:val="both"/>
            </w:pPr>
            <w:r>
              <w:rPr>
                <w:rFonts w:ascii="仿宋_GB2312" w:hAnsi="仿宋_GB2312" w:cs="仿宋_GB2312" w:eastAsia="仿宋_GB2312"/>
                <w:sz w:val="20"/>
              </w:rPr>
              <w:t>（1）IT服务入口统一，规范标准。</w:t>
            </w:r>
          </w:p>
          <w:p>
            <w:pPr>
              <w:pStyle w:val="null3"/>
              <w:ind w:firstLine="396"/>
              <w:jc w:val="both"/>
            </w:pPr>
            <w:r>
              <w:rPr>
                <w:rFonts w:ascii="仿宋_GB2312" w:hAnsi="仿宋_GB2312" w:cs="仿宋_GB2312" w:eastAsia="仿宋_GB2312"/>
                <w:sz w:val="20"/>
              </w:rPr>
              <w:t>（2）用户对系统的满意度≥95%。</w:t>
            </w:r>
          </w:p>
          <w:p>
            <w:pPr>
              <w:pStyle w:val="null3"/>
              <w:ind w:firstLine="396"/>
              <w:jc w:val="both"/>
            </w:pPr>
            <w:r>
              <w:rPr>
                <w:rFonts w:ascii="仿宋_GB2312" w:hAnsi="仿宋_GB2312" w:cs="仿宋_GB2312" w:eastAsia="仿宋_GB2312"/>
                <w:sz w:val="20"/>
              </w:rPr>
              <w:t>（3）IT需求客户满意度≥95%。</w:t>
            </w:r>
          </w:p>
          <w:p>
            <w:pPr>
              <w:pStyle w:val="null3"/>
              <w:ind w:firstLine="396"/>
              <w:jc w:val="both"/>
            </w:pPr>
            <w:r>
              <w:rPr>
                <w:rFonts w:ascii="仿宋_GB2312" w:hAnsi="仿宋_GB2312" w:cs="仿宋_GB2312" w:eastAsia="仿宋_GB2312"/>
                <w:sz w:val="20"/>
              </w:rPr>
              <w:t>（4）IT服务投诉趋向于0。</w:t>
            </w:r>
          </w:p>
          <w:p>
            <w:pPr>
              <w:pStyle w:val="null3"/>
              <w:ind w:firstLine="396"/>
              <w:jc w:val="both"/>
            </w:pPr>
            <w:r>
              <w:rPr>
                <w:rFonts w:ascii="仿宋_GB2312" w:hAnsi="仿宋_GB2312" w:cs="仿宋_GB2312" w:eastAsia="仿宋_GB2312"/>
                <w:sz w:val="20"/>
              </w:rPr>
              <w:t>5.运维服务文档的管理要求</w:t>
            </w:r>
          </w:p>
          <w:p>
            <w:pPr>
              <w:pStyle w:val="null3"/>
              <w:ind w:firstLine="396"/>
              <w:jc w:val="both"/>
            </w:pPr>
            <w:r>
              <w:rPr>
                <w:rFonts w:ascii="仿宋_GB2312" w:hAnsi="仿宋_GB2312" w:cs="仿宋_GB2312" w:eastAsia="仿宋_GB2312"/>
                <w:sz w:val="20"/>
              </w:rPr>
              <w:t>（1）</w:t>
            </w:r>
            <w:r>
              <w:rPr>
                <w:rFonts w:ascii="仿宋_GB2312" w:hAnsi="仿宋_GB2312" w:cs="仿宋_GB2312" w:eastAsia="仿宋_GB2312"/>
                <w:sz w:val="20"/>
              </w:rPr>
              <w:t>供应商应高度</w:t>
            </w:r>
            <w:r>
              <w:rPr>
                <w:rFonts w:ascii="仿宋_GB2312" w:hAnsi="仿宋_GB2312" w:cs="仿宋_GB2312" w:eastAsia="仿宋_GB2312"/>
                <w:sz w:val="20"/>
              </w:rPr>
              <w:t>重视运维台账资料的收集整理工作，并按照</w:t>
            </w:r>
            <w:r>
              <w:rPr>
                <w:rFonts w:ascii="仿宋_GB2312" w:hAnsi="仿宋_GB2312" w:cs="仿宋_GB2312" w:eastAsia="仿宋_GB2312"/>
                <w:sz w:val="20"/>
              </w:rPr>
              <w:t>支队</w:t>
            </w:r>
            <w:r>
              <w:rPr>
                <w:rFonts w:ascii="仿宋_GB2312" w:hAnsi="仿宋_GB2312" w:cs="仿宋_GB2312" w:eastAsia="仿宋_GB2312"/>
                <w:sz w:val="20"/>
              </w:rPr>
              <w:t>提供的运维服务基础台账模板和要求编制运维日志和台账资料，包括但不限于月、季度、年度的运维服务报告，设备维保和巡检的相关印证材料，以及客户评价和满意度调查表。</w:t>
            </w:r>
          </w:p>
          <w:p>
            <w:pPr>
              <w:pStyle w:val="null3"/>
              <w:ind w:firstLine="396"/>
              <w:jc w:val="both"/>
            </w:pPr>
            <w:r>
              <w:rPr>
                <w:rFonts w:ascii="仿宋_GB2312" w:hAnsi="仿宋_GB2312" w:cs="仿宋_GB2312" w:eastAsia="仿宋_GB2312"/>
                <w:sz w:val="20"/>
              </w:rPr>
              <w:t>（2）</w:t>
            </w:r>
            <w:r>
              <w:rPr>
                <w:rFonts w:ascii="仿宋_GB2312" w:hAnsi="仿宋_GB2312" w:cs="仿宋_GB2312" w:eastAsia="仿宋_GB2312"/>
                <w:sz w:val="20"/>
              </w:rPr>
              <w:t>供应商</w:t>
            </w:r>
            <w:r>
              <w:rPr>
                <w:rFonts w:ascii="仿宋_GB2312" w:hAnsi="仿宋_GB2312" w:cs="仿宋_GB2312" w:eastAsia="仿宋_GB2312"/>
                <w:sz w:val="20"/>
              </w:rPr>
              <w:t>以月为单位总结日常运维服务工作，向</w:t>
            </w:r>
            <w:r>
              <w:rPr>
                <w:rFonts w:ascii="仿宋_GB2312" w:hAnsi="仿宋_GB2312" w:cs="仿宋_GB2312" w:eastAsia="仿宋_GB2312"/>
                <w:sz w:val="20"/>
              </w:rPr>
              <w:t>支队</w:t>
            </w:r>
            <w:r>
              <w:rPr>
                <w:rFonts w:ascii="仿宋_GB2312" w:hAnsi="仿宋_GB2312" w:cs="仿宋_GB2312" w:eastAsia="仿宋_GB2312"/>
                <w:sz w:val="20"/>
              </w:rPr>
              <w:t>提交运维月报，一年服务期满全面总结运维服务工作，向</w:t>
            </w:r>
            <w:r>
              <w:rPr>
                <w:rFonts w:ascii="仿宋_GB2312" w:hAnsi="仿宋_GB2312" w:cs="仿宋_GB2312" w:eastAsia="仿宋_GB2312"/>
                <w:sz w:val="20"/>
              </w:rPr>
              <w:t>支队</w:t>
            </w:r>
            <w:r>
              <w:rPr>
                <w:rFonts w:ascii="仿宋_GB2312" w:hAnsi="仿宋_GB2312" w:cs="仿宋_GB2312" w:eastAsia="仿宋_GB2312"/>
                <w:sz w:val="20"/>
              </w:rPr>
              <w:t>提交运维服务年度总结。</w:t>
            </w:r>
          </w:p>
          <w:p>
            <w:pPr>
              <w:pStyle w:val="null3"/>
              <w:jc w:val="both"/>
            </w:pPr>
            <w:r>
              <w:rPr>
                <w:rFonts w:ascii="仿宋_GB2312" w:hAnsi="仿宋_GB2312" w:cs="仿宋_GB2312" w:eastAsia="仿宋_GB2312"/>
                <w:sz w:val="20"/>
                <w:b/>
              </w:rPr>
              <w:t>运维人员管理要求</w:t>
            </w:r>
          </w:p>
          <w:p>
            <w:pPr>
              <w:pStyle w:val="null3"/>
              <w:ind w:firstLine="396"/>
              <w:jc w:val="both"/>
            </w:pPr>
            <w:r>
              <w:rPr>
                <w:rFonts w:ascii="仿宋_GB2312" w:hAnsi="仿宋_GB2312" w:cs="仿宋_GB2312" w:eastAsia="仿宋_GB2312"/>
                <w:sz w:val="20"/>
              </w:rPr>
              <w:t>1.</w:t>
            </w:r>
            <w:r>
              <w:rPr>
                <w:rFonts w:ascii="仿宋_GB2312" w:hAnsi="仿宋_GB2312" w:cs="仿宋_GB2312" w:eastAsia="仿宋_GB2312"/>
                <w:sz w:val="20"/>
              </w:rPr>
              <w:t>供应商</w:t>
            </w:r>
            <w:r>
              <w:rPr>
                <w:rFonts w:ascii="仿宋_GB2312" w:hAnsi="仿宋_GB2312" w:cs="仿宋_GB2312" w:eastAsia="仿宋_GB2312"/>
                <w:sz w:val="20"/>
              </w:rPr>
              <w:t>指定3名运维人员，并确保运维人员的连续性和稳定性；</w:t>
            </w:r>
          </w:p>
          <w:p>
            <w:pPr>
              <w:pStyle w:val="null3"/>
              <w:ind w:firstLine="396"/>
              <w:jc w:val="both"/>
            </w:pPr>
            <w:r>
              <w:rPr>
                <w:rFonts w:ascii="仿宋_GB2312" w:hAnsi="仿宋_GB2312" w:cs="仿宋_GB2312" w:eastAsia="仿宋_GB2312"/>
                <w:sz w:val="20"/>
              </w:rPr>
              <w:t>2.运维人员服从</w:t>
            </w:r>
            <w:r>
              <w:rPr>
                <w:rFonts w:ascii="仿宋_GB2312" w:hAnsi="仿宋_GB2312" w:cs="仿宋_GB2312" w:eastAsia="仿宋_GB2312"/>
                <w:sz w:val="20"/>
              </w:rPr>
              <w:t>支队</w:t>
            </w:r>
            <w:r>
              <w:rPr>
                <w:rFonts w:ascii="仿宋_GB2312" w:hAnsi="仿宋_GB2312" w:cs="仿宋_GB2312" w:eastAsia="仿宋_GB2312"/>
                <w:sz w:val="20"/>
              </w:rPr>
              <w:t>管理，因运维人员的技术不符合</w:t>
            </w:r>
            <w:r>
              <w:rPr>
                <w:rFonts w:ascii="仿宋_GB2312" w:hAnsi="仿宋_GB2312" w:cs="仿宋_GB2312" w:eastAsia="仿宋_GB2312"/>
                <w:sz w:val="20"/>
              </w:rPr>
              <w:t>支队</w:t>
            </w:r>
            <w:r>
              <w:rPr>
                <w:rFonts w:ascii="仿宋_GB2312" w:hAnsi="仿宋_GB2312" w:cs="仿宋_GB2312" w:eastAsia="仿宋_GB2312"/>
                <w:sz w:val="20"/>
              </w:rPr>
              <w:t>要求的，</w:t>
            </w:r>
            <w:r>
              <w:rPr>
                <w:rFonts w:ascii="仿宋_GB2312" w:hAnsi="仿宋_GB2312" w:cs="仿宋_GB2312" w:eastAsia="仿宋_GB2312"/>
                <w:sz w:val="20"/>
              </w:rPr>
              <w:t>支队</w:t>
            </w:r>
            <w:r>
              <w:rPr>
                <w:rFonts w:ascii="仿宋_GB2312" w:hAnsi="仿宋_GB2312" w:cs="仿宋_GB2312" w:eastAsia="仿宋_GB2312"/>
                <w:sz w:val="20"/>
              </w:rPr>
              <w:t>要求</w:t>
            </w:r>
            <w:r>
              <w:rPr>
                <w:rFonts w:ascii="仿宋_GB2312" w:hAnsi="仿宋_GB2312" w:cs="仿宋_GB2312" w:eastAsia="仿宋_GB2312"/>
                <w:sz w:val="20"/>
              </w:rPr>
              <w:t>供应商</w:t>
            </w:r>
            <w:r>
              <w:rPr>
                <w:rFonts w:ascii="仿宋_GB2312" w:hAnsi="仿宋_GB2312" w:cs="仿宋_GB2312" w:eastAsia="仿宋_GB2312"/>
                <w:sz w:val="20"/>
              </w:rPr>
              <w:t>予以更换的，</w:t>
            </w:r>
            <w:r>
              <w:rPr>
                <w:rFonts w:ascii="仿宋_GB2312" w:hAnsi="仿宋_GB2312" w:cs="仿宋_GB2312" w:eastAsia="仿宋_GB2312"/>
                <w:sz w:val="20"/>
              </w:rPr>
              <w:t>供应商</w:t>
            </w:r>
            <w:r>
              <w:rPr>
                <w:rFonts w:ascii="仿宋_GB2312" w:hAnsi="仿宋_GB2312" w:cs="仿宋_GB2312" w:eastAsia="仿宋_GB2312"/>
                <w:sz w:val="20"/>
              </w:rPr>
              <w:t>在</w:t>
            </w:r>
            <w:r>
              <w:rPr>
                <w:rFonts w:ascii="仿宋_GB2312" w:hAnsi="仿宋_GB2312" w:cs="仿宋_GB2312" w:eastAsia="仿宋_GB2312"/>
                <w:sz w:val="20"/>
              </w:rPr>
              <w:t>支队</w:t>
            </w:r>
            <w:r>
              <w:rPr>
                <w:rFonts w:ascii="仿宋_GB2312" w:hAnsi="仿宋_GB2312" w:cs="仿宋_GB2312" w:eastAsia="仿宋_GB2312"/>
                <w:sz w:val="20"/>
              </w:rPr>
              <w:t>提出要求的10个工作日内进行更换；</w:t>
            </w:r>
          </w:p>
          <w:p>
            <w:pPr>
              <w:pStyle w:val="null3"/>
              <w:ind w:firstLine="396"/>
              <w:jc w:val="both"/>
            </w:pPr>
            <w:r>
              <w:rPr>
                <w:rFonts w:ascii="仿宋_GB2312" w:hAnsi="仿宋_GB2312" w:cs="仿宋_GB2312" w:eastAsia="仿宋_GB2312"/>
                <w:sz w:val="20"/>
              </w:rPr>
              <w:t>3.</w:t>
            </w:r>
            <w:r>
              <w:rPr>
                <w:rFonts w:ascii="仿宋_GB2312" w:hAnsi="仿宋_GB2312" w:cs="仿宋_GB2312" w:eastAsia="仿宋_GB2312"/>
                <w:sz w:val="20"/>
              </w:rPr>
              <w:t>供应商</w:t>
            </w:r>
            <w:r>
              <w:rPr>
                <w:rFonts w:ascii="仿宋_GB2312" w:hAnsi="仿宋_GB2312" w:cs="仿宋_GB2312" w:eastAsia="仿宋_GB2312"/>
                <w:sz w:val="20"/>
              </w:rPr>
              <w:t>为运维人员提供运维工作所必需的工具和设备并提供工具清单交由</w:t>
            </w:r>
            <w:r>
              <w:rPr>
                <w:rFonts w:ascii="仿宋_GB2312" w:hAnsi="仿宋_GB2312" w:cs="仿宋_GB2312" w:eastAsia="仿宋_GB2312"/>
                <w:sz w:val="20"/>
              </w:rPr>
              <w:t>支队</w:t>
            </w:r>
            <w:r>
              <w:rPr>
                <w:rFonts w:ascii="仿宋_GB2312" w:hAnsi="仿宋_GB2312" w:cs="仿宋_GB2312" w:eastAsia="仿宋_GB2312"/>
                <w:sz w:val="20"/>
              </w:rPr>
              <w:t>备案，运维人员对工具和设备妥善保管使用，运维服务期满自行带走。同时，</w:t>
            </w:r>
            <w:r>
              <w:rPr>
                <w:rFonts w:ascii="仿宋_GB2312" w:hAnsi="仿宋_GB2312" w:cs="仿宋_GB2312" w:eastAsia="仿宋_GB2312"/>
                <w:sz w:val="20"/>
              </w:rPr>
              <w:t>供应商</w:t>
            </w:r>
            <w:r>
              <w:rPr>
                <w:rFonts w:ascii="仿宋_GB2312" w:hAnsi="仿宋_GB2312" w:cs="仿宋_GB2312" w:eastAsia="仿宋_GB2312"/>
                <w:sz w:val="20"/>
              </w:rPr>
              <w:t>为运维人员缴纳医疗保险、工伤保险。</w:t>
            </w:r>
          </w:p>
          <w:p>
            <w:pPr>
              <w:pStyle w:val="null3"/>
              <w:ind w:firstLine="396"/>
              <w:jc w:val="both"/>
            </w:pPr>
            <w:r>
              <w:rPr>
                <w:rFonts w:ascii="仿宋_GB2312" w:hAnsi="仿宋_GB2312" w:cs="仿宋_GB2312" w:eastAsia="仿宋_GB2312"/>
                <w:sz w:val="20"/>
              </w:rPr>
              <w:t>4.</w:t>
            </w:r>
            <w:r>
              <w:rPr>
                <w:rFonts w:ascii="仿宋_GB2312" w:hAnsi="仿宋_GB2312" w:cs="仿宋_GB2312" w:eastAsia="仿宋_GB2312"/>
                <w:sz w:val="20"/>
              </w:rPr>
              <w:t>供应商</w:t>
            </w:r>
            <w:r>
              <w:rPr>
                <w:rFonts w:ascii="仿宋_GB2312" w:hAnsi="仿宋_GB2312" w:cs="仿宋_GB2312" w:eastAsia="仿宋_GB2312"/>
                <w:sz w:val="20"/>
              </w:rPr>
              <w:t>和运维人员须按照要求与</w:t>
            </w:r>
            <w:r>
              <w:rPr>
                <w:rFonts w:ascii="仿宋_GB2312" w:hAnsi="仿宋_GB2312" w:cs="仿宋_GB2312" w:eastAsia="仿宋_GB2312"/>
                <w:sz w:val="20"/>
              </w:rPr>
              <w:t>支队</w:t>
            </w:r>
            <w:r>
              <w:rPr>
                <w:rFonts w:ascii="仿宋_GB2312" w:hAnsi="仿宋_GB2312" w:cs="仿宋_GB2312" w:eastAsia="仿宋_GB2312"/>
                <w:sz w:val="20"/>
              </w:rPr>
              <w:t>签署保密协议，采取切实可行的措施保障</w:t>
            </w:r>
            <w:r>
              <w:rPr>
                <w:rFonts w:ascii="仿宋_GB2312" w:hAnsi="仿宋_GB2312" w:cs="仿宋_GB2312" w:eastAsia="仿宋_GB2312"/>
                <w:sz w:val="20"/>
              </w:rPr>
              <w:t>支队</w:t>
            </w:r>
            <w:r>
              <w:rPr>
                <w:rFonts w:ascii="仿宋_GB2312" w:hAnsi="仿宋_GB2312" w:cs="仿宋_GB2312" w:eastAsia="仿宋_GB2312"/>
                <w:sz w:val="20"/>
              </w:rPr>
              <w:t>的业务与信息安全。认真遵守</w:t>
            </w:r>
            <w:r>
              <w:rPr>
                <w:rFonts w:ascii="仿宋_GB2312" w:hAnsi="仿宋_GB2312" w:cs="仿宋_GB2312" w:eastAsia="仿宋_GB2312"/>
                <w:sz w:val="20"/>
              </w:rPr>
              <w:t>支队</w:t>
            </w:r>
            <w:r>
              <w:rPr>
                <w:rFonts w:ascii="仿宋_GB2312" w:hAnsi="仿宋_GB2312" w:cs="仿宋_GB2312" w:eastAsia="仿宋_GB2312"/>
                <w:sz w:val="20"/>
              </w:rPr>
              <w:t>各项安全保密的相关规定。定期对运维服务人员进行安全保密管理和思想教育，加强保密意识和安全生产意识。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具体内容详见“技术参数与性能指标”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西安市生态环境保护综合执法支队</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（1）一次性验收，供应商提出验收申请之日起15日内组织验收;（2）达到国家相关标准或技术规范要求。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43.00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运维服务期结束，经采购人验收合格后，乙方向甲方提供服务发票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57.00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采购标的对应的中小企业划分标准所属行业为：软件和信息技术服务业。划分标准：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二、需要落实的政府采购政策： 1、《国务院办公厅关于建立政府强制采购节能产品制度的通知》（国办发〔2007〕51号）； 2、《财政部 司法部关于政府采购支持监狱企业发展有关问题的通知》（财库〔2014〕68号）； 3、《三部门联合发布关于促进残疾人就业政府采购政策的通知》（财库〔2017〕141号）； 4、《财政部 发展改革委 生态环境部 市场监管总局关于调整优化节能产品、环境标志产品政府采购执行机制的通知》（财库〔2019〕9号）； 5、《关于运用政府采购政策支持乡村产业振兴的通知》（财库〔2021〕19号）； 6、《政府采购促进中小企业发展管理办法》（财库〔2020〕46号）； 7、陕西省财政厅关于印发《陕西省中小企业政府采购信用融资办法》（陕财办采〔2018〕23号）； 8、《关于进一步加大政府采购支持中小企业力度的通知》（财库〔2022〕19号）； 9、《关于扩大政府采购支持绿色建材促进建筑品质提升政策实施范围的通知》（财库〔2022〕35号） 10、《国务院办公厅关于在政府采购中实施本国产品标准及相关政策的通知》（国办发〔2025〕34号）。 三、因系统设置原因无法按照实际支付约定进行设置，实际支付约定如下：合同签订30日内，支付不少于合同总价的43%。剩余尾款，待服务期结束后，根据绩效考核结果、维修据实支付。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中小企业声明函 残疾人福利性单位声明函 响应格式.docx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响应格式.docx 标的清单 报价表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中小企业声明函 残疾人福利性单位声明函 响应格式.docx 标的清单 报价表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参与的供应商（联合体）服务全部由符合政策要求的中小企业承接，（残疾人福利性单位、监狱企业视同小型、微型企业）</w:t>
            </w:r>
          </w:p>
        </w:tc>
        <w:tc>
          <w:tcPr>
            <w:tcW w:type="dxa" w:w="1661"/>
          </w:tcPr>
          <w:p>
            <w:pPr>
              <w:pStyle w:val="null3"/>
            </w:pPr>
            <w:r>
              <w:rPr>
                <w:rFonts w:ascii="仿宋_GB2312" w:hAnsi="仿宋_GB2312" w:cs="仿宋_GB2312" w:eastAsia="仿宋_GB2312"/>
              </w:rPr>
              <w:t>中小企业声明函 残疾人福利性单位声明函 响应格式.docx 标的清单 报价表 响应函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法人需提供合法有效的营业执照，其他组织需提供合法有效的营业执照等证明资料，自然人须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响应格式.docx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tc>
        <w:tc>
          <w:tcPr>
            <w:tcW w:type="dxa" w:w="1661"/>
          </w:tcPr>
          <w:p>
            <w:pPr>
              <w:pStyle w:val="null3"/>
            </w:pPr>
            <w:r>
              <w:rPr>
                <w:rFonts w:ascii="仿宋_GB2312" w:hAnsi="仿宋_GB2312" w:cs="仿宋_GB2312" w:eastAsia="仿宋_GB2312"/>
              </w:rPr>
              <w:t>中小企业声明函 残疾人福利性单位声明函 响应格式.docx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供应商2024年或2025年经审计的财务报告（事业法人可提供部门决算报告）或基本开户银行出具的资信证明或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响应格式.docx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重大违法记录是指供应商因违法经营受到刑事处罚或者责令停产停业、吊销许可证或者执照、较大数额罚款等行政处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响应格式.docx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履行合同所必需的设备和专业技术能力书面声明函：供应商应提供履行合同所必需的设备和专业技术能力书面声明函，供应商需在项目电子化交易系统中按要求上传相应证明文件并进行电子签章。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响应格式.docx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信用状况：供应商未被列入《信用中国》失信被执行人、重大税收违法失信主体、政府采购严重违法失信行为记录名单和《中国政府采购网》政府采购严重违法失信行为记录名单。以响应文件上传截止时间后当日内采购人或采购代理机构的查询结果为准。</w:t>
            </w:r>
          </w:p>
        </w:tc>
        <w:tc>
          <w:tcPr>
            <w:tcW w:type="dxa" w:w="1661"/>
          </w:tcPr>
          <w:p>
            <w:pPr>
              <w:pStyle w:val="null3"/>
            </w:pPr>
            <w:r>
              <w:rPr>
                <w:rFonts w:ascii="仿宋_GB2312" w:hAnsi="仿宋_GB2312" w:cs="仿宋_GB2312" w:eastAsia="仿宋_GB2312"/>
              </w:rPr>
              <w:t>中小企业声明函 残疾人福利性单位声明函 响应格式.docx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本项目是否为专门面向中小企业的采购</w:t>
            </w:r>
          </w:p>
        </w:tc>
        <w:tc>
          <w:tcPr>
            <w:tcW w:type="dxa" w:w="3322"/>
          </w:tcPr>
          <w:p>
            <w:pPr>
              <w:pStyle w:val="null3"/>
            </w:pPr>
            <w:r>
              <w:rPr>
                <w:rFonts w:ascii="仿宋_GB2312" w:hAnsi="仿宋_GB2312" w:cs="仿宋_GB2312" w:eastAsia="仿宋_GB2312"/>
              </w:rPr>
              <w:t>本项目为专门面向中小企业的采购（监狱企业、残疾人福利性单位视同小微企业），需提供《中小企业声明函》或《监狱企业的证明文件》或《残疾人福利性单位声明函》。</w:t>
            </w:r>
          </w:p>
        </w:tc>
        <w:tc>
          <w:tcPr>
            <w:tcW w:type="dxa" w:w="1661"/>
          </w:tcPr>
          <w:p>
            <w:pPr>
              <w:pStyle w:val="null3"/>
            </w:pPr>
            <w:r>
              <w:rPr>
                <w:rFonts w:ascii="仿宋_GB2312" w:hAnsi="仿宋_GB2312" w:cs="仿宋_GB2312" w:eastAsia="仿宋_GB2312"/>
              </w:rPr>
              <w:t>中小企业声明函 残疾人福利性单位声明函 响应格式.docx 标的清单 报价表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3.依据《关于推动解决政府采购异常低价问题的通知》（财库〔2026〕2号）：（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中小企业声明函 残疾人福利性单位声明函 响应格式.docx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1.磋商响应文件完整性：磋商响应文件构成是否有缺项，是否按照磋商文件要求编写响应文件。 2.磋商响应文件报价：内容是否无重大缺漏项，是否报价唯一，且没有低于成本价或高于采购预算。 3.磋商响应文件有效性：磋商响应文件的签署、加盖印章是否合格、有效；提供的各种证明文件、数据、资料是否真实、有效。 4.磋商有效期：是否符合竞争性磋商文件要求。 5.授权委托书：是否符合竞争性磋商文件要求。 6.服务要求及服务期限：是否符合竞争性磋商文件要求。</w:t>
            </w:r>
          </w:p>
        </w:tc>
        <w:tc>
          <w:tcPr>
            <w:tcW w:type="dxa" w:w="1661"/>
          </w:tcPr>
          <w:p>
            <w:pPr>
              <w:pStyle w:val="null3"/>
            </w:pPr>
            <w:r>
              <w:rPr>
                <w:rFonts w:ascii="仿宋_GB2312" w:hAnsi="仿宋_GB2312" w:cs="仿宋_GB2312" w:eastAsia="仿宋_GB2312"/>
              </w:rPr>
              <w:t>中小企业声明函 残疾人福利性单位声明函 响应格式.docx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运维服务方案</w:t>
            </w:r>
          </w:p>
        </w:tc>
        <w:tc>
          <w:tcPr>
            <w:tcW w:type="dxa" w:w="2492"/>
          </w:tcPr>
          <w:p>
            <w:pPr>
              <w:pStyle w:val="null3"/>
            </w:pPr>
            <w:r>
              <w:rPr>
                <w:rFonts w:ascii="仿宋_GB2312" w:hAnsi="仿宋_GB2312" w:cs="仿宋_GB2312" w:eastAsia="仿宋_GB2312"/>
              </w:rPr>
              <w:t>一、评审内容： 供应商针对本项目提供运维服务方案。包括但不限于： 1、运维服务内容及要求的理解； 2、运维服务标准； 3、运维服务流程； 4、数据信息安全措施； 5、文档资料存储管理。 二、评审标准： （1）完整性：方案须全面，对评审内容有详细描述及说明；（2）可实施性：实施步骤清晰、合理，进度安排得当；各项措施完善，能够保障项目按时完成；（3）针对性：方案整体思路明确有针对性，服务内容科学合理，贴合项目实际，能够满足项目要求。 三、赋分标准： （1）运维服务内容及要求的理解：每满足一项评审标准得1分，满分3分； （2）运维服务标准：每满足一项评审标准得1分，满分3分； （3）运维服务流程：每满足一项评审标准得1分，满分3分；（4）数据信息安全：每满足一项评审标准得1分，满分3分。（5）文档资料存储管理：每满足一项评审标准得1分，满分3分。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响应格式.docx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一、评审内容： 供应商针对本项目提供质量保障方案，包括但不限于：1、质量目标；2、质量保证措施。 二、评审标准：（1）完整性：方案须全面，对评审内容有详细描述及说明； （2）可实施性：实施步骤清晰、合理，进度安排得当；各项措施完善，能够保障项目按时完成； （3）针对性：方案整体思路明确有针对性，服务内容科学合理，贴合项目实际，能够满足项目要求。 三、赋分标准： （1）质量目标：每满足一项评审标准得1分，满分3分； （2）质量保证措施 ：每满足一项评审标准得1分，满分3分。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响应格式.docx</w:t>
            </w:r>
          </w:p>
        </w:tc>
      </w:tr>
      <w:tr>
        <w:tc>
          <w:tcPr>
            <w:tcW w:type="dxa" w:w="831"/>
            <w:vMerge/>
          </w:tcPr>
          <w:p/>
        </w:tc>
        <w:tc>
          <w:tcPr>
            <w:tcW w:type="dxa" w:w="1661"/>
          </w:tcPr>
          <w:p>
            <w:pPr>
              <w:pStyle w:val="null3"/>
            </w:pPr>
            <w:r>
              <w:rPr>
                <w:rFonts w:ascii="仿宋_GB2312" w:hAnsi="仿宋_GB2312" w:cs="仿宋_GB2312" w:eastAsia="仿宋_GB2312"/>
              </w:rPr>
              <w:t>进度保障</w:t>
            </w:r>
          </w:p>
        </w:tc>
        <w:tc>
          <w:tcPr>
            <w:tcW w:type="dxa" w:w="2492"/>
          </w:tcPr>
          <w:p>
            <w:pPr>
              <w:pStyle w:val="null3"/>
            </w:pPr>
            <w:r>
              <w:rPr>
                <w:rFonts w:ascii="仿宋_GB2312" w:hAnsi="仿宋_GB2312" w:cs="仿宋_GB2312" w:eastAsia="仿宋_GB2312"/>
              </w:rPr>
              <w:t>一、评审内容： 供应商针对本项目提供进度保障方案，包括但不限于：（1）项目的总体计划安排；（2）工作时效保证措施。 二、评审标准： （1）完整性：方案须全面，对评审内容有详细描述及说明； （2）可实施性：实施步骤清晰、合理，进度安排得当；各项措施完善，能够保障项目按时完成；（3）针对性：方案整体思路明确有针对性，服务内容科学合理，贴合项目实际，能够满足项目要求。 三、赋分标准：（1）项目的总体计划安排：每满足一项评审标准得1分，满分3分；（2）工作时效保证措施：每满足一项评审标准得1分，满分3分。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响应格式.docx</w:t>
            </w:r>
          </w:p>
        </w:tc>
      </w:tr>
      <w:tr>
        <w:tc>
          <w:tcPr>
            <w:tcW w:type="dxa" w:w="831"/>
            <w:vMerge/>
          </w:tcPr>
          <w:p/>
        </w:tc>
        <w:tc>
          <w:tcPr>
            <w:tcW w:type="dxa" w:w="1661"/>
          </w:tcPr>
          <w:p>
            <w:pPr>
              <w:pStyle w:val="null3"/>
            </w:pPr>
            <w:r>
              <w:rPr>
                <w:rFonts w:ascii="仿宋_GB2312" w:hAnsi="仿宋_GB2312" w:cs="仿宋_GB2312" w:eastAsia="仿宋_GB2312"/>
              </w:rPr>
              <w:t>服务重难点分析及应对保障措施</w:t>
            </w:r>
          </w:p>
        </w:tc>
        <w:tc>
          <w:tcPr>
            <w:tcW w:type="dxa" w:w="2492"/>
          </w:tcPr>
          <w:p>
            <w:pPr>
              <w:pStyle w:val="null3"/>
            </w:pPr>
            <w:r>
              <w:rPr>
                <w:rFonts w:ascii="仿宋_GB2312" w:hAnsi="仿宋_GB2312" w:cs="仿宋_GB2312" w:eastAsia="仿宋_GB2312"/>
              </w:rPr>
              <w:t>一、评审内容：针对服务内容及要求提供关于（1）重难点分析、（2）应对保障措施。 二、评审标准：（1）完整性：方案须全面，对评审内容有详细描述及说明； （2）可实施性：实施步骤清晰、合理，进度安排得当；各项措施完善，能够保障项目按时完成；（3）针对性：方案整体思路明确有针对性，服务内容科学合理，贴合项目实际，能够满足项目要求。 三、赋分标准：（1）重难点分析：每满足一项评审标准得1分，满分3分；（2）应对保障措施：每满足一项评审标准得1分，满分3分。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响应格式.docx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 供应商针对本项目提供应急预案，包括但不限于：1、风险预测；2、应急响应时限；3、应急处理措施。 二、评审标准： （1）完整性：方案须全面，对评审内容有详细描述及说明； （2）可实施性：实施步骤清晰、合理，进度安排得当；各项措施完善，能够保障项目按时完成；（3）针对性：方案整体思路明确有针对性，服务内容科学合理，贴合项目实际，能够满足项目要求 二、赋分标准： （1）风险预测：每满足一项评审标准得1分，满分3分；（2）应急响应时限：每满足一项评审标准得1分，满分3分。（3）应急处理措施等：每满足一项评审标准得1分，满分3分。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响应格式.docx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一、评审内容：针对服务内容及要求提供关于（1）人员组织架构、（2）人员数量及配置（不得少于最低人员要求）、（3）人员管理制度。 二、评审标准：（1）完整性：方案须全面，对评审内容有详细描述及说明； （2）可实施性：实施步骤清晰、合理，进度安排得当；各项措施完善，能够保障项目按时完成；（3）针对性：方案整体思路明确有针对性，服务内容科学合理，贴合项目实际，能够满足项目要求。 赋分标准：（1）人员组织架构：每满足一项评审标准得1分，满分3分；（2）人员数量及配置（不得少于最低人员要求）：每满足一项评审标准得1分，满分3分；（3）人员管理制度：每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响应格式.docx</w:t>
            </w:r>
          </w:p>
        </w:tc>
      </w:tr>
      <w:tr>
        <w:tc>
          <w:tcPr>
            <w:tcW w:type="dxa" w:w="831"/>
            <w:vMerge/>
          </w:tcPr>
          <w:p/>
        </w:tc>
        <w:tc>
          <w:tcPr>
            <w:tcW w:type="dxa" w:w="1661"/>
          </w:tcPr>
          <w:p>
            <w:pPr>
              <w:pStyle w:val="null3"/>
            </w:pPr>
            <w:r>
              <w:rPr>
                <w:rFonts w:ascii="仿宋_GB2312" w:hAnsi="仿宋_GB2312" w:cs="仿宋_GB2312" w:eastAsia="仿宋_GB2312"/>
              </w:rPr>
              <w:t>知识产权</w:t>
            </w:r>
          </w:p>
        </w:tc>
        <w:tc>
          <w:tcPr>
            <w:tcW w:type="dxa" w:w="2492"/>
          </w:tcPr>
          <w:p>
            <w:pPr>
              <w:pStyle w:val="null3"/>
            </w:pPr>
            <w:r>
              <w:rPr>
                <w:rFonts w:ascii="仿宋_GB2312" w:hAnsi="仿宋_GB2312" w:cs="仿宋_GB2312" w:eastAsia="仿宋_GB2312"/>
              </w:rPr>
              <w:t>针对本项目提供运维服务中使用的作品无知识产权纠纷的承诺。 承诺内容详尽、描述清晰得5分； 承诺内容基本合理、描述内容基本清晰得3分； 承诺内容一般，但能满足需求得1分。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响应格式.docx</w:t>
            </w:r>
          </w:p>
        </w:tc>
      </w:tr>
      <w:tr>
        <w:tc>
          <w:tcPr>
            <w:tcW w:type="dxa" w:w="831"/>
            <w:vMerge/>
          </w:tcPr>
          <w:p/>
        </w:tc>
        <w:tc>
          <w:tcPr>
            <w:tcW w:type="dxa" w:w="1661"/>
          </w:tcPr>
          <w:p>
            <w:pPr>
              <w:pStyle w:val="null3"/>
            </w:pPr>
            <w:r>
              <w:rPr>
                <w:rFonts w:ascii="仿宋_GB2312" w:hAnsi="仿宋_GB2312" w:cs="仿宋_GB2312" w:eastAsia="仿宋_GB2312"/>
              </w:rPr>
              <w:t>保密承诺及措施</w:t>
            </w:r>
          </w:p>
        </w:tc>
        <w:tc>
          <w:tcPr>
            <w:tcW w:type="dxa" w:w="2492"/>
          </w:tcPr>
          <w:p>
            <w:pPr>
              <w:pStyle w:val="null3"/>
            </w:pPr>
            <w:r>
              <w:rPr>
                <w:rFonts w:ascii="仿宋_GB2312" w:hAnsi="仿宋_GB2312" w:cs="仿宋_GB2312" w:eastAsia="仿宋_GB2312"/>
              </w:rPr>
              <w:t>一、评审内容：针对服务内容及要求提供关于（1）保密措施、（2）保密承诺。 二、评审标准：（1）完整性：方案须全面，对评审内容有详细描述及说明； （2）可实施性：实施步骤清晰、合理，进度安排得当；各项措施完善，能够保障项目按时完成；（3）针对性：方案整体思路明确有针对性，服务内容科学合理，贴合项目实际，能够满足项目要求。 三、赋分标准：（1）保密措施：每满足一项评审标准得1分，满分3分；（2）保密承诺：每满足一项评审标准得1分，满分3分。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响应格式.docx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供应商针对本项目提供详尽可行的培训方案，包括但不限于：1、培训计划；2、培训内容。3、培训目标及效果。 二、评审标准： （1）完整性：方案须全面，对评审内容有详细描述及说明； （2）可实施性：实施步骤清晰、合理，进度安排得当；各项措施完善，能够保障项目按时完成；（3）针对性：方案整体思路明确有针对性，服务内容科学合理，贴合项目实际，能够满足项目要求。 三、赋分标准：（1）培训计划：每满足一项评审标准得1分，满分3分；（2）培训内容：每满足一项评审标准得1分，满分3分。（3）培训目标及效果：每满足一项评审标准得1分，满分3分。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响应格式.docx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供应商针对本项目要求，提供针对性的服务承诺，包括但不限于：1、维保过程中售后服务；2、售后服务保障措施； 3、增值服务 二、评审标准： （1）完整性：方案须全面，对评审内容有详细描述及说明； （2）可实施性：实施步骤清晰、合理，进度安排得当；各项措施完善，能够保障项目按时完成；（3）针对性：方案整体思路明确有针对性，服务内容科学合理，贴合项目实际，能够满足项目要求。 三、赋分标准：（1）维护过程中售后服务：每满足一项评审标准得1分，满分3分；（2）售后服务保障措施：每满足一项评审标准得1分，满分3分。（3）增值服务：每满足一项评审标准得1分，满分3分。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响应格式.docx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2023年1月1日至今，供应商具有类似业绩，一份类似业绩得2分，本项最高10分。 赋分依据：合同复印件或中标通知书复印件（合同复印件至少含合同首页，反映运维内容关键页，双方签字盖章页）。同时提供以合同时间为准，合同或通知书复印件需加盖供应商公章。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响应格式.docx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磋商报价得分＝（评标基准价/响应报价）×价格分值（注：满足磋商文件要求且最终响应价格最低的磋商报价为评标基准价。）最低报价不是成交的唯一依据。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响应格式.docx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