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C089A">
      <w:pPr>
        <w:keepNext/>
        <w:keepLines/>
        <w:snapToGrid w:val="0"/>
        <w:spacing w:before="312" w:beforeLines="100" w:after="312" w:afterLines="100" w:line="360" w:lineRule="auto"/>
        <w:jc w:val="center"/>
        <w:outlineLvl w:val="9"/>
        <w:rPr>
          <w:rFonts w:hint="default" w:ascii="楷体" w:hAnsi="楷体" w:eastAsia="楷体" w:cs="楷体"/>
          <w:color w:val="000000"/>
          <w:sz w:val="44"/>
          <w:szCs w:val="44"/>
          <w:highlight w:val="none"/>
          <w:u w:val="none"/>
          <w:lang w:val="en-US" w:eastAsia="zh-CN"/>
        </w:rPr>
      </w:pPr>
      <w:r>
        <w:rPr>
          <w:rFonts w:hint="eastAsia" w:ascii="楷体" w:hAnsi="楷体" w:eastAsia="楷体" w:cs="楷体"/>
          <w:color w:val="000000"/>
          <w:sz w:val="44"/>
          <w:szCs w:val="44"/>
          <w:highlight w:val="none"/>
          <w:u w:val="none"/>
          <w:lang w:val="en-US" w:eastAsia="zh-CN"/>
        </w:rPr>
        <w:t>拟签订合同文本</w:t>
      </w:r>
    </w:p>
    <w:p w14:paraId="005694E1">
      <w:pPr>
        <w:keepNext/>
        <w:keepLines/>
        <w:snapToGrid w:val="0"/>
        <w:spacing w:before="312" w:beforeLines="100" w:after="312" w:afterLines="100" w:line="360" w:lineRule="auto"/>
        <w:ind w:left="0" w:leftChars="0" w:firstLine="1117" w:firstLineChars="254"/>
        <w:jc w:val="center"/>
        <w:outlineLvl w:val="9"/>
        <w:rPr>
          <w:rFonts w:hint="eastAsia" w:ascii="楷体" w:hAnsi="楷体" w:eastAsia="楷体" w:cs="楷体"/>
          <w:color w:val="000000"/>
          <w:sz w:val="44"/>
          <w:szCs w:val="44"/>
          <w:highlight w:val="none"/>
          <w:u w:val="none"/>
          <w:lang w:val="en-US" w:eastAsia="zh-CN"/>
        </w:rPr>
      </w:pPr>
    </w:p>
    <w:p w14:paraId="21924624">
      <w:pPr>
        <w:keepNext/>
        <w:keepLines/>
        <w:snapToGrid w:val="0"/>
        <w:spacing w:before="312" w:beforeLines="100" w:after="312" w:afterLines="100" w:line="360" w:lineRule="auto"/>
        <w:ind w:left="0" w:leftChars="0" w:firstLine="1117" w:firstLineChars="254"/>
        <w:jc w:val="center"/>
        <w:outlineLvl w:val="9"/>
        <w:rPr>
          <w:rFonts w:hint="eastAsia" w:ascii="楷体" w:hAnsi="楷体" w:eastAsia="楷体" w:cs="楷体"/>
          <w:color w:val="000000"/>
          <w:sz w:val="44"/>
          <w:szCs w:val="44"/>
          <w:highlight w:val="none"/>
          <w:u w:val="single"/>
          <w:lang w:val="en-US" w:eastAsia="zh-CN"/>
        </w:rPr>
      </w:pPr>
      <w:r>
        <w:rPr>
          <w:rFonts w:hint="eastAsia" w:ascii="楷体" w:hAnsi="楷体" w:eastAsia="楷体" w:cs="楷体"/>
          <w:color w:val="000000"/>
          <w:sz w:val="44"/>
          <w:szCs w:val="44"/>
          <w:highlight w:val="none"/>
          <w:u w:val="none"/>
          <w:lang w:val="en-US" w:eastAsia="zh-CN"/>
        </w:rPr>
        <w:t>执法装备和执法在线视频指挥无线传输终端运维项目</w:t>
      </w:r>
    </w:p>
    <w:p w14:paraId="2DAA19A8">
      <w:pPr>
        <w:keepNext/>
        <w:keepLines/>
        <w:snapToGrid w:val="0"/>
        <w:spacing w:before="312" w:beforeLines="100" w:after="312" w:afterLines="100" w:line="360" w:lineRule="auto"/>
        <w:jc w:val="center"/>
        <w:outlineLvl w:val="9"/>
        <w:rPr>
          <w:rFonts w:hint="eastAsia" w:ascii="楷体" w:hAnsi="楷体" w:eastAsia="楷体" w:cs="楷体"/>
          <w:color w:val="000000"/>
          <w:sz w:val="44"/>
          <w:szCs w:val="44"/>
          <w:highlight w:val="none"/>
          <w:lang w:val="en-US" w:eastAsia="zh-CN"/>
        </w:rPr>
      </w:pPr>
    </w:p>
    <w:p w14:paraId="5D7866F1">
      <w:pPr>
        <w:keepNext/>
        <w:keepLines/>
        <w:snapToGrid w:val="0"/>
        <w:spacing w:before="312" w:beforeLines="100" w:after="312" w:afterLines="100" w:line="360" w:lineRule="auto"/>
        <w:jc w:val="center"/>
        <w:outlineLvl w:val="9"/>
        <w:rPr>
          <w:rFonts w:hint="eastAsia" w:ascii="楷体" w:hAnsi="楷体" w:eastAsia="楷体" w:cs="楷体"/>
          <w:color w:val="000000"/>
          <w:sz w:val="44"/>
          <w:szCs w:val="44"/>
          <w:highlight w:val="none"/>
          <w:lang w:val="en-US" w:eastAsia="zh-CN"/>
        </w:rPr>
      </w:pPr>
    </w:p>
    <w:p w14:paraId="383AF9DD">
      <w:pPr>
        <w:keepNext/>
        <w:keepLines/>
        <w:snapToGrid w:val="0"/>
        <w:spacing w:before="312" w:beforeLines="100" w:after="312" w:afterLines="100" w:line="360" w:lineRule="auto"/>
        <w:jc w:val="center"/>
        <w:outlineLvl w:val="9"/>
        <w:rPr>
          <w:rFonts w:hint="eastAsia" w:ascii="楷体" w:hAnsi="楷体" w:eastAsia="楷体" w:cs="楷体"/>
          <w:color w:val="000000"/>
          <w:sz w:val="44"/>
          <w:szCs w:val="44"/>
          <w:highlight w:val="none"/>
          <w:lang w:val="en-US" w:eastAsia="zh-CN"/>
        </w:rPr>
      </w:pPr>
      <w:r>
        <w:rPr>
          <w:rFonts w:hint="eastAsia" w:ascii="楷体" w:hAnsi="楷体" w:eastAsia="楷体" w:cs="楷体"/>
          <w:color w:val="000000"/>
          <w:sz w:val="44"/>
          <w:szCs w:val="44"/>
          <w:highlight w:val="none"/>
          <w:lang w:val="en-US" w:eastAsia="zh-CN"/>
        </w:rPr>
        <w:t>合同书</w:t>
      </w:r>
    </w:p>
    <w:p w14:paraId="4684C0E0">
      <w:pPr>
        <w:keepNext/>
        <w:keepLines/>
        <w:snapToGrid w:val="0"/>
        <w:spacing w:before="312" w:beforeLines="100" w:after="312" w:afterLines="100" w:line="360" w:lineRule="auto"/>
        <w:outlineLvl w:val="9"/>
        <w:rPr>
          <w:rFonts w:hint="eastAsia" w:ascii="楷体" w:hAnsi="楷体" w:eastAsia="楷体" w:cs="楷体"/>
          <w:bCs/>
          <w:kern w:val="44"/>
          <w:sz w:val="32"/>
          <w:szCs w:val="32"/>
          <w:highlight w:val="none"/>
        </w:rPr>
      </w:pPr>
    </w:p>
    <w:p w14:paraId="0E713B69">
      <w:pPr>
        <w:tabs>
          <w:tab w:val="left" w:pos="2520"/>
        </w:tabs>
        <w:snapToGrid w:val="0"/>
        <w:spacing w:line="360" w:lineRule="auto"/>
        <w:ind w:firstLine="1920" w:firstLineChars="600"/>
        <w:jc w:val="both"/>
        <w:rPr>
          <w:rFonts w:hint="eastAsia" w:ascii="楷体" w:hAnsi="楷体" w:eastAsia="楷体" w:cs="楷体"/>
          <w:color w:val="000000"/>
          <w:sz w:val="32"/>
          <w:szCs w:val="32"/>
          <w:highlight w:val="none"/>
        </w:rPr>
      </w:pPr>
      <w:r>
        <w:rPr>
          <w:rFonts w:hint="eastAsia" w:ascii="楷体" w:hAnsi="楷体" w:eastAsia="楷体" w:cs="楷体"/>
          <w:sz w:val="32"/>
          <w:szCs w:val="32"/>
          <w:highlight w:val="none"/>
        </w:rPr>
        <w:t>甲  方：</w:t>
      </w:r>
    </w:p>
    <w:p w14:paraId="13D9DAF5">
      <w:pPr>
        <w:tabs>
          <w:tab w:val="left" w:pos="2520"/>
        </w:tabs>
        <w:snapToGrid w:val="0"/>
        <w:spacing w:line="360" w:lineRule="auto"/>
        <w:ind w:firstLine="1920" w:firstLineChars="600"/>
        <w:jc w:val="both"/>
        <w:rPr>
          <w:rFonts w:hint="eastAsia" w:ascii="楷体" w:hAnsi="楷体" w:eastAsia="楷体" w:cs="楷体"/>
          <w:sz w:val="32"/>
          <w:szCs w:val="32"/>
          <w:highlight w:val="none"/>
        </w:rPr>
      </w:pPr>
      <w:r>
        <w:rPr>
          <w:rFonts w:hint="eastAsia" w:ascii="楷体" w:hAnsi="楷体" w:eastAsia="楷体" w:cs="楷体"/>
          <w:sz w:val="32"/>
          <w:szCs w:val="32"/>
          <w:highlight w:val="none"/>
        </w:rPr>
        <w:t>乙  方：</w:t>
      </w:r>
    </w:p>
    <w:p w14:paraId="2A929E58">
      <w:pPr>
        <w:tabs>
          <w:tab w:val="left" w:pos="2520"/>
        </w:tabs>
        <w:snapToGrid w:val="0"/>
        <w:spacing w:line="360" w:lineRule="auto"/>
        <w:ind w:firstLine="1920" w:firstLineChars="600"/>
        <w:jc w:val="both"/>
        <w:rPr>
          <w:rFonts w:hint="eastAsia" w:ascii="楷体" w:hAnsi="楷体" w:eastAsia="楷体" w:cs="楷体"/>
          <w:sz w:val="32"/>
          <w:szCs w:val="32"/>
          <w:highlight w:val="none"/>
        </w:rPr>
      </w:pPr>
      <w:r>
        <w:rPr>
          <w:rFonts w:hint="eastAsia" w:ascii="楷体" w:hAnsi="楷体" w:eastAsia="楷体" w:cs="楷体"/>
          <w:sz w:val="32"/>
          <w:szCs w:val="32"/>
          <w:highlight w:val="none"/>
        </w:rPr>
        <w:t>签约地点：</w:t>
      </w:r>
    </w:p>
    <w:p w14:paraId="4DE7594A">
      <w:pPr>
        <w:tabs>
          <w:tab w:val="left" w:pos="2520"/>
        </w:tabs>
        <w:snapToGrid w:val="0"/>
        <w:spacing w:line="360" w:lineRule="auto"/>
        <w:ind w:firstLine="1920" w:firstLineChars="600"/>
        <w:jc w:val="both"/>
        <w:rPr>
          <w:rFonts w:hint="eastAsia" w:ascii="楷体" w:hAnsi="楷体" w:eastAsia="楷体" w:cs="楷体"/>
          <w:sz w:val="32"/>
          <w:szCs w:val="32"/>
          <w:highlight w:val="none"/>
        </w:rPr>
      </w:pPr>
      <w:r>
        <w:rPr>
          <w:rFonts w:hint="eastAsia" w:ascii="楷体" w:hAnsi="楷体" w:eastAsia="楷体" w:cs="楷体"/>
          <w:sz w:val="32"/>
          <w:szCs w:val="32"/>
          <w:highlight w:val="none"/>
        </w:rPr>
        <w:t xml:space="preserve">时  间： </w:t>
      </w:r>
      <w:r>
        <w:rPr>
          <w:rFonts w:hint="eastAsia" w:ascii="楷体" w:hAnsi="楷体" w:eastAsia="楷体" w:cs="楷体"/>
          <w:sz w:val="32"/>
          <w:szCs w:val="32"/>
          <w:highlight w:val="none"/>
          <w:lang w:val="en-US" w:eastAsia="zh-CN"/>
        </w:rPr>
        <w:t xml:space="preserve"> </w:t>
      </w:r>
      <w:r>
        <w:rPr>
          <w:rFonts w:hint="eastAsia" w:ascii="楷体" w:hAnsi="楷体" w:eastAsia="楷体" w:cs="楷体"/>
          <w:sz w:val="32"/>
          <w:szCs w:val="32"/>
          <w:highlight w:val="none"/>
        </w:rPr>
        <w:t>年</w:t>
      </w:r>
      <w:r>
        <w:rPr>
          <w:rFonts w:hint="eastAsia" w:ascii="楷体" w:hAnsi="楷体" w:eastAsia="楷体" w:cs="楷体"/>
          <w:sz w:val="32"/>
          <w:szCs w:val="32"/>
          <w:highlight w:val="none"/>
          <w:lang w:val="en-US" w:eastAsia="zh-CN"/>
        </w:rPr>
        <w:t xml:space="preserve">  </w:t>
      </w:r>
      <w:r>
        <w:rPr>
          <w:rFonts w:hint="eastAsia" w:ascii="楷体" w:hAnsi="楷体" w:eastAsia="楷体" w:cs="楷体"/>
          <w:sz w:val="32"/>
          <w:szCs w:val="32"/>
          <w:highlight w:val="none"/>
        </w:rPr>
        <w:t>月</w:t>
      </w:r>
    </w:p>
    <w:p w14:paraId="740C1075">
      <w:pPr>
        <w:rPr>
          <w:rFonts w:hint="eastAsia" w:ascii="楷体" w:hAnsi="楷体" w:eastAsia="楷体" w:cs="楷体"/>
          <w:b/>
          <w:bCs/>
          <w:kern w:val="44"/>
          <w:sz w:val="32"/>
          <w:szCs w:val="32"/>
          <w:highlight w:val="none"/>
        </w:rPr>
      </w:pPr>
      <w:r>
        <w:rPr>
          <w:rFonts w:hint="eastAsia" w:ascii="楷体" w:hAnsi="楷体" w:eastAsia="楷体" w:cs="楷体"/>
          <w:b/>
          <w:bCs/>
          <w:kern w:val="44"/>
          <w:sz w:val="32"/>
          <w:szCs w:val="32"/>
          <w:highlight w:val="none"/>
        </w:rPr>
        <w:br w:type="page"/>
      </w:r>
    </w:p>
    <w:p w14:paraId="3A14BF9C">
      <w:pPr>
        <w:rPr>
          <w:rFonts w:ascii="微软雅黑" w:hAnsi="微软雅黑" w:eastAsia="微软雅黑" w:cs="微软雅黑"/>
          <w:b/>
          <w:bCs/>
          <w:color w:val="auto"/>
          <w:sz w:val="28"/>
          <w:szCs w:val="28"/>
          <w:lang w:eastAsia="zh-CN"/>
        </w:rPr>
        <w:sectPr>
          <w:footerReference r:id="rId3" w:type="default"/>
          <w:pgSz w:w="11906" w:h="16839"/>
          <w:pgMar w:top="1429" w:right="1785" w:bottom="1128" w:left="1785" w:header="0" w:footer="567" w:gutter="0"/>
          <w:pgNumType w:fmt="decimal" w:start="1"/>
          <w:cols w:space="0" w:num="1"/>
          <w:rtlGutter w:val="0"/>
          <w:docGrid w:linePitch="0" w:charSpace="0"/>
        </w:sectPr>
      </w:pPr>
    </w:p>
    <w:p w14:paraId="4C0B0FFD">
      <w:pPr>
        <w:spacing w:before="162" w:line="228" w:lineRule="auto"/>
        <w:jc w:val="center"/>
        <w:outlineLvl w:val="0"/>
        <w:rPr>
          <w:rFonts w:ascii="仿宋" w:hAnsi="仿宋" w:eastAsia="仿宋" w:cs="仿宋"/>
          <w:b/>
          <w:bCs/>
          <w:color w:val="auto"/>
          <w:sz w:val="40"/>
          <w:szCs w:val="40"/>
          <w:lang w:eastAsia="zh-CN"/>
        </w:rPr>
      </w:pPr>
      <w:r>
        <w:rPr>
          <w:rFonts w:ascii="仿宋" w:hAnsi="仿宋" w:eastAsia="仿宋" w:cs="仿宋"/>
          <w:b/>
          <w:bCs/>
          <w:color w:val="auto"/>
          <w:spacing w:val="3"/>
          <w:sz w:val="40"/>
          <w:szCs w:val="40"/>
          <w:lang w:eastAsia="zh-CN"/>
        </w:rPr>
        <w:t>政府采购合同</w:t>
      </w:r>
    </w:p>
    <w:p w14:paraId="4ACDD4A6">
      <w:pPr>
        <w:spacing w:line="560" w:lineRule="exact"/>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项目编号：</w:t>
      </w:r>
      <w:r>
        <w:rPr>
          <w:rFonts w:hint="eastAsia" w:ascii="楷体" w:hAnsi="楷体" w:eastAsia="楷体" w:cs="楷体"/>
          <w:color w:val="auto"/>
          <w:spacing w:val="-1"/>
          <w:sz w:val="24"/>
          <w:szCs w:val="24"/>
          <w:lang w:val="en-US" w:eastAsia="zh-CN"/>
        </w:rPr>
        <w:t xml:space="preserve"> </w:t>
      </w:r>
    </w:p>
    <w:p w14:paraId="1AD33AEE">
      <w:pPr>
        <w:spacing w:line="560" w:lineRule="exact"/>
        <w:rPr>
          <w:rFonts w:hint="eastAsia" w:ascii="楷体" w:hAnsi="楷体" w:eastAsia="楷体" w:cs="楷体"/>
          <w:color w:val="auto"/>
          <w:sz w:val="24"/>
          <w:szCs w:val="24"/>
          <w:lang w:eastAsia="zh-CN"/>
        </w:rPr>
      </w:pPr>
      <w:r>
        <w:rPr>
          <w:rFonts w:hint="eastAsia" w:ascii="楷体" w:hAnsi="楷体" w:eastAsia="楷体" w:cs="楷体"/>
          <w:color w:val="auto"/>
          <w:spacing w:val="-4"/>
          <w:sz w:val="24"/>
          <w:szCs w:val="24"/>
          <w:lang w:eastAsia="zh-CN"/>
        </w:rPr>
        <w:t>签订地点：</w:t>
      </w:r>
      <w:r>
        <w:rPr>
          <w:rFonts w:hint="eastAsia" w:ascii="楷体" w:hAnsi="楷体" w:eastAsia="楷体" w:cs="楷体"/>
          <w:color w:val="auto"/>
          <w:spacing w:val="-4"/>
          <w:sz w:val="24"/>
          <w:szCs w:val="24"/>
          <w:lang w:val="en-US" w:eastAsia="zh-CN"/>
        </w:rPr>
        <w:t xml:space="preserve"> </w:t>
      </w:r>
    </w:p>
    <w:p w14:paraId="4D184C1E">
      <w:pPr>
        <w:spacing w:line="560" w:lineRule="exact"/>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签订时间：</w:t>
      </w:r>
      <w:r>
        <w:rPr>
          <w:rFonts w:hint="eastAsia" w:ascii="楷体" w:hAnsi="楷体" w:eastAsia="楷体" w:cs="楷体"/>
          <w:color w:val="auto"/>
          <w:spacing w:val="-2"/>
          <w:sz w:val="24"/>
          <w:szCs w:val="24"/>
          <w:lang w:val="en-US" w:eastAsia="zh-CN"/>
        </w:rPr>
        <w:t xml:space="preserve"> </w:t>
      </w:r>
    </w:p>
    <w:p w14:paraId="4E3F495C">
      <w:pPr>
        <w:spacing w:line="560" w:lineRule="exact"/>
        <w:rPr>
          <w:rFonts w:hint="eastAsia" w:ascii="楷体" w:hAnsi="楷体" w:eastAsia="楷体" w:cs="楷体"/>
          <w:color w:val="auto"/>
          <w:spacing w:val="7"/>
          <w:sz w:val="24"/>
          <w:szCs w:val="24"/>
          <w:u w:val="single"/>
          <w:lang w:val="en-US" w:eastAsia="zh-CN"/>
        </w:rPr>
      </w:pPr>
      <w:r>
        <w:rPr>
          <w:rFonts w:hint="eastAsia" w:ascii="楷体" w:hAnsi="楷体" w:eastAsia="楷体" w:cs="楷体"/>
          <w:color w:val="auto"/>
          <w:spacing w:val="7"/>
          <w:sz w:val="24"/>
          <w:szCs w:val="24"/>
          <w:lang w:eastAsia="zh-CN"/>
        </w:rPr>
        <w:t>采购人（甲方</w:t>
      </w:r>
      <w:r>
        <w:rPr>
          <w:rFonts w:hint="eastAsia" w:ascii="楷体" w:hAnsi="楷体" w:eastAsia="楷体" w:cs="楷体"/>
          <w:color w:val="auto"/>
          <w:spacing w:val="13"/>
          <w:sz w:val="24"/>
          <w:szCs w:val="24"/>
          <w:lang w:eastAsia="zh-CN"/>
        </w:rPr>
        <w:t>）：</w:t>
      </w:r>
      <w:r>
        <w:rPr>
          <w:rFonts w:hint="eastAsia" w:ascii="楷体" w:hAnsi="楷体" w:eastAsia="楷体" w:cs="楷体"/>
          <w:color w:val="auto"/>
          <w:spacing w:val="7"/>
          <w:sz w:val="24"/>
          <w:szCs w:val="24"/>
          <w:u w:val="single"/>
          <w:lang w:val="en-US" w:eastAsia="zh-CN"/>
        </w:rPr>
        <w:t xml:space="preserve">                        </w:t>
      </w:r>
    </w:p>
    <w:p w14:paraId="261725FA">
      <w:pPr>
        <w:spacing w:line="560" w:lineRule="exact"/>
        <w:rPr>
          <w:rFonts w:hint="eastAsia" w:ascii="楷体" w:hAnsi="楷体" w:eastAsia="楷体" w:cs="楷体"/>
          <w:color w:val="auto"/>
          <w:sz w:val="24"/>
          <w:szCs w:val="24"/>
          <w:lang w:eastAsia="zh-CN"/>
        </w:rPr>
      </w:pPr>
      <w:r>
        <w:rPr>
          <w:rFonts w:hint="eastAsia" w:ascii="楷体" w:hAnsi="楷体" w:eastAsia="楷体" w:cs="楷体"/>
          <w:color w:val="auto"/>
          <w:spacing w:val="7"/>
          <w:sz w:val="24"/>
          <w:szCs w:val="24"/>
          <w:lang w:eastAsia="zh-CN"/>
        </w:rPr>
        <w:t>（统一社会信用代码：</w:t>
      </w:r>
      <w:r>
        <w:rPr>
          <w:rFonts w:hint="eastAsia" w:ascii="楷体" w:hAnsi="楷体" w:eastAsia="楷体" w:cs="楷体"/>
          <w:color w:val="auto"/>
          <w:spacing w:val="-2"/>
          <w:sz w:val="24"/>
          <w:szCs w:val="24"/>
          <w:lang w:val="en-US" w:eastAsia="zh-CN"/>
        </w:rPr>
        <w:t xml:space="preserve"> </w:t>
      </w:r>
      <w:r>
        <w:rPr>
          <w:rFonts w:hint="eastAsia" w:ascii="楷体" w:hAnsi="楷体" w:eastAsia="楷体" w:cs="楷体"/>
          <w:color w:val="auto"/>
          <w:spacing w:val="-2"/>
          <w:sz w:val="24"/>
          <w:szCs w:val="24"/>
          <w:u w:val="single"/>
          <w:lang w:val="en-US" w:eastAsia="zh-CN"/>
        </w:rPr>
        <w:t xml:space="preserve">                         </w:t>
      </w:r>
      <w:r>
        <w:rPr>
          <w:rFonts w:hint="eastAsia" w:ascii="楷体" w:hAnsi="楷体" w:eastAsia="楷体" w:cs="楷体"/>
          <w:color w:val="auto"/>
          <w:spacing w:val="-2"/>
          <w:sz w:val="24"/>
          <w:szCs w:val="24"/>
          <w:lang w:val="en-US" w:eastAsia="zh-CN"/>
        </w:rPr>
        <w:t xml:space="preserve"> </w:t>
      </w:r>
      <w:r>
        <w:rPr>
          <w:rFonts w:hint="eastAsia" w:ascii="楷体" w:hAnsi="楷体" w:eastAsia="楷体" w:cs="楷体"/>
          <w:color w:val="auto"/>
          <w:spacing w:val="-2"/>
          <w:sz w:val="24"/>
          <w:szCs w:val="24"/>
          <w:lang w:eastAsia="zh-CN"/>
        </w:rPr>
        <w:t>）</w:t>
      </w:r>
    </w:p>
    <w:p w14:paraId="5748AA5A">
      <w:pPr>
        <w:spacing w:line="560" w:lineRule="exact"/>
        <w:rPr>
          <w:rFonts w:hint="eastAsia" w:ascii="楷体" w:hAnsi="楷体" w:eastAsia="楷体" w:cs="楷体"/>
          <w:color w:val="auto"/>
          <w:spacing w:val="-32"/>
          <w:sz w:val="24"/>
          <w:szCs w:val="24"/>
          <w:u w:val="single"/>
          <w:lang w:val="en-US" w:eastAsia="zh-CN"/>
        </w:rPr>
      </w:pPr>
      <w:r>
        <w:rPr>
          <w:rFonts w:hint="eastAsia" w:ascii="楷体" w:hAnsi="楷体" w:eastAsia="楷体" w:cs="楷体"/>
          <w:color w:val="auto"/>
          <w:spacing w:val="28"/>
          <w:sz w:val="24"/>
          <w:szCs w:val="24"/>
          <w:lang w:eastAsia="zh-CN"/>
        </w:rPr>
        <w:t>供应商（乙方</w:t>
      </w:r>
      <w:r>
        <w:rPr>
          <w:rFonts w:hint="eastAsia" w:ascii="楷体" w:hAnsi="楷体" w:eastAsia="楷体" w:cs="楷体"/>
          <w:color w:val="auto"/>
          <w:spacing w:val="-32"/>
          <w:sz w:val="24"/>
          <w:szCs w:val="24"/>
          <w:lang w:eastAsia="zh-CN"/>
        </w:rPr>
        <w:t>）：</w:t>
      </w:r>
      <w:r>
        <w:rPr>
          <w:rFonts w:hint="eastAsia" w:ascii="楷体" w:hAnsi="楷体" w:eastAsia="楷体" w:cs="楷体"/>
          <w:color w:val="auto"/>
          <w:spacing w:val="-32"/>
          <w:sz w:val="24"/>
          <w:szCs w:val="24"/>
          <w:lang w:val="en-US" w:eastAsia="zh-CN"/>
        </w:rPr>
        <w:t xml:space="preserve"> </w:t>
      </w:r>
      <w:r>
        <w:rPr>
          <w:rFonts w:hint="eastAsia" w:ascii="楷体" w:hAnsi="楷体" w:eastAsia="楷体" w:cs="楷体"/>
          <w:color w:val="auto"/>
          <w:spacing w:val="-32"/>
          <w:sz w:val="24"/>
          <w:szCs w:val="24"/>
          <w:u w:val="single"/>
          <w:lang w:val="en-US" w:eastAsia="zh-CN"/>
        </w:rPr>
        <w:t xml:space="preserve">                                                       </w:t>
      </w:r>
    </w:p>
    <w:p w14:paraId="078CA6E1">
      <w:pPr>
        <w:spacing w:line="560" w:lineRule="exact"/>
        <w:rPr>
          <w:rFonts w:hint="eastAsia" w:ascii="楷体" w:hAnsi="楷体" w:eastAsia="楷体" w:cs="楷体"/>
          <w:color w:val="auto"/>
          <w:sz w:val="24"/>
          <w:szCs w:val="24"/>
          <w:lang w:eastAsia="zh-CN"/>
        </w:rPr>
      </w:pPr>
      <w:r>
        <w:rPr>
          <w:rFonts w:hint="eastAsia" w:ascii="楷体" w:hAnsi="楷体" w:eastAsia="楷体" w:cs="楷体"/>
          <w:color w:val="auto"/>
          <w:spacing w:val="28"/>
          <w:sz w:val="24"/>
          <w:szCs w:val="24"/>
          <w:lang w:eastAsia="zh-CN"/>
        </w:rPr>
        <w:t>（统一社会信用代码：</w:t>
      </w:r>
      <w:r>
        <w:rPr>
          <w:rFonts w:hint="eastAsia" w:ascii="楷体" w:hAnsi="楷体" w:eastAsia="楷体" w:cs="楷体"/>
          <w:color w:val="auto"/>
          <w:spacing w:val="-4"/>
          <w:sz w:val="24"/>
          <w:szCs w:val="24"/>
          <w:u w:val="single"/>
          <w:lang w:val="en-US" w:eastAsia="zh-CN"/>
        </w:rPr>
        <w:t xml:space="preserve">                        </w:t>
      </w:r>
      <w:r>
        <w:rPr>
          <w:rFonts w:hint="eastAsia" w:ascii="楷体" w:hAnsi="楷体" w:eastAsia="楷体" w:cs="楷体"/>
          <w:color w:val="auto"/>
          <w:spacing w:val="-4"/>
          <w:sz w:val="24"/>
          <w:szCs w:val="24"/>
          <w:lang w:eastAsia="zh-CN"/>
        </w:rPr>
        <w:t>）</w:t>
      </w:r>
    </w:p>
    <w:p w14:paraId="4B2B2A69">
      <w:pPr>
        <w:spacing w:line="560" w:lineRule="exact"/>
        <w:ind w:firstLine="468" w:firstLineChars="200"/>
        <w:jc w:val="both"/>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依据《中华人民共和国民法典》《中华人民共和国政府采</w:t>
      </w:r>
      <w:r>
        <w:rPr>
          <w:rFonts w:hint="eastAsia" w:ascii="楷体" w:hAnsi="楷体" w:eastAsia="楷体" w:cs="楷体"/>
          <w:color w:val="auto"/>
          <w:spacing w:val="-4"/>
          <w:sz w:val="24"/>
          <w:szCs w:val="24"/>
          <w:lang w:eastAsia="zh-CN"/>
        </w:rPr>
        <w:t>购法》等与项目行</w:t>
      </w:r>
      <w:r>
        <w:rPr>
          <w:rFonts w:hint="eastAsia" w:ascii="楷体" w:hAnsi="楷体" w:eastAsia="楷体" w:cs="楷体"/>
          <w:color w:val="auto"/>
          <w:spacing w:val="4"/>
          <w:sz w:val="24"/>
          <w:szCs w:val="24"/>
          <w:lang w:eastAsia="zh-CN"/>
        </w:rPr>
        <w:t>业有关的法律法规，以及</w:t>
      </w:r>
      <w:r>
        <w:rPr>
          <w:rFonts w:hint="eastAsia" w:ascii="楷体" w:hAnsi="楷体" w:eastAsia="楷体" w:cs="楷体"/>
          <w:color w:val="auto"/>
          <w:spacing w:val="4"/>
          <w:sz w:val="24"/>
          <w:szCs w:val="24"/>
          <w:u w:val="single"/>
          <w:lang w:eastAsia="zh-CN"/>
        </w:rPr>
        <w:t>执法装备和执法在线视频指挥无线传输</w:t>
      </w:r>
      <w:r>
        <w:rPr>
          <w:rFonts w:hint="eastAsia" w:ascii="楷体" w:hAnsi="楷体" w:eastAsia="楷体" w:cs="楷体"/>
          <w:color w:val="auto"/>
          <w:spacing w:val="3"/>
          <w:sz w:val="24"/>
          <w:szCs w:val="24"/>
          <w:u w:val="single"/>
          <w:lang w:eastAsia="zh-CN"/>
        </w:rPr>
        <w:t>终端运维</w:t>
      </w:r>
      <w:r>
        <w:rPr>
          <w:rFonts w:hint="eastAsia" w:ascii="楷体" w:hAnsi="楷体" w:eastAsia="楷体" w:cs="楷体"/>
          <w:color w:val="auto"/>
          <w:spacing w:val="3"/>
          <w:sz w:val="24"/>
          <w:szCs w:val="24"/>
          <w:lang w:eastAsia="zh-CN"/>
        </w:rPr>
        <w:t>项</w:t>
      </w:r>
      <w:r>
        <w:rPr>
          <w:rFonts w:hint="eastAsia" w:ascii="楷体" w:hAnsi="楷体" w:eastAsia="楷体" w:cs="楷体"/>
          <w:color w:val="auto"/>
          <w:spacing w:val="-1"/>
          <w:sz w:val="24"/>
          <w:szCs w:val="24"/>
          <w:lang w:eastAsia="zh-CN"/>
        </w:rPr>
        <w:t>目，甲、乙双方同意签订本合同。</w:t>
      </w:r>
    </w:p>
    <w:p w14:paraId="5A1D36F8">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第一条、项目基本情况</w:t>
      </w:r>
    </w:p>
    <w:p w14:paraId="03E3D8B0">
      <w:pPr>
        <w:spacing w:line="560" w:lineRule="exact"/>
        <w:ind w:firstLine="468" w:firstLineChars="200"/>
        <w:jc w:val="both"/>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为加强队伍装备建设，持续提升执法能力，执法能力建设</w:t>
      </w:r>
      <w:r>
        <w:rPr>
          <w:rFonts w:hint="eastAsia" w:ascii="楷体" w:hAnsi="楷体" w:eastAsia="楷体" w:cs="楷体"/>
          <w:color w:val="auto"/>
          <w:spacing w:val="-4"/>
          <w:sz w:val="24"/>
          <w:szCs w:val="24"/>
          <w:lang w:eastAsia="zh-CN"/>
        </w:rPr>
        <w:t>项目配备的执法装</w:t>
      </w:r>
      <w:r>
        <w:rPr>
          <w:rFonts w:hint="eastAsia" w:ascii="楷体" w:hAnsi="楷体" w:eastAsia="楷体" w:cs="楷体"/>
          <w:color w:val="auto"/>
          <w:spacing w:val="-3"/>
          <w:sz w:val="24"/>
          <w:szCs w:val="24"/>
          <w:lang w:eastAsia="zh-CN"/>
        </w:rPr>
        <w:t>备、建设的系统软件和机房的信息安全等均需要进行日常维护，保障正常运行和</w:t>
      </w:r>
      <w:r>
        <w:rPr>
          <w:rFonts w:hint="eastAsia" w:ascii="楷体" w:hAnsi="楷体" w:eastAsia="楷体" w:cs="楷体"/>
          <w:color w:val="auto"/>
          <w:spacing w:val="-4"/>
          <w:sz w:val="24"/>
          <w:szCs w:val="24"/>
          <w:lang w:eastAsia="zh-CN"/>
        </w:rPr>
        <w:t>使用。</w:t>
      </w:r>
    </w:p>
    <w:p w14:paraId="5F0A616A">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第二条、服务期限</w:t>
      </w:r>
    </w:p>
    <w:p w14:paraId="553EFD4B">
      <w:pPr>
        <w:spacing w:line="560" w:lineRule="exact"/>
        <w:ind w:firstLine="45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7"/>
          <w:sz w:val="24"/>
          <w:szCs w:val="24"/>
          <w:lang w:eastAsia="zh-CN"/>
        </w:rPr>
        <w:t>自合同签订之日起一年。</w:t>
      </w:r>
    </w:p>
    <w:p w14:paraId="7754CF05">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第三条、服务内容与质量标准</w:t>
      </w:r>
    </w:p>
    <w:p w14:paraId="73BED9C1">
      <w:pPr>
        <w:spacing w:line="560" w:lineRule="exact"/>
        <w:ind w:firstLine="464" w:firstLineChars="200"/>
        <w:rPr>
          <w:rFonts w:hint="eastAsia" w:ascii="楷体" w:hAnsi="楷体" w:eastAsia="楷体" w:cs="楷体"/>
          <w:color w:val="auto"/>
          <w:sz w:val="24"/>
          <w:szCs w:val="24"/>
          <w:highlight w:val="none"/>
          <w:lang w:val="en-US" w:eastAsia="zh-CN"/>
        </w:rPr>
      </w:pPr>
      <w:r>
        <w:rPr>
          <w:rFonts w:hint="eastAsia" w:ascii="楷体" w:hAnsi="楷体" w:eastAsia="楷体" w:cs="楷体"/>
          <w:color w:val="auto"/>
          <w:spacing w:val="-4"/>
          <w:sz w:val="24"/>
          <w:szCs w:val="24"/>
          <w:lang w:eastAsia="zh-CN"/>
        </w:rPr>
        <w:t>1.服务内容：</w:t>
      </w:r>
      <w:r>
        <w:rPr>
          <w:rFonts w:hint="eastAsia" w:ascii="楷体" w:hAnsi="楷体" w:eastAsia="楷体" w:cs="楷体"/>
          <w:color w:val="auto"/>
          <w:spacing w:val="-4"/>
          <w:sz w:val="24"/>
          <w:szCs w:val="24"/>
          <w:u w:val="single"/>
          <w:lang w:val="en-US" w:eastAsia="zh-CN"/>
        </w:rPr>
        <w:t xml:space="preserve"> 对西安市生态环境保护综合执法支队现有执法装备和执法在线视频指挥无线传输终端</w:t>
      </w:r>
      <w:r>
        <w:rPr>
          <w:rFonts w:hint="eastAsia" w:ascii="楷体" w:hAnsi="楷体" w:eastAsia="楷体" w:cs="楷体"/>
          <w:color w:val="auto"/>
          <w:spacing w:val="-4"/>
          <w:sz w:val="24"/>
          <w:szCs w:val="24"/>
          <w:highlight w:val="none"/>
          <w:u w:val="single"/>
          <w:lang w:val="en-US" w:eastAsia="zh-CN"/>
        </w:rPr>
        <w:t xml:space="preserve">等运维（详见附件1）  </w:t>
      </w:r>
    </w:p>
    <w:p w14:paraId="417773C3">
      <w:pPr>
        <w:spacing w:line="560" w:lineRule="exact"/>
        <w:ind w:firstLine="468" w:firstLineChars="200"/>
        <w:rPr>
          <w:rFonts w:hint="eastAsia" w:ascii="楷体" w:hAnsi="楷体" w:eastAsia="楷体" w:cs="楷体"/>
          <w:color w:val="auto"/>
          <w:sz w:val="24"/>
          <w:szCs w:val="24"/>
          <w:highlight w:val="none"/>
          <w:lang w:val="en-US" w:eastAsia="zh-CN"/>
        </w:rPr>
      </w:pPr>
      <w:r>
        <w:rPr>
          <w:rFonts w:hint="eastAsia" w:ascii="楷体" w:hAnsi="楷体" w:eastAsia="楷体" w:cs="楷体"/>
          <w:color w:val="auto"/>
          <w:spacing w:val="-3"/>
          <w:sz w:val="24"/>
          <w:szCs w:val="24"/>
          <w:highlight w:val="none"/>
          <w:lang w:eastAsia="zh-CN"/>
        </w:rPr>
        <w:t>2.服务要求</w:t>
      </w:r>
      <w:r>
        <w:rPr>
          <w:rFonts w:hint="eastAsia" w:ascii="楷体" w:hAnsi="楷体" w:eastAsia="楷体" w:cs="楷体"/>
          <w:color w:val="auto"/>
          <w:spacing w:val="-13"/>
          <w:sz w:val="24"/>
          <w:szCs w:val="24"/>
          <w:highlight w:val="none"/>
          <w:lang w:eastAsia="zh-CN"/>
        </w:rPr>
        <w:t>：</w:t>
      </w:r>
      <w:r>
        <w:rPr>
          <w:rFonts w:hint="eastAsia" w:ascii="楷体" w:hAnsi="楷体" w:eastAsia="楷体" w:cs="楷体"/>
          <w:color w:val="auto"/>
          <w:spacing w:val="-13"/>
          <w:sz w:val="24"/>
          <w:szCs w:val="24"/>
          <w:highlight w:val="none"/>
          <w:u w:val="single"/>
          <w:lang w:val="en-US" w:eastAsia="zh-CN"/>
        </w:rPr>
        <w:t xml:space="preserve">  （详见附件1） </w:t>
      </w:r>
    </w:p>
    <w:p w14:paraId="4CAF4DB3">
      <w:pPr>
        <w:spacing w:line="560" w:lineRule="exact"/>
        <w:ind w:firstLine="464"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4"/>
          <w:sz w:val="24"/>
          <w:szCs w:val="24"/>
          <w:lang w:eastAsia="zh-CN"/>
        </w:rPr>
        <w:t>3.质量验收标准或规范</w:t>
      </w:r>
    </w:p>
    <w:p w14:paraId="17A49333">
      <w:pPr>
        <w:spacing w:line="560" w:lineRule="exact"/>
        <w:ind w:firstLine="456" w:firstLineChars="200"/>
        <w:jc w:val="both"/>
        <w:rPr>
          <w:rFonts w:hint="eastAsia" w:ascii="楷体" w:hAnsi="楷体" w:eastAsia="楷体" w:cs="楷体"/>
          <w:color w:val="auto"/>
          <w:sz w:val="24"/>
          <w:szCs w:val="24"/>
          <w:lang w:eastAsia="zh-CN"/>
        </w:rPr>
      </w:pPr>
      <w:r>
        <w:rPr>
          <w:rFonts w:hint="eastAsia" w:ascii="楷体" w:hAnsi="楷体" w:eastAsia="楷体" w:cs="楷体"/>
          <w:color w:val="auto"/>
          <w:spacing w:val="-6"/>
          <w:sz w:val="24"/>
          <w:szCs w:val="24"/>
          <w:lang w:eastAsia="zh-CN"/>
        </w:rPr>
        <w:t>（1）服务到期后乙方提出验收申请，甲方需15日内组织验收，验收不合格时，甲方需书面告知具体问题，乙方应在指定期限内整改后重新申请验收，甲方应在10日内完成二次验收，否则视为验收通过。</w:t>
      </w:r>
    </w:p>
    <w:p w14:paraId="7891E402">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（2）达到本合同技术及履约要求。</w:t>
      </w:r>
    </w:p>
    <w:p w14:paraId="3020BF4F">
      <w:pPr>
        <w:spacing w:line="560" w:lineRule="exact"/>
        <w:ind w:firstLine="476"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pacing w:val="-1"/>
          <w:sz w:val="24"/>
          <w:szCs w:val="24"/>
          <w:highlight w:val="none"/>
          <w:lang w:eastAsia="zh-CN"/>
        </w:rPr>
        <w:t>第四条、服务绩效管理</w:t>
      </w:r>
    </w:p>
    <w:p w14:paraId="2757D4B9">
      <w:pPr>
        <w:spacing w:line="560" w:lineRule="exact"/>
        <w:ind w:firstLine="464"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pacing w:val="-4"/>
          <w:sz w:val="24"/>
          <w:szCs w:val="24"/>
          <w:highlight w:val="none"/>
          <w:lang w:eastAsia="zh-CN"/>
        </w:rPr>
        <w:t>1.绩效指标及评价分值（100分）</w:t>
      </w:r>
    </w:p>
    <w:p w14:paraId="1BC5B60D">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（1）数量指标（25分）</w:t>
      </w:r>
    </w:p>
    <w:p w14:paraId="329D77C3">
      <w:pPr>
        <w:spacing w:line="560" w:lineRule="exact"/>
        <w:ind w:firstLine="472"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pacing w:val="-2"/>
          <w:sz w:val="24"/>
          <w:szCs w:val="24"/>
          <w:highlight w:val="none"/>
          <w:lang w:eastAsia="zh-CN"/>
        </w:rPr>
        <w:t>1）对执法装备</w:t>
      </w:r>
      <w:r>
        <w:rPr>
          <w:rFonts w:hint="eastAsia" w:ascii="楷体" w:hAnsi="楷体" w:eastAsia="楷体" w:cs="楷体"/>
          <w:color w:val="auto"/>
          <w:spacing w:val="-2"/>
          <w:sz w:val="24"/>
          <w:szCs w:val="24"/>
          <w:highlight w:val="none"/>
          <w:lang w:val="en-US" w:eastAsia="zh-CN"/>
        </w:rPr>
        <w:t>进行</w:t>
      </w:r>
      <w:r>
        <w:rPr>
          <w:rFonts w:hint="eastAsia" w:ascii="楷体" w:hAnsi="楷体" w:eastAsia="楷体" w:cs="楷体"/>
          <w:color w:val="auto"/>
          <w:spacing w:val="-2"/>
          <w:sz w:val="24"/>
          <w:szCs w:val="24"/>
          <w:highlight w:val="none"/>
          <w:lang w:eastAsia="zh-CN"/>
        </w:rPr>
        <w:t>维保</w:t>
      </w:r>
      <w:r>
        <w:rPr>
          <w:rFonts w:hint="eastAsia" w:ascii="楷体" w:hAnsi="楷体" w:eastAsia="楷体" w:cs="楷体"/>
          <w:color w:val="auto"/>
          <w:spacing w:val="-2"/>
          <w:sz w:val="24"/>
          <w:szCs w:val="24"/>
          <w:highlight w:val="none"/>
          <w:lang w:val="en-US" w:eastAsia="zh-CN"/>
        </w:rPr>
        <w:t>及培训</w:t>
      </w:r>
      <w:r>
        <w:rPr>
          <w:rFonts w:hint="eastAsia" w:ascii="楷体" w:hAnsi="楷体" w:eastAsia="楷体" w:cs="楷体"/>
          <w:color w:val="auto"/>
          <w:spacing w:val="-2"/>
          <w:sz w:val="24"/>
          <w:szCs w:val="24"/>
          <w:highlight w:val="none"/>
          <w:lang w:eastAsia="zh-CN"/>
        </w:rPr>
        <w:t>，保障日常生态环境执法工作的开展。</w:t>
      </w:r>
    </w:p>
    <w:p w14:paraId="05493378">
      <w:pPr>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2）对执法在线视频指挥无线传输终端五个</w:t>
      </w:r>
      <w:r>
        <w:rPr>
          <w:rFonts w:hint="eastAsia" w:ascii="楷体" w:hAnsi="楷体" w:eastAsia="楷体" w:cs="楷体"/>
          <w:color w:val="auto"/>
          <w:sz w:val="24"/>
          <w:szCs w:val="24"/>
          <w:highlight w:val="none"/>
          <w:lang w:val="en-US" w:eastAsia="zh-CN"/>
        </w:rPr>
        <w:t>管理</w:t>
      </w:r>
      <w:r>
        <w:rPr>
          <w:rFonts w:hint="eastAsia" w:ascii="楷体" w:hAnsi="楷体" w:eastAsia="楷体" w:cs="楷体"/>
          <w:color w:val="auto"/>
          <w:sz w:val="24"/>
          <w:szCs w:val="24"/>
          <w:highlight w:val="none"/>
          <w:lang w:eastAsia="zh-CN"/>
        </w:rPr>
        <w:t>平台进行</w:t>
      </w:r>
      <w:r>
        <w:rPr>
          <w:rFonts w:hint="eastAsia" w:ascii="楷体" w:hAnsi="楷体" w:eastAsia="楷体" w:cs="楷体"/>
          <w:color w:val="auto"/>
          <w:spacing w:val="-1"/>
          <w:sz w:val="24"/>
          <w:szCs w:val="24"/>
          <w:highlight w:val="none"/>
          <w:lang w:eastAsia="zh-CN"/>
        </w:rPr>
        <w:t>日常运维管理</w:t>
      </w:r>
      <w:r>
        <w:rPr>
          <w:rFonts w:hint="eastAsia" w:ascii="楷体" w:hAnsi="楷体" w:eastAsia="楷体" w:cs="楷体"/>
          <w:color w:val="auto"/>
          <w:spacing w:val="-1"/>
          <w:sz w:val="24"/>
          <w:szCs w:val="24"/>
          <w:highlight w:val="none"/>
          <w:lang w:val="en-US" w:eastAsia="zh-CN"/>
        </w:rPr>
        <w:t>及软件升级</w:t>
      </w:r>
      <w:r>
        <w:rPr>
          <w:rFonts w:hint="eastAsia" w:ascii="楷体" w:hAnsi="楷体" w:eastAsia="楷体" w:cs="楷体"/>
          <w:color w:val="auto"/>
          <w:spacing w:val="-1"/>
          <w:sz w:val="24"/>
          <w:szCs w:val="24"/>
          <w:highlight w:val="none"/>
          <w:lang w:eastAsia="zh-CN"/>
        </w:rPr>
        <w:t>。</w:t>
      </w:r>
    </w:p>
    <w:p w14:paraId="2B8048D5">
      <w:pPr>
        <w:spacing w:line="560" w:lineRule="exact"/>
        <w:ind w:firstLine="484"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pacing w:val="1"/>
          <w:sz w:val="24"/>
          <w:szCs w:val="24"/>
          <w:highlight w:val="none"/>
          <w:lang w:eastAsia="zh-CN"/>
        </w:rPr>
        <w:t>3）保障执法在线视频指挥无线传输终端系统网络专线及</w:t>
      </w:r>
      <w:r>
        <w:rPr>
          <w:rFonts w:hint="eastAsia" w:ascii="楷体" w:hAnsi="楷体" w:eastAsia="楷体" w:cs="楷体"/>
          <w:color w:val="auto"/>
          <w:sz w:val="24"/>
          <w:szCs w:val="24"/>
          <w:highlight w:val="none"/>
          <w:lang w:val="en-US" w:eastAsia="zh-CN"/>
        </w:rPr>
        <w:t>474</w:t>
      </w:r>
      <w:r>
        <w:rPr>
          <w:rFonts w:hint="eastAsia" w:ascii="楷体" w:hAnsi="楷体" w:eastAsia="楷体" w:cs="楷体"/>
          <w:color w:val="auto"/>
          <w:sz w:val="24"/>
          <w:szCs w:val="24"/>
          <w:highlight w:val="none"/>
          <w:lang w:eastAsia="zh-CN"/>
        </w:rPr>
        <w:t>张4G物联网</w:t>
      </w:r>
      <w:r>
        <w:rPr>
          <w:rFonts w:hint="eastAsia" w:ascii="楷体" w:hAnsi="楷体" w:eastAsia="楷体" w:cs="楷体"/>
          <w:color w:val="auto"/>
          <w:spacing w:val="-3"/>
          <w:sz w:val="24"/>
          <w:szCs w:val="24"/>
          <w:highlight w:val="none"/>
          <w:lang w:eastAsia="zh-CN"/>
        </w:rPr>
        <w:t>卡网络畅通。</w:t>
      </w:r>
    </w:p>
    <w:p w14:paraId="58535EA9">
      <w:pPr>
        <w:spacing w:line="560" w:lineRule="exact"/>
        <w:ind w:firstLine="472"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pacing w:val="-2"/>
          <w:sz w:val="24"/>
          <w:szCs w:val="24"/>
          <w:highlight w:val="none"/>
          <w:lang w:eastAsia="zh-CN"/>
        </w:rPr>
        <w:t>评分标准：</w:t>
      </w:r>
    </w:p>
    <w:p w14:paraId="538FF407">
      <w:pPr>
        <w:spacing w:line="560" w:lineRule="exact"/>
        <w:ind w:firstLine="460"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5"/>
          <w:sz w:val="24"/>
          <w:szCs w:val="24"/>
          <w:lang w:eastAsia="zh-CN"/>
        </w:rPr>
        <w:t>1）未按时完成运维内容1次扣1分，扣完为止；</w:t>
      </w:r>
    </w:p>
    <w:p w14:paraId="675245C7">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2）未达到技术要求的，每次扣0.5分。</w:t>
      </w:r>
    </w:p>
    <w:p w14:paraId="7F607D41">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（2）质量指标（25分）</w:t>
      </w:r>
    </w:p>
    <w:p w14:paraId="407106DB">
      <w:pPr>
        <w:spacing w:line="560" w:lineRule="exact"/>
        <w:ind w:firstLine="46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通过日常维保，保障执法装备和执法在线视频指挥无线传输</w:t>
      </w:r>
      <w:r>
        <w:rPr>
          <w:rFonts w:hint="eastAsia" w:ascii="楷体" w:hAnsi="楷体" w:eastAsia="楷体" w:cs="楷体"/>
          <w:color w:val="auto"/>
          <w:spacing w:val="-4"/>
          <w:sz w:val="24"/>
          <w:szCs w:val="24"/>
          <w:lang w:eastAsia="zh-CN"/>
        </w:rPr>
        <w:t>终端正常运</w:t>
      </w:r>
      <w:r>
        <w:rPr>
          <w:rFonts w:hint="eastAsia" w:ascii="楷体" w:hAnsi="楷体" w:eastAsia="楷体" w:cs="楷体"/>
          <w:color w:val="auto"/>
          <w:spacing w:val="-7"/>
          <w:sz w:val="24"/>
          <w:szCs w:val="24"/>
          <w:lang w:eastAsia="zh-CN"/>
        </w:rPr>
        <w:t>行。</w:t>
      </w:r>
    </w:p>
    <w:p w14:paraId="51DAB392">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评分标准：</w:t>
      </w:r>
    </w:p>
    <w:p w14:paraId="43B0253D">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1）解决一般软件故障时限&gt;3个工作日，每次扣2</w:t>
      </w:r>
      <w:r>
        <w:rPr>
          <w:rFonts w:hint="eastAsia" w:ascii="楷体" w:hAnsi="楷体" w:eastAsia="楷体" w:cs="楷体"/>
          <w:color w:val="auto"/>
          <w:spacing w:val="-2"/>
          <w:sz w:val="24"/>
          <w:szCs w:val="24"/>
          <w:lang w:eastAsia="zh-CN"/>
        </w:rPr>
        <w:t>分，扣完为止；</w:t>
      </w:r>
    </w:p>
    <w:p w14:paraId="6ACAB725">
      <w:pPr>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2）更新装备配件或整机时限&gt;10个工作日</w:t>
      </w:r>
      <w:r>
        <w:rPr>
          <w:rFonts w:hint="eastAsia" w:ascii="楷体" w:hAnsi="楷体" w:eastAsia="楷体" w:cs="楷体"/>
          <w:color w:val="auto"/>
          <w:spacing w:val="-1"/>
          <w:sz w:val="24"/>
          <w:szCs w:val="24"/>
          <w:lang w:eastAsia="zh-CN"/>
        </w:rPr>
        <w:t>，每次扣2分，扣完为止。</w:t>
      </w:r>
    </w:p>
    <w:p w14:paraId="1CB41E20">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（3）时效指标（20分）</w:t>
      </w:r>
    </w:p>
    <w:p w14:paraId="6AE8E27B">
      <w:pPr>
        <w:spacing w:line="560" w:lineRule="exact"/>
        <w:ind w:left="559" w:leftChars="266"/>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按照运维计划进行维护，每月10日前必须提交上月运维服务报告。</w:t>
      </w:r>
      <w:r>
        <w:rPr>
          <w:rFonts w:hint="eastAsia" w:ascii="楷体" w:hAnsi="楷体" w:eastAsia="楷体" w:cs="楷体"/>
          <w:color w:val="auto"/>
          <w:spacing w:val="-2"/>
          <w:sz w:val="24"/>
          <w:szCs w:val="24"/>
          <w:lang w:eastAsia="zh-CN"/>
        </w:rPr>
        <w:t>评分标准：</w:t>
      </w:r>
    </w:p>
    <w:p w14:paraId="5B7FA1D5">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1）延迟提交每次扣2分，扣完为止；</w:t>
      </w:r>
    </w:p>
    <w:p w14:paraId="429BD7DD">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2）当月未提交的，扣5分。</w:t>
      </w:r>
    </w:p>
    <w:p w14:paraId="71B21A21">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（4）满意度指标（30分）</w:t>
      </w:r>
    </w:p>
    <w:p w14:paraId="7B2D1752">
      <w:pPr>
        <w:spacing w:line="560" w:lineRule="exact"/>
        <w:ind w:firstLine="464"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4"/>
          <w:sz w:val="24"/>
          <w:szCs w:val="24"/>
          <w:lang w:eastAsia="zh-CN"/>
        </w:rPr>
        <w:t>甲方满意度评价：由甲方根据乙方的服务质量、响应速度、问题解决</w:t>
      </w:r>
      <w:r>
        <w:rPr>
          <w:rFonts w:hint="eastAsia" w:ascii="楷体" w:hAnsi="楷体" w:eastAsia="楷体" w:cs="楷体"/>
          <w:color w:val="auto"/>
          <w:spacing w:val="-5"/>
          <w:sz w:val="24"/>
          <w:szCs w:val="24"/>
          <w:lang w:eastAsia="zh-CN"/>
        </w:rPr>
        <w:t>能力等</w:t>
      </w:r>
      <w:r>
        <w:rPr>
          <w:rFonts w:hint="eastAsia" w:ascii="楷体" w:hAnsi="楷体" w:eastAsia="楷体" w:cs="楷体"/>
          <w:color w:val="auto"/>
          <w:spacing w:val="-2"/>
          <w:sz w:val="24"/>
          <w:szCs w:val="24"/>
          <w:lang w:eastAsia="zh-CN"/>
        </w:rPr>
        <w:t>进行综合评分。</w:t>
      </w:r>
    </w:p>
    <w:p w14:paraId="0BCC0F60">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评分标准：</w:t>
      </w:r>
    </w:p>
    <w:p w14:paraId="7A64C939">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优（30分</w:t>
      </w:r>
      <w:r>
        <w:rPr>
          <w:rFonts w:hint="eastAsia" w:ascii="楷体" w:hAnsi="楷体" w:eastAsia="楷体" w:cs="楷体"/>
          <w:color w:val="auto"/>
          <w:spacing w:val="4"/>
          <w:sz w:val="24"/>
          <w:szCs w:val="24"/>
          <w:lang w:eastAsia="zh-CN"/>
        </w:rPr>
        <w:t>）：</w:t>
      </w:r>
      <w:r>
        <w:rPr>
          <w:rFonts w:hint="eastAsia" w:ascii="楷体" w:hAnsi="楷体" w:eastAsia="楷体" w:cs="楷体"/>
          <w:color w:val="auto"/>
          <w:spacing w:val="-1"/>
          <w:sz w:val="24"/>
          <w:szCs w:val="24"/>
          <w:lang w:eastAsia="zh-CN"/>
        </w:rPr>
        <w:t>服务完全符合或超出预期；</w:t>
      </w:r>
    </w:p>
    <w:p w14:paraId="375369E8">
      <w:pPr>
        <w:spacing w:line="560" w:lineRule="exact"/>
        <w:ind w:firstLine="46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良（20分</w:t>
      </w:r>
      <w:r>
        <w:rPr>
          <w:rFonts w:hint="eastAsia" w:ascii="楷体" w:hAnsi="楷体" w:eastAsia="楷体" w:cs="楷体"/>
          <w:color w:val="auto"/>
          <w:spacing w:val="7"/>
          <w:sz w:val="24"/>
          <w:szCs w:val="24"/>
          <w:lang w:eastAsia="zh-CN"/>
        </w:rPr>
        <w:t>）：</w:t>
      </w:r>
      <w:r>
        <w:rPr>
          <w:rFonts w:hint="eastAsia" w:ascii="楷体" w:hAnsi="楷体" w:eastAsia="楷体" w:cs="楷体"/>
          <w:color w:val="auto"/>
          <w:spacing w:val="-3"/>
          <w:sz w:val="24"/>
          <w:szCs w:val="24"/>
          <w:lang w:eastAsia="zh-CN"/>
        </w:rPr>
        <w:t>服务基本符合要求，无重大疏漏；</w:t>
      </w:r>
    </w:p>
    <w:p w14:paraId="44CE4931">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中（10分</w:t>
      </w:r>
      <w:r>
        <w:rPr>
          <w:rFonts w:hint="eastAsia" w:ascii="楷体" w:hAnsi="楷体" w:eastAsia="楷体" w:cs="楷体"/>
          <w:color w:val="auto"/>
          <w:spacing w:val="7"/>
          <w:sz w:val="24"/>
          <w:szCs w:val="24"/>
          <w:lang w:eastAsia="zh-CN"/>
        </w:rPr>
        <w:t>）：</w:t>
      </w:r>
      <w:r>
        <w:rPr>
          <w:rFonts w:hint="eastAsia" w:ascii="楷体" w:hAnsi="楷体" w:eastAsia="楷体" w:cs="楷体"/>
          <w:color w:val="auto"/>
          <w:spacing w:val="-2"/>
          <w:sz w:val="24"/>
          <w:szCs w:val="24"/>
          <w:lang w:eastAsia="zh-CN"/>
        </w:rPr>
        <w:t>服务存在部分不足，但未影响整体目标；</w:t>
      </w:r>
    </w:p>
    <w:p w14:paraId="40C59CEC">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差（0分</w:t>
      </w:r>
      <w:r>
        <w:rPr>
          <w:rFonts w:hint="eastAsia" w:ascii="楷体" w:hAnsi="楷体" w:eastAsia="楷体" w:cs="楷体"/>
          <w:color w:val="auto"/>
          <w:spacing w:val="8"/>
          <w:sz w:val="24"/>
          <w:szCs w:val="24"/>
          <w:lang w:eastAsia="zh-CN"/>
        </w:rPr>
        <w:t>）：</w:t>
      </w:r>
      <w:r>
        <w:rPr>
          <w:rFonts w:hint="eastAsia" w:ascii="楷体" w:hAnsi="楷体" w:eastAsia="楷体" w:cs="楷体"/>
          <w:color w:val="auto"/>
          <w:spacing w:val="-2"/>
          <w:sz w:val="24"/>
          <w:szCs w:val="24"/>
          <w:lang w:eastAsia="zh-CN"/>
        </w:rPr>
        <w:t>服务未达到基本要求。</w:t>
      </w:r>
    </w:p>
    <w:p w14:paraId="2B342B65">
      <w:pPr>
        <w:spacing w:line="560" w:lineRule="exact"/>
        <w:ind w:firstLine="464"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4"/>
          <w:sz w:val="24"/>
          <w:szCs w:val="24"/>
          <w:lang w:eastAsia="zh-CN"/>
        </w:rPr>
        <w:t>2.绩效运行监控</w:t>
      </w:r>
    </w:p>
    <w:p w14:paraId="5318D06B">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（1）甲方有权对乙方的服务进行不定期检查，乙方需配合提供</w:t>
      </w:r>
      <w:r>
        <w:rPr>
          <w:rFonts w:hint="eastAsia" w:ascii="楷体" w:hAnsi="楷体" w:eastAsia="楷体" w:cs="楷体"/>
          <w:color w:val="auto"/>
          <w:spacing w:val="-2"/>
          <w:sz w:val="24"/>
          <w:szCs w:val="24"/>
          <w:lang w:eastAsia="zh-CN"/>
        </w:rPr>
        <w:t>运维记录、维修台账等完整资料。</w:t>
      </w:r>
    </w:p>
    <w:p w14:paraId="73A628C9">
      <w:pPr>
        <w:spacing w:line="560" w:lineRule="exact"/>
        <w:ind w:firstLine="46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（2）乙方应每月5日前向甲方提交绩效自评报告，内容包括：当月任务开展情况；</w:t>
      </w:r>
      <w:r>
        <w:rPr>
          <w:rFonts w:hint="eastAsia" w:ascii="楷体" w:hAnsi="楷体" w:eastAsia="楷体" w:cs="楷体"/>
          <w:color w:val="auto"/>
          <w:spacing w:val="-1"/>
          <w:sz w:val="24"/>
          <w:szCs w:val="24"/>
          <w:lang w:eastAsia="zh-CN"/>
        </w:rPr>
        <w:t>存在问题整改情况；未完成任务的原因及改进计划。</w:t>
      </w:r>
    </w:p>
    <w:p w14:paraId="437B4CC7">
      <w:pPr>
        <w:spacing w:line="560" w:lineRule="exact"/>
        <w:ind w:firstLine="460"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5"/>
          <w:sz w:val="24"/>
          <w:szCs w:val="24"/>
          <w:lang w:eastAsia="zh-CN"/>
        </w:rPr>
        <w:t>3.绩效评价管理</w:t>
      </w:r>
    </w:p>
    <w:p w14:paraId="08F92E07">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（1）绩效评价采取百分制，根据分值分为四档：</w:t>
      </w:r>
    </w:p>
    <w:p w14:paraId="3CFEEC12">
      <w:pPr>
        <w:spacing w:line="560" w:lineRule="exact"/>
        <w:ind w:firstLine="476" w:firstLineChars="200"/>
        <w:rPr>
          <w:rFonts w:hint="eastAsia" w:ascii="楷体" w:hAnsi="楷体" w:eastAsia="楷体" w:cs="楷体"/>
          <w:color w:val="auto"/>
          <w:sz w:val="24"/>
          <w:szCs w:val="24"/>
        </w:rPr>
      </w:pPr>
      <w:r>
        <w:rPr>
          <w:rFonts w:hint="eastAsia" w:ascii="楷体" w:hAnsi="楷体" w:eastAsia="楷体" w:cs="楷体"/>
          <w:color w:val="auto"/>
          <w:spacing w:val="-1"/>
          <w:sz w:val="24"/>
          <w:szCs w:val="24"/>
        </w:rPr>
        <w:t>优：90分以上；</w:t>
      </w:r>
    </w:p>
    <w:p w14:paraId="7B63D629">
      <w:pPr>
        <w:spacing w:line="560" w:lineRule="exact"/>
        <w:ind w:firstLine="452" w:firstLineChars="200"/>
        <w:rPr>
          <w:rFonts w:hint="eastAsia" w:ascii="楷体" w:hAnsi="楷体" w:eastAsia="楷体" w:cs="楷体"/>
          <w:color w:val="auto"/>
          <w:sz w:val="24"/>
          <w:szCs w:val="24"/>
        </w:rPr>
      </w:pPr>
      <w:r>
        <w:rPr>
          <w:rFonts w:hint="eastAsia" w:ascii="楷体" w:hAnsi="楷体" w:eastAsia="楷体" w:cs="楷体"/>
          <w:color w:val="auto"/>
          <w:spacing w:val="-7"/>
          <w:sz w:val="24"/>
          <w:szCs w:val="24"/>
        </w:rPr>
        <w:t>良：80-89分；</w:t>
      </w:r>
    </w:p>
    <w:p w14:paraId="5D4028B1">
      <w:pPr>
        <w:spacing w:line="560" w:lineRule="exact"/>
        <w:ind w:firstLine="464" w:firstLineChars="200"/>
        <w:rPr>
          <w:rFonts w:hint="eastAsia" w:ascii="楷体" w:hAnsi="楷体" w:eastAsia="楷体" w:cs="楷体"/>
          <w:color w:val="auto"/>
          <w:sz w:val="24"/>
          <w:szCs w:val="24"/>
        </w:rPr>
      </w:pPr>
      <w:r>
        <w:rPr>
          <w:rFonts w:hint="eastAsia" w:ascii="楷体" w:hAnsi="楷体" w:eastAsia="楷体" w:cs="楷体"/>
          <w:color w:val="auto"/>
          <w:spacing w:val="-4"/>
          <w:sz w:val="24"/>
          <w:szCs w:val="24"/>
        </w:rPr>
        <w:t>中：60-79分；</w:t>
      </w:r>
    </w:p>
    <w:p w14:paraId="4AC77ECE">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差：60分以下。</w:t>
      </w:r>
    </w:p>
    <w:p w14:paraId="5719DDF7">
      <w:pPr>
        <w:spacing w:line="560" w:lineRule="exact"/>
        <w:ind w:firstLine="46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（2）绩效评价每季度开展一次，每季度结束后5日内书面通知</w:t>
      </w:r>
      <w:r>
        <w:rPr>
          <w:rFonts w:hint="eastAsia" w:ascii="楷体" w:hAnsi="楷体" w:eastAsia="楷体" w:cs="楷体"/>
          <w:color w:val="auto"/>
          <w:spacing w:val="-4"/>
          <w:sz w:val="24"/>
          <w:szCs w:val="24"/>
          <w:lang w:eastAsia="zh-CN"/>
        </w:rPr>
        <w:t>乙方前一季度评价结果。绩效评价结果需经甲</w:t>
      </w:r>
      <w:r>
        <w:rPr>
          <w:rFonts w:hint="eastAsia" w:ascii="楷体" w:hAnsi="楷体" w:eastAsia="楷体" w:cs="楷体"/>
          <w:color w:val="auto"/>
          <w:spacing w:val="-1"/>
          <w:sz w:val="24"/>
          <w:szCs w:val="24"/>
          <w:lang w:eastAsia="zh-CN"/>
        </w:rPr>
        <w:t>方项目负责人签字确认，并附具体扣分说明。如甲方未按时出具书面评价结果，则视为甲方对乙方评价为优。</w:t>
      </w:r>
    </w:p>
    <w:p w14:paraId="6E676C30">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（3）若乙方季度绩效评价结果为“差”：</w:t>
      </w:r>
    </w:p>
    <w:p w14:paraId="46CB50DB">
      <w:pPr>
        <w:spacing w:line="560" w:lineRule="exact"/>
        <w:ind w:firstLine="44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8"/>
          <w:sz w:val="24"/>
          <w:szCs w:val="24"/>
          <w:lang w:eastAsia="zh-CN"/>
        </w:rPr>
        <w:t>乙方需在收到通知后10个工作日内提交整改方案，并在30日内完成整改；</w:t>
      </w:r>
      <w:r>
        <w:rPr>
          <w:rFonts w:hint="eastAsia" w:ascii="楷体" w:hAnsi="楷体" w:eastAsia="楷体" w:cs="楷体"/>
          <w:color w:val="auto"/>
          <w:sz w:val="24"/>
          <w:szCs w:val="24"/>
          <w:lang w:eastAsia="zh-CN"/>
        </w:rPr>
        <w:t>整改后经甲方重新评价达到“中”档以上，</w:t>
      </w:r>
      <w:r>
        <w:rPr>
          <w:rFonts w:hint="eastAsia" w:ascii="楷体" w:hAnsi="楷体" w:eastAsia="楷体" w:cs="楷体"/>
          <w:color w:val="auto"/>
          <w:spacing w:val="-1"/>
          <w:sz w:val="24"/>
          <w:szCs w:val="24"/>
          <w:lang w:eastAsia="zh-CN"/>
        </w:rPr>
        <w:t>按整改后记录评价结果；</w:t>
      </w:r>
      <w:r>
        <w:rPr>
          <w:rFonts w:hint="eastAsia" w:ascii="楷体" w:hAnsi="楷体" w:eastAsia="楷体" w:cs="楷体"/>
          <w:color w:val="auto"/>
          <w:spacing w:val="2"/>
          <w:sz w:val="24"/>
          <w:szCs w:val="24"/>
          <w:lang w:eastAsia="zh-CN"/>
        </w:rPr>
        <w:t>若整改后仍未达标，该季度评价为“差”</w:t>
      </w:r>
      <w:r>
        <w:rPr>
          <w:rFonts w:hint="eastAsia" w:ascii="楷体" w:hAnsi="楷体" w:eastAsia="楷体" w:cs="楷体"/>
          <w:color w:val="auto"/>
          <w:spacing w:val="-6"/>
          <w:sz w:val="24"/>
          <w:szCs w:val="24"/>
          <w:lang w:eastAsia="zh-CN"/>
        </w:rPr>
        <w:t>。</w:t>
      </w:r>
    </w:p>
    <w:p w14:paraId="6BC81722">
      <w:pPr>
        <w:spacing w:line="560" w:lineRule="exact"/>
        <w:ind w:firstLine="468" w:firstLineChars="200"/>
        <w:jc w:val="both"/>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若乙方对绩效评价结果有异议，可在收到通知后</w:t>
      </w:r>
      <w:r>
        <w:rPr>
          <w:rFonts w:hint="eastAsia" w:ascii="楷体" w:hAnsi="楷体" w:eastAsia="楷体" w:cs="楷体"/>
          <w:color w:val="auto"/>
          <w:spacing w:val="-4"/>
          <w:sz w:val="24"/>
          <w:szCs w:val="24"/>
          <w:lang w:eastAsia="zh-CN"/>
        </w:rPr>
        <w:t>3个工作日内向甲方提出书</w:t>
      </w:r>
      <w:r>
        <w:rPr>
          <w:rFonts w:hint="eastAsia" w:ascii="楷体" w:hAnsi="楷体" w:eastAsia="楷体" w:cs="楷体"/>
          <w:color w:val="auto"/>
          <w:spacing w:val="-1"/>
          <w:sz w:val="24"/>
          <w:szCs w:val="24"/>
          <w:lang w:eastAsia="zh-CN"/>
        </w:rPr>
        <w:t>面申诉，并附相关证明材料。甲方应在收到申诉后5个工作</w:t>
      </w:r>
      <w:r>
        <w:rPr>
          <w:rFonts w:hint="eastAsia" w:ascii="楷体" w:hAnsi="楷体" w:eastAsia="楷体" w:cs="楷体"/>
          <w:color w:val="auto"/>
          <w:spacing w:val="-2"/>
          <w:sz w:val="24"/>
          <w:szCs w:val="24"/>
          <w:lang w:eastAsia="zh-CN"/>
        </w:rPr>
        <w:t>日内组织复核，并书面回复复核结果。</w:t>
      </w:r>
    </w:p>
    <w:p w14:paraId="08FBA1E6">
      <w:pPr>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（4）甲方在合同服务期满前5个工作日内根据每季度绩效评</w:t>
      </w:r>
      <w:r>
        <w:rPr>
          <w:rFonts w:hint="eastAsia" w:ascii="楷体" w:hAnsi="楷体" w:eastAsia="楷体" w:cs="楷体"/>
          <w:color w:val="auto"/>
          <w:spacing w:val="-1"/>
          <w:sz w:val="24"/>
          <w:szCs w:val="24"/>
          <w:lang w:eastAsia="zh-CN"/>
        </w:rPr>
        <w:t>价结果，出具年度绩效评价，作为尾款支付依据。</w:t>
      </w:r>
    </w:p>
    <w:p w14:paraId="147AAB8B">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第五条、服务费用及支付方式</w:t>
      </w:r>
    </w:p>
    <w:p w14:paraId="094A3B07">
      <w:pPr>
        <w:spacing w:line="560" w:lineRule="exact"/>
        <w:ind w:firstLine="44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8"/>
          <w:sz w:val="24"/>
          <w:szCs w:val="24"/>
          <w:lang w:eastAsia="zh-CN"/>
        </w:rPr>
        <w:t>1.合同金额：</w:t>
      </w:r>
    </w:p>
    <w:p w14:paraId="6C12B815">
      <w:pPr>
        <w:spacing w:line="560" w:lineRule="exact"/>
        <w:ind w:firstLine="468" w:firstLineChars="200"/>
        <w:jc w:val="both"/>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人民币（大写）：</w:t>
      </w:r>
      <w:r>
        <w:rPr>
          <w:rFonts w:hint="eastAsia" w:ascii="楷体" w:hAnsi="楷体" w:eastAsia="楷体" w:cs="楷体"/>
          <w:color w:val="auto"/>
          <w:spacing w:val="-3"/>
          <w:sz w:val="24"/>
          <w:szCs w:val="24"/>
          <w:u w:val="single"/>
          <w:lang w:val="en-US" w:eastAsia="zh-CN"/>
        </w:rPr>
        <w:t xml:space="preserve">              </w:t>
      </w:r>
      <w:r>
        <w:rPr>
          <w:rFonts w:hint="eastAsia" w:ascii="楷体" w:hAnsi="楷体" w:eastAsia="楷体" w:cs="楷体"/>
          <w:color w:val="auto"/>
          <w:spacing w:val="-3"/>
          <w:sz w:val="24"/>
          <w:szCs w:val="24"/>
          <w:lang w:eastAsia="zh-CN"/>
        </w:rPr>
        <w:t>(</w:t>
      </w:r>
      <w:r>
        <w:rPr>
          <w:rFonts w:hint="eastAsia" w:ascii="楷体" w:hAnsi="楷体" w:eastAsia="楷体" w:cs="楷体"/>
          <w:color w:val="auto"/>
          <w:spacing w:val="-4"/>
          <w:sz w:val="24"/>
          <w:szCs w:val="24"/>
          <w:lang w:eastAsia="zh-CN"/>
        </w:rPr>
        <w:t>¥</w:t>
      </w:r>
      <w:r>
        <w:rPr>
          <w:rFonts w:hint="eastAsia" w:ascii="楷体" w:hAnsi="楷体" w:eastAsia="楷体" w:cs="楷体"/>
          <w:color w:val="auto"/>
          <w:spacing w:val="-3"/>
          <w:sz w:val="24"/>
          <w:szCs w:val="24"/>
          <w:u w:val="single"/>
          <w:lang w:val="en-US" w:eastAsia="zh-CN"/>
        </w:rPr>
        <w:t xml:space="preserve">                 </w:t>
      </w:r>
      <w:r>
        <w:rPr>
          <w:rFonts w:hint="eastAsia" w:ascii="楷体" w:hAnsi="楷体" w:eastAsia="楷体" w:cs="楷体"/>
          <w:color w:val="auto"/>
          <w:spacing w:val="-3"/>
          <w:sz w:val="24"/>
          <w:szCs w:val="24"/>
          <w:lang w:eastAsia="zh-CN"/>
        </w:rPr>
        <w:t>元）。以上费用为包含税费等在内的履行本合同所需的全部费用，此外甲方无需支付乙方</w:t>
      </w:r>
      <w:r>
        <w:rPr>
          <w:rFonts w:hint="eastAsia" w:ascii="楷体" w:hAnsi="楷体" w:eastAsia="楷体" w:cs="楷体"/>
          <w:color w:val="auto"/>
          <w:spacing w:val="-2"/>
          <w:sz w:val="24"/>
          <w:szCs w:val="24"/>
          <w:lang w:eastAsia="zh-CN"/>
        </w:rPr>
        <w:t>任何费用。</w:t>
      </w:r>
    </w:p>
    <w:p w14:paraId="593E7623">
      <w:pPr>
        <w:spacing w:line="560" w:lineRule="exact"/>
        <w:ind w:firstLine="464"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4"/>
          <w:sz w:val="24"/>
          <w:szCs w:val="24"/>
          <w:lang w:eastAsia="zh-CN"/>
        </w:rPr>
        <w:t>2.服务费支付方式</w:t>
      </w:r>
    </w:p>
    <w:p w14:paraId="42D1A58A">
      <w:pPr>
        <w:spacing w:line="560" w:lineRule="exact"/>
        <w:ind w:left="279" w:leftChars="133" w:firstLine="240" w:firstLineChars="1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（1）合同签订后</w:t>
      </w:r>
      <w:r>
        <w:rPr>
          <w:rFonts w:hint="eastAsia" w:ascii="楷体" w:hAnsi="楷体" w:eastAsia="楷体" w:cs="楷体"/>
          <w:color w:val="auto"/>
          <w:sz w:val="24"/>
          <w:szCs w:val="24"/>
          <w:lang w:val="en-US" w:eastAsia="zh-CN"/>
        </w:rPr>
        <w:t>30</w:t>
      </w:r>
      <w:r>
        <w:rPr>
          <w:rFonts w:hint="eastAsia" w:ascii="楷体" w:hAnsi="楷体" w:eastAsia="楷体" w:cs="楷体"/>
          <w:color w:val="auto"/>
          <w:sz w:val="24"/>
          <w:szCs w:val="24"/>
          <w:lang w:eastAsia="zh-CN"/>
        </w:rPr>
        <w:t>个日内，甲方支付合同首付款为人民币</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color w:val="auto"/>
          <w:spacing w:val="-4"/>
          <w:sz w:val="24"/>
          <w:szCs w:val="24"/>
          <w:lang w:eastAsia="zh-CN"/>
        </w:rPr>
        <w:t>整(¥</w:t>
      </w:r>
      <w:r>
        <w:rPr>
          <w:rFonts w:hint="eastAsia" w:ascii="楷体" w:hAnsi="楷体" w:eastAsia="楷体" w:cs="楷体"/>
          <w:color w:val="auto"/>
          <w:spacing w:val="-4"/>
          <w:sz w:val="24"/>
          <w:szCs w:val="24"/>
          <w:lang w:val="en-US" w:eastAsia="zh-CN"/>
        </w:rPr>
        <w:t xml:space="preserve"> </w:t>
      </w:r>
      <w:r>
        <w:rPr>
          <w:rFonts w:hint="eastAsia" w:ascii="楷体" w:hAnsi="楷体" w:eastAsia="楷体" w:cs="楷体"/>
          <w:color w:val="auto"/>
          <w:spacing w:val="-4"/>
          <w:sz w:val="24"/>
          <w:szCs w:val="24"/>
          <w:u w:val="single"/>
          <w:lang w:val="en-US" w:eastAsia="zh-CN"/>
        </w:rPr>
        <w:t xml:space="preserve">       </w:t>
      </w:r>
      <w:r>
        <w:rPr>
          <w:rFonts w:hint="eastAsia" w:ascii="楷体" w:hAnsi="楷体" w:eastAsia="楷体" w:cs="楷体"/>
          <w:color w:val="auto"/>
          <w:spacing w:val="-4"/>
          <w:sz w:val="24"/>
          <w:szCs w:val="24"/>
          <w:lang w:eastAsia="zh-CN"/>
        </w:rPr>
        <w:t>元</w:t>
      </w:r>
      <w:r>
        <w:rPr>
          <w:rFonts w:hint="eastAsia" w:ascii="楷体" w:hAnsi="楷体" w:eastAsia="楷体" w:cs="楷体"/>
          <w:color w:val="auto"/>
          <w:spacing w:val="5"/>
          <w:sz w:val="24"/>
          <w:szCs w:val="24"/>
          <w:lang w:eastAsia="zh-CN"/>
        </w:rPr>
        <w:t>）；</w:t>
      </w:r>
    </w:p>
    <w:p w14:paraId="71FDCE50">
      <w:pPr>
        <w:spacing w:line="560" w:lineRule="exact"/>
        <w:ind w:firstLine="476" w:firstLineChars="200"/>
        <w:rPr>
          <w:rFonts w:hint="eastAsia" w:ascii="楷体" w:hAnsi="楷体" w:eastAsia="楷体" w:cs="楷体"/>
          <w:color w:val="auto"/>
          <w:spacing w:val="6"/>
          <w:sz w:val="24"/>
          <w:szCs w:val="24"/>
          <w:lang w:eastAsia="zh-CN"/>
        </w:rPr>
      </w:pPr>
      <w:r>
        <w:rPr>
          <w:rFonts w:hint="eastAsia" w:ascii="楷体" w:hAnsi="楷体" w:eastAsia="楷体" w:cs="楷体"/>
          <w:color w:val="auto"/>
          <w:spacing w:val="-1"/>
          <w:sz w:val="24"/>
          <w:szCs w:val="24"/>
          <w:lang w:eastAsia="zh-CN"/>
        </w:rPr>
        <w:t>（2）合同尾款金额：</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u w:val="single"/>
          <w:lang w:val="en-US" w:eastAsia="zh-CN"/>
        </w:rPr>
        <w:t xml:space="preserve">           </w:t>
      </w:r>
      <w:r>
        <w:rPr>
          <w:rFonts w:hint="eastAsia" w:ascii="楷体" w:hAnsi="楷体" w:eastAsia="楷体" w:cs="楷体"/>
          <w:color w:val="auto"/>
          <w:spacing w:val="-1"/>
          <w:sz w:val="24"/>
          <w:szCs w:val="24"/>
          <w:lang w:eastAsia="zh-CN"/>
        </w:rPr>
        <w:t>整（¥</w:t>
      </w:r>
      <w:r>
        <w:rPr>
          <w:rFonts w:hint="eastAsia" w:ascii="楷体" w:hAnsi="楷体" w:eastAsia="楷体" w:cs="楷体"/>
          <w:color w:val="auto"/>
          <w:spacing w:val="-1"/>
          <w:sz w:val="24"/>
          <w:szCs w:val="24"/>
          <w:u w:val="single"/>
          <w:lang w:val="en-US" w:eastAsia="zh-CN"/>
        </w:rPr>
        <w:t xml:space="preserve">           </w:t>
      </w:r>
      <w:r>
        <w:rPr>
          <w:rFonts w:hint="eastAsia" w:ascii="楷体" w:hAnsi="楷体" w:eastAsia="楷体" w:cs="楷体"/>
          <w:color w:val="auto"/>
          <w:spacing w:val="-1"/>
          <w:sz w:val="24"/>
          <w:szCs w:val="24"/>
          <w:lang w:eastAsia="zh-CN"/>
        </w:rPr>
        <w:t>元）。</w:t>
      </w:r>
      <w:r>
        <w:rPr>
          <w:rFonts w:hint="eastAsia" w:ascii="楷体" w:hAnsi="楷体" w:eastAsia="楷体" w:cs="楷体"/>
          <w:color w:val="auto"/>
          <w:spacing w:val="-4"/>
          <w:sz w:val="24"/>
          <w:szCs w:val="24"/>
          <w:lang w:eastAsia="zh-CN"/>
        </w:rPr>
        <w:t>项目验收合格后,甲方</w:t>
      </w:r>
      <w:r>
        <w:rPr>
          <w:rFonts w:hint="eastAsia" w:ascii="楷体" w:hAnsi="楷体" w:eastAsia="楷体" w:cs="楷体"/>
          <w:color w:val="auto"/>
          <w:spacing w:val="-3"/>
          <w:sz w:val="24"/>
          <w:szCs w:val="24"/>
          <w:lang w:eastAsia="zh-CN"/>
        </w:rPr>
        <w:t>在</w:t>
      </w:r>
      <w:r>
        <w:rPr>
          <w:rFonts w:hint="eastAsia" w:ascii="楷体" w:hAnsi="楷体" w:eastAsia="楷体" w:cs="楷体"/>
          <w:color w:val="auto"/>
          <w:spacing w:val="-3"/>
          <w:sz w:val="24"/>
          <w:szCs w:val="24"/>
          <w:lang w:val="en-US" w:eastAsia="zh-CN"/>
        </w:rPr>
        <w:t>30</w:t>
      </w:r>
      <w:r>
        <w:rPr>
          <w:rFonts w:hint="eastAsia" w:ascii="楷体" w:hAnsi="楷体" w:eastAsia="楷体" w:cs="楷体"/>
          <w:color w:val="auto"/>
          <w:spacing w:val="-3"/>
          <w:sz w:val="24"/>
          <w:szCs w:val="24"/>
          <w:lang w:eastAsia="zh-CN"/>
        </w:rPr>
        <w:t>日内按尾款结算方式据实为</w:t>
      </w:r>
      <w:r>
        <w:rPr>
          <w:rFonts w:hint="eastAsia" w:ascii="楷体" w:hAnsi="楷体" w:eastAsia="楷体" w:cs="楷体"/>
          <w:color w:val="auto"/>
          <w:spacing w:val="-4"/>
          <w:sz w:val="24"/>
          <w:szCs w:val="24"/>
          <w:lang w:eastAsia="zh-CN"/>
        </w:rPr>
        <w:t>乙方支付合同尾款金额</w:t>
      </w:r>
      <w:r>
        <w:rPr>
          <w:rFonts w:hint="eastAsia" w:ascii="楷体" w:hAnsi="楷体" w:eastAsia="楷体" w:cs="楷体"/>
          <w:color w:val="auto"/>
          <w:spacing w:val="11"/>
          <w:sz w:val="24"/>
          <w:szCs w:val="24"/>
          <w:lang w:eastAsia="zh-CN"/>
        </w:rPr>
        <w:t>，</w:t>
      </w:r>
      <w:r>
        <w:rPr>
          <w:rFonts w:hint="eastAsia" w:ascii="楷体" w:hAnsi="楷体" w:eastAsia="楷体" w:cs="楷体"/>
          <w:color w:val="auto"/>
          <w:spacing w:val="-2"/>
          <w:sz w:val="24"/>
          <w:szCs w:val="24"/>
          <w:lang w:eastAsia="zh-CN"/>
        </w:rPr>
        <w:t>乙方需向甲方提供服务</w:t>
      </w:r>
      <w:r>
        <w:rPr>
          <w:rFonts w:hint="eastAsia" w:ascii="楷体" w:hAnsi="楷体" w:eastAsia="楷体" w:cs="楷体"/>
          <w:color w:val="auto"/>
          <w:spacing w:val="-3"/>
          <w:sz w:val="24"/>
          <w:szCs w:val="24"/>
          <w:lang w:eastAsia="zh-CN"/>
        </w:rPr>
        <w:t>发票。</w:t>
      </w:r>
    </w:p>
    <w:p w14:paraId="4CEB6BCC">
      <w:pPr>
        <w:spacing w:line="560" w:lineRule="exact"/>
        <w:ind w:firstLine="504"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6"/>
          <w:sz w:val="24"/>
          <w:szCs w:val="24"/>
          <w:lang w:eastAsia="zh-CN"/>
        </w:rPr>
        <w:t>1）其中</w:t>
      </w:r>
      <w:r>
        <w:rPr>
          <w:rFonts w:hint="eastAsia" w:ascii="楷体" w:hAnsi="楷体" w:eastAsia="楷体" w:cs="楷体"/>
          <w:color w:val="auto"/>
          <w:spacing w:val="-2"/>
          <w:sz w:val="24"/>
          <w:szCs w:val="24"/>
          <w:u w:val="single"/>
          <w:lang w:val="en-US" w:eastAsia="zh-CN"/>
        </w:rPr>
        <w:t xml:space="preserve">        </w:t>
      </w:r>
      <w:r>
        <w:rPr>
          <w:rFonts w:hint="eastAsia" w:ascii="楷体" w:hAnsi="楷体" w:eastAsia="楷体" w:cs="楷体"/>
          <w:color w:val="auto"/>
          <w:spacing w:val="-1"/>
          <w:sz w:val="24"/>
          <w:szCs w:val="24"/>
          <w:lang w:eastAsia="zh-CN"/>
        </w:rPr>
        <w:t>整(¥</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u w:val="single"/>
          <w:lang w:val="en-US" w:eastAsia="zh-CN"/>
        </w:rPr>
        <w:t xml:space="preserve">         </w:t>
      </w:r>
      <w:r>
        <w:rPr>
          <w:rFonts w:hint="eastAsia" w:ascii="楷体" w:hAnsi="楷体" w:eastAsia="楷体" w:cs="楷体"/>
          <w:color w:val="auto"/>
          <w:spacing w:val="-1"/>
          <w:sz w:val="24"/>
          <w:szCs w:val="24"/>
          <w:lang w:eastAsia="zh-CN"/>
        </w:rPr>
        <w:t>元）为对配发至执法支队的17类执法装备损</w:t>
      </w:r>
      <w:r>
        <w:rPr>
          <w:rFonts w:hint="eastAsia" w:ascii="楷体" w:hAnsi="楷体" w:eastAsia="楷体" w:cs="楷体"/>
          <w:color w:val="auto"/>
          <w:spacing w:val="-2"/>
          <w:sz w:val="24"/>
          <w:szCs w:val="24"/>
          <w:lang w:eastAsia="zh-CN"/>
        </w:rPr>
        <w:t>耗品进行更</w:t>
      </w:r>
      <w:r>
        <w:rPr>
          <w:rFonts w:hint="eastAsia" w:ascii="楷体" w:hAnsi="楷体" w:eastAsia="楷体" w:cs="楷体"/>
          <w:color w:val="auto"/>
          <w:spacing w:val="-1"/>
          <w:sz w:val="24"/>
          <w:szCs w:val="24"/>
          <w:lang w:eastAsia="zh-CN"/>
        </w:rPr>
        <w:t>换的经费上限，支付时根据实际更换情况进行费用结算。</w:t>
      </w:r>
    </w:p>
    <w:p w14:paraId="76F3CC34">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2）尾款剩余金额：</w:t>
      </w:r>
      <w:r>
        <w:rPr>
          <w:rFonts w:hint="eastAsia" w:ascii="楷体" w:hAnsi="楷体" w:eastAsia="楷体" w:cs="楷体"/>
          <w:color w:val="auto"/>
          <w:spacing w:val="-1"/>
          <w:sz w:val="24"/>
          <w:szCs w:val="24"/>
          <w:u w:val="single"/>
          <w:lang w:val="en-US" w:eastAsia="zh-CN"/>
        </w:rPr>
        <w:t xml:space="preserve">         </w:t>
      </w:r>
      <w:r>
        <w:rPr>
          <w:rFonts w:hint="eastAsia" w:ascii="楷体" w:hAnsi="楷体" w:eastAsia="楷体" w:cs="楷体"/>
          <w:color w:val="auto"/>
          <w:spacing w:val="-1"/>
          <w:sz w:val="24"/>
          <w:szCs w:val="24"/>
          <w:lang w:eastAsia="zh-CN"/>
        </w:rPr>
        <w:t>整(¥</w:t>
      </w:r>
      <w:r>
        <w:rPr>
          <w:rFonts w:hint="eastAsia" w:ascii="楷体" w:hAnsi="楷体" w:eastAsia="楷体" w:cs="楷体"/>
          <w:color w:val="auto"/>
          <w:spacing w:val="-1"/>
          <w:sz w:val="24"/>
          <w:szCs w:val="24"/>
          <w:u w:val="single"/>
          <w:lang w:val="en-US" w:eastAsia="zh-CN"/>
        </w:rPr>
        <w:t xml:space="preserve">            </w:t>
      </w:r>
      <w:r>
        <w:rPr>
          <w:rFonts w:hint="eastAsia" w:ascii="楷体" w:hAnsi="楷体" w:eastAsia="楷体" w:cs="楷体"/>
          <w:color w:val="auto"/>
          <w:spacing w:val="-2"/>
          <w:sz w:val="24"/>
          <w:szCs w:val="24"/>
          <w:lang w:eastAsia="zh-CN"/>
        </w:rPr>
        <w:t>元），扣除合</w:t>
      </w:r>
      <w:r>
        <w:rPr>
          <w:rFonts w:hint="eastAsia" w:ascii="楷体" w:hAnsi="楷体" w:eastAsia="楷体" w:cs="楷体"/>
          <w:color w:val="auto"/>
          <w:spacing w:val="-1"/>
          <w:sz w:val="24"/>
          <w:szCs w:val="24"/>
          <w:lang w:eastAsia="zh-CN"/>
        </w:rPr>
        <w:t>同约定的违约责任产生的资金（如产生</w:t>
      </w:r>
      <w:r>
        <w:rPr>
          <w:rFonts w:hint="eastAsia" w:ascii="楷体" w:hAnsi="楷体" w:eastAsia="楷体" w:cs="楷体"/>
          <w:color w:val="auto"/>
          <w:spacing w:val="5"/>
          <w:sz w:val="24"/>
          <w:szCs w:val="24"/>
          <w:lang w:eastAsia="zh-CN"/>
        </w:rPr>
        <w:t>），</w:t>
      </w:r>
      <w:r>
        <w:rPr>
          <w:rFonts w:hint="eastAsia" w:ascii="楷体" w:hAnsi="楷体" w:eastAsia="楷体" w:cs="楷体"/>
          <w:color w:val="auto"/>
          <w:spacing w:val="-1"/>
          <w:sz w:val="24"/>
          <w:szCs w:val="24"/>
          <w:lang w:eastAsia="zh-CN"/>
        </w:rPr>
        <w:t>剩余资</w:t>
      </w:r>
      <w:r>
        <w:rPr>
          <w:rFonts w:hint="eastAsia" w:ascii="楷体" w:hAnsi="楷体" w:eastAsia="楷体" w:cs="楷体"/>
          <w:color w:val="auto"/>
          <w:spacing w:val="-2"/>
          <w:sz w:val="24"/>
          <w:szCs w:val="24"/>
          <w:lang w:eastAsia="zh-CN"/>
        </w:rPr>
        <w:t>金根据年度绩效评价结果支付：</w:t>
      </w:r>
    </w:p>
    <w:p w14:paraId="2505D80F">
      <w:pPr>
        <w:spacing w:line="560" w:lineRule="exact"/>
        <w:ind w:firstLine="46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优：支付100%剩余资金；</w:t>
      </w:r>
    </w:p>
    <w:p w14:paraId="13B064B9">
      <w:pPr>
        <w:spacing w:line="560" w:lineRule="exact"/>
        <w:ind w:firstLine="460"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5"/>
          <w:sz w:val="24"/>
          <w:szCs w:val="24"/>
          <w:lang w:eastAsia="zh-CN"/>
        </w:rPr>
        <w:t>良：支付90%剩余资金；</w:t>
      </w:r>
    </w:p>
    <w:p w14:paraId="4FC1BFAC">
      <w:pPr>
        <w:spacing w:line="560" w:lineRule="exact"/>
        <w:ind w:firstLine="464"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4"/>
          <w:sz w:val="24"/>
          <w:szCs w:val="24"/>
          <w:lang w:eastAsia="zh-CN"/>
        </w:rPr>
        <w:t>中：支付80%剩余资金；</w:t>
      </w:r>
    </w:p>
    <w:p w14:paraId="2F308E61">
      <w:pPr>
        <w:spacing w:line="560" w:lineRule="exact"/>
        <w:ind w:firstLine="46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差：支付50%剩余资金。</w:t>
      </w:r>
    </w:p>
    <w:p w14:paraId="4FF55F5B">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第六条、甲方的权利和义务</w:t>
      </w:r>
    </w:p>
    <w:p w14:paraId="106BD75F">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1.甲方有权对合同规定范围内乙方的服务行为进行监督和检查，拥有监管</w:t>
      </w:r>
      <w:r>
        <w:rPr>
          <w:rFonts w:hint="eastAsia" w:ascii="楷体" w:hAnsi="楷体" w:eastAsia="楷体" w:cs="楷体"/>
          <w:color w:val="auto"/>
          <w:spacing w:val="-3"/>
          <w:sz w:val="24"/>
          <w:szCs w:val="24"/>
          <w:lang w:eastAsia="zh-CN"/>
        </w:rPr>
        <w:t>权。有权定期核对乙方提供服务所配备的人员数量。对甲方认为不合理的部分有</w:t>
      </w:r>
      <w:r>
        <w:rPr>
          <w:rFonts w:hint="eastAsia" w:ascii="楷体" w:hAnsi="楷体" w:eastAsia="楷体" w:cs="楷体"/>
          <w:color w:val="auto"/>
          <w:spacing w:val="-1"/>
          <w:sz w:val="24"/>
          <w:szCs w:val="24"/>
          <w:lang w:eastAsia="zh-CN"/>
        </w:rPr>
        <w:t>权下达整改通知书，并要求乙方限期整改。</w:t>
      </w:r>
    </w:p>
    <w:p w14:paraId="3E24A1CC">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2.负责检查监督乙方管理工作的实施及制</w:t>
      </w:r>
      <w:r>
        <w:rPr>
          <w:rFonts w:hint="eastAsia" w:ascii="楷体" w:hAnsi="楷体" w:eastAsia="楷体" w:cs="楷体"/>
          <w:color w:val="auto"/>
          <w:spacing w:val="-2"/>
          <w:sz w:val="24"/>
          <w:szCs w:val="24"/>
          <w:lang w:eastAsia="zh-CN"/>
        </w:rPr>
        <w:t>度的执行情况。</w:t>
      </w:r>
    </w:p>
    <w:p w14:paraId="37FCDD6F">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3.根据本合同规定，按时向乙方支付应付服务费用。</w:t>
      </w:r>
    </w:p>
    <w:p w14:paraId="4EA3004D">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4.国家法律、法规所规定由甲方承担的其它责任。</w:t>
      </w:r>
    </w:p>
    <w:p w14:paraId="05E3D5EB">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5.甲方应为乙方提供必要的支持和配合，包括但不限于提供必要的设备信息、技术支持等，以确保乙方能够高效完成服务。</w:t>
      </w:r>
    </w:p>
    <w:p w14:paraId="4CA28EDD">
      <w:pPr>
        <w:spacing w:line="560" w:lineRule="exact"/>
        <w:ind w:firstLine="464"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4"/>
          <w:sz w:val="24"/>
          <w:szCs w:val="24"/>
          <w:lang w:eastAsia="zh-CN"/>
        </w:rPr>
        <w:t>第七条、乙方的权利和义务</w:t>
      </w:r>
    </w:p>
    <w:p w14:paraId="1E86AE6C">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1.对本合同规定的委托服务范围内的项目享有管理权及服务义务。</w:t>
      </w:r>
    </w:p>
    <w:p w14:paraId="782A3295">
      <w:pPr>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2.根据本合同的规定向甲方收取相关服务费用，并有</w:t>
      </w:r>
      <w:r>
        <w:rPr>
          <w:rFonts w:hint="eastAsia" w:ascii="楷体" w:hAnsi="楷体" w:eastAsia="楷体" w:cs="楷体"/>
          <w:color w:val="auto"/>
          <w:spacing w:val="-1"/>
          <w:sz w:val="24"/>
          <w:szCs w:val="24"/>
          <w:lang w:eastAsia="zh-CN"/>
        </w:rPr>
        <w:t>权在本项目管理范围</w:t>
      </w:r>
      <w:r>
        <w:rPr>
          <w:rFonts w:hint="eastAsia" w:ascii="楷体" w:hAnsi="楷体" w:eastAsia="楷体" w:cs="楷体"/>
          <w:color w:val="auto"/>
          <w:spacing w:val="-5"/>
          <w:sz w:val="24"/>
          <w:szCs w:val="24"/>
          <w:lang w:eastAsia="zh-CN"/>
        </w:rPr>
        <w:t>内管理及合理使用。</w:t>
      </w:r>
    </w:p>
    <w:p w14:paraId="103AF755">
      <w:pPr>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3.及时向甲方通告本项目服务范围内有关</w:t>
      </w:r>
      <w:r>
        <w:rPr>
          <w:rFonts w:hint="eastAsia" w:ascii="楷体" w:hAnsi="楷体" w:eastAsia="楷体" w:cs="楷体"/>
          <w:color w:val="auto"/>
          <w:spacing w:val="-1"/>
          <w:sz w:val="24"/>
          <w:szCs w:val="24"/>
          <w:lang w:eastAsia="zh-CN"/>
        </w:rPr>
        <w:t>服务的重大事项，及时配合处理投诉，根据甲方整改要求在指定期限内完成整改。</w:t>
      </w:r>
    </w:p>
    <w:p w14:paraId="70E87250">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4.国家法律、法规所规定由乙方承担的其它责任。</w:t>
      </w:r>
    </w:p>
    <w:p w14:paraId="0346801F">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第八条、违约责任</w:t>
      </w:r>
    </w:p>
    <w:p w14:paraId="4A72F150">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1.甲乙双方必须遵守本合同并执行合同中的各项规定，保证本合同的正常</w:t>
      </w:r>
      <w:r>
        <w:rPr>
          <w:rFonts w:hint="eastAsia" w:ascii="楷体" w:hAnsi="楷体" w:eastAsia="楷体" w:cs="楷体"/>
          <w:color w:val="auto"/>
          <w:spacing w:val="-5"/>
          <w:sz w:val="24"/>
          <w:szCs w:val="24"/>
          <w:lang w:eastAsia="zh-CN"/>
        </w:rPr>
        <w:t>履行。</w:t>
      </w:r>
    </w:p>
    <w:p w14:paraId="27FA4699">
      <w:pPr>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2.如因乙方及其工作人员在履行职务过程中的疏忽</w:t>
      </w:r>
      <w:r>
        <w:rPr>
          <w:rFonts w:hint="eastAsia" w:ascii="楷体" w:hAnsi="楷体" w:eastAsia="楷体" w:cs="楷体"/>
          <w:color w:val="auto"/>
          <w:spacing w:val="-1"/>
          <w:sz w:val="24"/>
          <w:szCs w:val="24"/>
          <w:lang w:eastAsia="zh-CN"/>
        </w:rPr>
        <w:t>、失职、过错等故意</w:t>
      </w:r>
      <w:r>
        <w:rPr>
          <w:rFonts w:hint="eastAsia" w:ascii="楷体" w:hAnsi="楷体" w:eastAsia="楷体" w:cs="楷体"/>
          <w:color w:val="auto"/>
          <w:spacing w:val="-3"/>
          <w:sz w:val="24"/>
          <w:szCs w:val="24"/>
          <w:lang w:eastAsia="zh-CN"/>
        </w:rPr>
        <w:t>或者过失原因给甲方造成直接或间接经济损失或侵害，包括但不限于甲方本身的财产损失、由此而导致的甲方对任何第三方的法律责任等，乙方对此均应承担全</w:t>
      </w:r>
      <w:r>
        <w:rPr>
          <w:rFonts w:hint="eastAsia" w:ascii="楷体" w:hAnsi="楷体" w:eastAsia="楷体" w:cs="楷体"/>
          <w:color w:val="auto"/>
          <w:spacing w:val="-2"/>
          <w:sz w:val="24"/>
          <w:szCs w:val="24"/>
          <w:lang w:eastAsia="zh-CN"/>
        </w:rPr>
        <w:t>部的赔偿责任。</w:t>
      </w:r>
    </w:p>
    <w:p w14:paraId="422D952B">
      <w:pPr>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3.如因甲方未按合同约定支付款项的，每</w:t>
      </w:r>
      <w:r>
        <w:rPr>
          <w:rFonts w:hint="eastAsia" w:ascii="楷体" w:hAnsi="楷体" w:eastAsia="楷体" w:cs="楷体"/>
          <w:color w:val="auto"/>
          <w:spacing w:val="-1"/>
          <w:sz w:val="24"/>
          <w:szCs w:val="24"/>
          <w:lang w:eastAsia="zh-CN"/>
        </w:rPr>
        <w:t>逾期一日，甲方应按未付款项的</w:t>
      </w:r>
      <w:r>
        <w:rPr>
          <w:rFonts w:hint="eastAsia" w:ascii="楷体" w:hAnsi="楷体" w:eastAsia="楷体" w:cs="楷体"/>
          <w:color w:val="auto"/>
          <w:spacing w:val="-2"/>
          <w:sz w:val="24"/>
          <w:szCs w:val="24"/>
          <w:lang w:eastAsia="zh-CN"/>
        </w:rPr>
        <w:t>万分之一向乙方支付滞纳金。</w:t>
      </w:r>
    </w:p>
    <w:p w14:paraId="1F1827C8">
      <w:pPr>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4.如乙方在合同履行过程中出现履约不到位情况，未按合同约定</w:t>
      </w:r>
      <w:r>
        <w:rPr>
          <w:rFonts w:hint="eastAsia" w:ascii="楷体" w:hAnsi="楷体" w:eastAsia="楷体" w:cs="楷体"/>
          <w:color w:val="auto"/>
          <w:spacing w:val="-1"/>
          <w:sz w:val="24"/>
          <w:szCs w:val="24"/>
          <w:lang w:eastAsia="zh-CN"/>
        </w:rPr>
        <w:t>整改或者未在合理</w:t>
      </w:r>
      <w:r>
        <w:rPr>
          <w:rFonts w:hint="eastAsia" w:ascii="楷体" w:hAnsi="楷体" w:eastAsia="楷体" w:cs="楷体"/>
          <w:color w:val="auto"/>
          <w:spacing w:val="-2"/>
          <w:sz w:val="24"/>
          <w:szCs w:val="24"/>
          <w:lang w:eastAsia="zh-CN"/>
        </w:rPr>
        <w:t>期限内进行整改的，甲方</w:t>
      </w:r>
      <w:r>
        <w:rPr>
          <w:rFonts w:hint="eastAsia" w:ascii="楷体" w:hAnsi="楷体" w:eastAsia="楷体" w:cs="楷体"/>
          <w:color w:val="auto"/>
          <w:spacing w:val="-1"/>
          <w:sz w:val="24"/>
          <w:szCs w:val="24"/>
          <w:lang w:eastAsia="zh-CN"/>
        </w:rPr>
        <w:t>可按未付款项的</w:t>
      </w:r>
      <w:r>
        <w:rPr>
          <w:rFonts w:hint="eastAsia" w:ascii="楷体" w:hAnsi="楷体" w:eastAsia="楷体" w:cs="楷体"/>
          <w:color w:val="auto"/>
          <w:spacing w:val="-2"/>
          <w:sz w:val="24"/>
          <w:szCs w:val="24"/>
          <w:lang w:eastAsia="zh-CN"/>
        </w:rPr>
        <w:t>万分之一进行处罚</w:t>
      </w:r>
      <w:r>
        <w:rPr>
          <w:rFonts w:hint="eastAsia" w:ascii="楷体" w:hAnsi="楷体" w:eastAsia="楷体" w:cs="楷体"/>
          <w:color w:val="auto"/>
          <w:spacing w:val="-3"/>
          <w:sz w:val="24"/>
          <w:szCs w:val="24"/>
          <w:lang w:eastAsia="zh-CN"/>
        </w:rPr>
        <w:t>；乙方拒绝整改，甲方可解除合同。</w:t>
      </w:r>
    </w:p>
    <w:p w14:paraId="185F2FE7">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5.如乙方未在约定期限内提交甲方进行验收或经甲方验收不合格，在指定</w:t>
      </w:r>
      <w:r>
        <w:rPr>
          <w:rFonts w:hint="eastAsia" w:ascii="楷体" w:hAnsi="楷体" w:eastAsia="楷体" w:cs="楷体"/>
          <w:color w:val="auto"/>
          <w:spacing w:val="-3"/>
          <w:sz w:val="24"/>
          <w:szCs w:val="24"/>
          <w:lang w:eastAsia="zh-CN"/>
        </w:rPr>
        <w:t>期限内未完成整改并重新申请进行验收的，每迟延一日，乙方应按合同总价款的</w:t>
      </w:r>
      <w:r>
        <w:rPr>
          <w:rFonts w:hint="eastAsia" w:ascii="楷体" w:hAnsi="楷体" w:eastAsia="楷体" w:cs="楷体"/>
          <w:color w:val="auto"/>
          <w:spacing w:val="-2"/>
          <w:sz w:val="24"/>
          <w:szCs w:val="24"/>
          <w:lang w:eastAsia="zh-CN"/>
        </w:rPr>
        <w:t>万分之一向甲方支付违约金。</w:t>
      </w:r>
    </w:p>
    <w:p w14:paraId="0DD13623">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第九条、不可抗力事件处理</w:t>
      </w:r>
    </w:p>
    <w:p w14:paraId="38AA350A">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1.在合同有效期内，任何一方因不可抗力事件导致不能履行合同，则合同</w:t>
      </w:r>
      <w:r>
        <w:rPr>
          <w:rFonts w:hint="eastAsia" w:ascii="楷体" w:hAnsi="楷体" w:eastAsia="楷体" w:cs="楷体"/>
          <w:color w:val="auto"/>
          <w:spacing w:val="-3"/>
          <w:sz w:val="24"/>
          <w:szCs w:val="24"/>
          <w:lang w:eastAsia="zh-CN"/>
        </w:rPr>
        <w:t>履行期可延长，其延长期与不可抗力影响期相同。不可抗力是指合同订立时不能</w:t>
      </w:r>
      <w:r>
        <w:rPr>
          <w:rFonts w:hint="eastAsia" w:ascii="楷体" w:hAnsi="楷体" w:eastAsia="楷体" w:cs="楷体"/>
          <w:color w:val="auto"/>
          <w:spacing w:val="-7"/>
          <w:sz w:val="24"/>
          <w:szCs w:val="24"/>
          <w:lang w:eastAsia="zh-CN"/>
        </w:rPr>
        <w:t>预见、不能避免且不能克服的客观情况，包括但不</w:t>
      </w:r>
      <w:r>
        <w:rPr>
          <w:rFonts w:hint="eastAsia" w:ascii="楷体" w:hAnsi="楷体" w:eastAsia="楷体" w:cs="楷体"/>
          <w:color w:val="auto"/>
          <w:spacing w:val="-8"/>
          <w:sz w:val="24"/>
          <w:szCs w:val="24"/>
          <w:lang w:eastAsia="zh-CN"/>
        </w:rPr>
        <w:t>限于自然灾害（如地震、洪水、</w:t>
      </w:r>
      <w:r>
        <w:rPr>
          <w:rFonts w:hint="eastAsia" w:ascii="楷体" w:hAnsi="楷体" w:eastAsia="楷体" w:cs="楷体"/>
          <w:color w:val="auto"/>
          <w:spacing w:val="-3"/>
          <w:sz w:val="24"/>
          <w:szCs w:val="24"/>
          <w:lang w:eastAsia="zh-CN"/>
        </w:rPr>
        <w:t>台风等）、战争、武装冲突、暴乱、罢工、政府行为（如法律法规的变更、政策</w:t>
      </w:r>
      <w:r>
        <w:rPr>
          <w:rFonts w:hint="eastAsia" w:ascii="楷体" w:hAnsi="楷体" w:eastAsia="楷体" w:cs="楷体"/>
          <w:color w:val="auto"/>
          <w:spacing w:val="-1"/>
          <w:sz w:val="24"/>
          <w:szCs w:val="24"/>
          <w:lang w:eastAsia="zh-CN"/>
        </w:rPr>
        <w:t>调整等）、公共卫生事件等。</w:t>
      </w:r>
    </w:p>
    <w:p w14:paraId="297FB717">
      <w:pPr>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2.不可抗力事件发生后，应立即通知对方，并寄送有</w:t>
      </w:r>
      <w:r>
        <w:rPr>
          <w:rFonts w:hint="eastAsia" w:ascii="楷体" w:hAnsi="楷体" w:eastAsia="楷体" w:cs="楷体"/>
          <w:color w:val="auto"/>
          <w:spacing w:val="-1"/>
          <w:sz w:val="24"/>
          <w:szCs w:val="24"/>
          <w:lang w:eastAsia="zh-CN"/>
        </w:rPr>
        <w:t>关权威机构出具的证</w:t>
      </w:r>
      <w:r>
        <w:rPr>
          <w:rFonts w:hint="eastAsia" w:ascii="楷体" w:hAnsi="楷体" w:eastAsia="楷体" w:cs="楷体"/>
          <w:color w:val="auto"/>
          <w:spacing w:val="-16"/>
          <w:sz w:val="24"/>
          <w:szCs w:val="24"/>
          <w:lang w:eastAsia="zh-CN"/>
        </w:rPr>
        <w:t>明。</w:t>
      </w:r>
    </w:p>
    <w:p w14:paraId="01B7CD3C">
      <w:pPr>
        <w:spacing w:line="560" w:lineRule="exact"/>
        <w:ind w:firstLine="464"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4"/>
          <w:sz w:val="24"/>
          <w:szCs w:val="24"/>
          <w:lang w:eastAsia="zh-CN"/>
        </w:rPr>
        <w:t>3.不可抗力事件延续10天以上，双方应通过友好</w:t>
      </w:r>
      <w:r>
        <w:rPr>
          <w:rFonts w:hint="eastAsia" w:ascii="楷体" w:hAnsi="楷体" w:eastAsia="楷体" w:cs="楷体"/>
          <w:color w:val="auto"/>
          <w:spacing w:val="-5"/>
          <w:sz w:val="24"/>
          <w:szCs w:val="24"/>
          <w:lang w:eastAsia="zh-CN"/>
        </w:rPr>
        <w:t>协商，确定是否继续履行</w:t>
      </w:r>
      <w:r>
        <w:rPr>
          <w:rFonts w:hint="eastAsia" w:ascii="楷体" w:hAnsi="楷体" w:eastAsia="楷体" w:cs="楷体"/>
          <w:color w:val="auto"/>
          <w:spacing w:val="-3"/>
          <w:sz w:val="24"/>
          <w:szCs w:val="24"/>
          <w:lang w:eastAsia="zh-CN"/>
        </w:rPr>
        <w:t>合同。若因不可抗力事件导致乙方无法履行合同义务，乙方不承担因此产生的违约责任。</w:t>
      </w:r>
    </w:p>
    <w:p w14:paraId="50B46C59">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第十条、解决合同纠纷的方式</w:t>
      </w:r>
    </w:p>
    <w:p w14:paraId="29CA37FC">
      <w:pPr>
        <w:spacing w:line="560" w:lineRule="exact"/>
        <w:ind w:firstLine="476" w:firstLineChars="200"/>
        <w:jc w:val="both"/>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在执行本合同中发生的或与本合同有关的争端，双方应通过友好协商解</w:t>
      </w:r>
      <w:r>
        <w:rPr>
          <w:rFonts w:hint="eastAsia" w:ascii="楷体" w:hAnsi="楷体" w:eastAsia="楷体" w:cs="楷体"/>
          <w:color w:val="auto"/>
          <w:sz w:val="24"/>
          <w:szCs w:val="24"/>
          <w:lang w:eastAsia="zh-CN"/>
        </w:rPr>
        <w:t>决，经协商在10天内不能达成协议时，应向甲所</w:t>
      </w:r>
      <w:r>
        <w:rPr>
          <w:rFonts w:hint="eastAsia" w:ascii="楷体" w:hAnsi="楷体" w:eastAsia="楷体" w:cs="楷体"/>
          <w:color w:val="auto"/>
          <w:spacing w:val="-1"/>
          <w:sz w:val="24"/>
          <w:szCs w:val="24"/>
          <w:lang w:eastAsia="zh-CN"/>
        </w:rPr>
        <w:t>在地有管辖权人民法院提起诉</w:t>
      </w:r>
      <w:r>
        <w:rPr>
          <w:rFonts w:hint="eastAsia" w:ascii="楷体" w:hAnsi="楷体" w:eastAsia="楷体" w:cs="楷体"/>
          <w:color w:val="auto"/>
          <w:spacing w:val="-5"/>
          <w:sz w:val="24"/>
          <w:szCs w:val="24"/>
          <w:lang w:eastAsia="zh-CN"/>
        </w:rPr>
        <w:t>讼。</w:t>
      </w:r>
    </w:p>
    <w:p w14:paraId="2F6273DE">
      <w:pPr>
        <w:spacing w:line="560" w:lineRule="exact"/>
        <w:ind w:firstLine="476"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lang w:eastAsia="zh-CN"/>
        </w:rPr>
        <w:t>第十一条、合同生效及其他</w:t>
      </w:r>
    </w:p>
    <w:p w14:paraId="4DE1DEA0">
      <w:pPr>
        <w:spacing w:line="560" w:lineRule="exact"/>
        <w:ind w:firstLine="472"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eastAsia="zh-CN"/>
        </w:rPr>
        <w:t>1.本合同一式四份，经双方法定代表人或授权委托代理人签字并加盖单位公章后生效。</w:t>
      </w:r>
    </w:p>
    <w:p w14:paraId="386E0A08">
      <w:pPr>
        <w:spacing w:line="560" w:lineRule="exact"/>
        <w:ind w:firstLine="480" w:firstLineChars="200"/>
        <w:jc w:val="both"/>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2.合同执行中涉及采购资金和采购内容修改或补充的</w:t>
      </w:r>
      <w:r>
        <w:rPr>
          <w:rFonts w:hint="eastAsia" w:ascii="楷体" w:hAnsi="楷体" w:eastAsia="楷体" w:cs="楷体"/>
          <w:color w:val="auto"/>
          <w:spacing w:val="-1"/>
          <w:sz w:val="24"/>
          <w:szCs w:val="24"/>
          <w:lang w:eastAsia="zh-CN"/>
        </w:rPr>
        <w:t>，须经政府采购监管</w:t>
      </w:r>
      <w:r>
        <w:rPr>
          <w:rFonts w:hint="eastAsia" w:ascii="楷体" w:hAnsi="楷体" w:eastAsia="楷体" w:cs="楷体"/>
          <w:color w:val="auto"/>
          <w:spacing w:val="-3"/>
          <w:sz w:val="24"/>
          <w:szCs w:val="24"/>
          <w:lang w:eastAsia="zh-CN"/>
        </w:rPr>
        <w:t>部门审批，并签订书面补充协议报政府采购监督管理部门备案，方可作为主合同不</w:t>
      </w:r>
      <w:r>
        <w:rPr>
          <w:rFonts w:hint="eastAsia" w:ascii="楷体" w:hAnsi="楷体" w:eastAsia="楷体" w:cs="楷体"/>
          <w:color w:val="auto"/>
          <w:spacing w:val="-2"/>
          <w:sz w:val="24"/>
          <w:szCs w:val="24"/>
          <w:lang w:eastAsia="zh-CN"/>
        </w:rPr>
        <w:t>可分割的一部分。</w:t>
      </w:r>
    </w:p>
    <w:p w14:paraId="7BBA9BAC">
      <w:pPr>
        <w:spacing w:line="560" w:lineRule="exact"/>
        <w:ind w:firstLine="468" w:firstLineChars="200"/>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lang w:eastAsia="zh-CN"/>
        </w:rPr>
        <w:t>（以下无正文）</w:t>
      </w:r>
    </w:p>
    <w:p w14:paraId="5AFD63DD">
      <w:pPr>
        <w:spacing w:line="560" w:lineRule="exact"/>
        <w:ind w:firstLine="480" w:firstLineChars="200"/>
        <w:rPr>
          <w:rFonts w:hint="eastAsia" w:ascii="楷体" w:hAnsi="楷体" w:eastAsia="楷体" w:cs="楷体"/>
          <w:color w:val="auto"/>
          <w:sz w:val="24"/>
          <w:szCs w:val="24"/>
          <w:lang w:eastAsia="zh-CN"/>
        </w:rPr>
        <w:sectPr>
          <w:footerReference r:id="rId4" w:type="default"/>
          <w:pgSz w:w="11906" w:h="16839"/>
          <w:pgMar w:top="1431" w:right="1785" w:bottom="1455" w:left="1785" w:header="0" w:footer="1214" w:gutter="0"/>
          <w:pgNumType w:fmt="decimal"/>
          <w:cols w:space="720" w:num="1"/>
        </w:sectPr>
      </w:pPr>
    </w:p>
    <w:p w14:paraId="17A35628">
      <w:pPr>
        <w:pageBreakBefore/>
        <w:spacing w:line="560" w:lineRule="exact"/>
        <w:ind w:firstLine="472" w:firstLineChars="200"/>
        <w:rPr>
          <w:rFonts w:hint="eastAsia" w:ascii="楷体" w:hAnsi="楷体" w:eastAsia="楷体" w:cs="楷体"/>
          <w:color w:val="auto"/>
          <w:spacing w:val="-2"/>
          <w:sz w:val="24"/>
          <w:szCs w:val="24"/>
          <w:lang w:eastAsia="zh-CN"/>
        </w:rPr>
      </w:pPr>
      <w:r>
        <w:rPr>
          <w:rFonts w:hint="eastAsia" w:ascii="楷体" w:hAnsi="楷体" w:eastAsia="楷体" w:cs="楷体"/>
          <w:color w:val="auto"/>
          <w:spacing w:val="-2"/>
          <w:sz w:val="24"/>
          <w:szCs w:val="24"/>
          <w:lang w:eastAsia="zh-CN"/>
        </w:rPr>
        <w:t>（本页无正文，为执法装备和执法在线视频指挥无线传输终端运维项目合同签署页）</w:t>
      </w:r>
    </w:p>
    <w:p w14:paraId="2002A1F1">
      <w:pPr>
        <w:pStyle w:val="2"/>
        <w:rPr>
          <w:rFonts w:hint="eastAsia" w:ascii="楷体" w:hAnsi="楷体" w:eastAsia="楷体" w:cs="楷体"/>
          <w:color w:val="auto"/>
          <w:sz w:val="24"/>
          <w:szCs w:val="24"/>
          <w:lang w:eastAsia="zh-CN"/>
        </w:rPr>
      </w:pPr>
    </w:p>
    <w:p w14:paraId="2B5AC51B">
      <w:pPr>
        <w:pStyle w:val="3"/>
        <w:spacing w:line="560" w:lineRule="exact"/>
        <w:ind w:left="279" w:leftChars="133" w:firstLine="241" w:firstLineChars="100"/>
        <w:rPr>
          <w:rFonts w:hint="eastAsia" w:ascii="楷体" w:hAnsi="楷体" w:eastAsia="楷体" w:cs="楷体"/>
          <w:b/>
          <w:bCs/>
          <w:color w:val="auto"/>
          <w:sz w:val="24"/>
          <w:szCs w:val="24"/>
          <w:lang w:eastAsia="zh-CN"/>
        </w:rPr>
      </w:pPr>
      <w:r>
        <w:rPr>
          <w:rFonts w:hint="eastAsia" w:ascii="楷体" w:hAnsi="楷体" w:eastAsia="楷体" w:cs="楷体"/>
          <w:b/>
          <w:bCs/>
          <w:color w:val="auto"/>
          <w:sz w:val="24"/>
          <w:szCs w:val="24"/>
          <w:lang w:eastAsia="zh-CN"/>
        </w:rPr>
        <w:t>甲方：西安市生态环境保护综合执法支队（公章或合同专用章）</w:t>
      </w:r>
    </w:p>
    <w:p w14:paraId="7383D489">
      <w:pPr>
        <w:pStyle w:val="3"/>
        <w:spacing w:line="560" w:lineRule="exact"/>
        <w:ind w:firstLine="482" w:firstLineChars="200"/>
        <w:rPr>
          <w:rFonts w:hint="eastAsia" w:ascii="楷体" w:hAnsi="楷体" w:eastAsia="楷体" w:cs="楷体"/>
          <w:color w:val="auto"/>
          <w:sz w:val="24"/>
          <w:szCs w:val="24"/>
          <w:lang w:eastAsia="zh-CN"/>
        </w:rPr>
      </w:pPr>
      <w:r>
        <w:rPr>
          <w:rFonts w:hint="eastAsia" w:ascii="楷体" w:hAnsi="楷体" w:eastAsia="楷体" w:cs="楷体"/>
          <w:b/>
          <w:bCs/>
          <w:color w:val="auto"/>
          <w:sz w:val="24"/>
          <w:szCs w:val="24"/>
          <w:lang w:eastAsia="zh-CN"/>
        </w:rPr>
        <w:t>法定代表人（授权代表）：</w:t>
      </w:r>
    </w:p>
    <w:p w14:paraId="7DE33344">
      <w:pPr>
        <w:pStyle w:val="3"/>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地址：西安市碑林区大学东路4号</w:t>
      </w:r>
    </w:p>
    <w:p w14:paraId="663EC3AB">
      <w:pPr>
        <w:pStyle w:val="3"/>
        <w:spacing w:line="560" w:lineRule="exact"/>
        <w:ind w:right="-1478" w:rightChars="-704"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账户信息：开户银行：招商银行西安市南大街支行</w:t>
      </w:r>
    </w:p>
    <w:p w14:paraId="5D379FF7">
      <w:pPr>
        <w:pStyle w:val="3"/>
        <w:spacing w:line="560" w:lineRule="exact"/>
        <w:ind w:right="-1478" w:rightChars="-704" w:firstLine="1680" w:firstLineChars="7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账    号：129914440710606</w:t>
      </w:r>
    </w:p>
    <w:p w14:paraId="26A4E69A">
      <w:pPr>
        <w:pStyle w:val="3"/>
        <w:spacing w:line="560" w:lineRule="exact"/>
        <w:ind w:right="-1478" w:rightChars="-704" w:firstLine="1680" w:firstLineChars="7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电    话：029-85392325</w:t>
      </w:r>
    </w:p>
    <w:p w14:paraId="0BCC2AC0">
      <w:pPr>
        <w:pStyle w:val="3"/>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日期：    年    月    日</w:t>
      </w:r>
    </w:p>
    <w:p w14:paraId="528EF9A9">
      <w:pPr>
        <w:pStyle w:val="3"/>
        <w:spacing w:line="560" w:lineRule="exact"/>
        <w:ind w:firstLine="480" w:firstLineChars="200"/>
        <w:rPr>
          <w:rFonts w:hint="eastAsia" w:ascii="楷体" w:hAnsi="楷体" w:eastAsia="楷体" w:cs="楷体"/>
          <w:color w:val="auto"/>
          <w:sz w:val="24"/>
          <w:szCs w:val="24"/>
          <w:lang w:eastAsia="zh-CN"/>
        </w:rPr>
      </w:pPr>
    </w:p>
    <w:p w14:paraId="29C23957">
      <w:pPr>
        <w:pStyle w:val="3"/>
        <w:spacing w:line="560" w:lineRule="exact"/>
        <w:ind w:firstLine="480" w:firstLineChars="200"/>
        <w:rPr>
          <w:rFonts w:hint="eastAsia" w:ascii="楷体" w:hAnsi="楷体" w:eastAsia="楷体" w:cs="楷体"/>
          <w:color w:val="auto"/>
          <w:sz w:val="24"/>
          <w:szCs w:val="24"/>
          <w:lang w:eastAsia="zh-CN"/>
        </w:rPr>
      </w:pPr>
    </w:p>
    <w:p w14:paraId="4B953EC4">
      <w:pPr>
        <w:pStyle w:val="3"/>
        <w:spacing w:line="560" w:lineRule="exact"/>
        <w:ind w:firstLine="482" w:firstLineChars="200"/>
        <w:rPr>
          <w:rFonts w:hint="eastAsia" w:ascii="楷体" w:hAnsi="楷体" w:eastAsia="楷体" w:cs="楷体"/>
          <w:b/>
          <w:bCs/>
          <w:color w:val="auto"/>
          <w:sz w:val="24"/>
          <w:szCs w:val="24"/>
          <w:lang w:eastAsia="zh-CN"/>
        </w:rPr>
      </w:pPr>
    </w:p>
    <w:p w14:paraId="21A6231C">
      <w:pPr>
        <w:pStyle w:val="3"/>
        <w:spacing w:line="560" w:lineRule="exact"/>
        <w:ind w:firstLine="482" w:firstLineChars="200"/>
        <w:rPr>
          <w:rFonts w:hint="eastAsia" w:ascii="楷体" w:hAnsi="楷体" w:eastAsia="楷体" w:cs="楷体"/>
          <w:b/>
          <w:bCs/>
          <w:color w:val="auto"/>
          <w:sz w:val="24"/>
          <w:szCs w:val="24"/>
          <w:lang w:eastAsia="zh-CN"/>
        </w:rPr>
      </w:pPr>
      <w:r>
        <w:rPr>
          <w:rFonts w:hint="eastAsia" w:ascii="楷体" w:hAnsi="楷体" w:eastAsia="楷体" w:cs="楷体"/>
          <w:b/>
          <w:bCs/>
          <w:color w:val="auto"/>
          <w:sz w:val="24"/>
          <w:szCs w:val="24"/>
          <w:lang w:eastAsia="zh-CN"/>
        </w:rPr>
        <w:t>乙方：</w:t>
      </w:r>
      <w:r>
        <w:rPr>
          <w:rFonts w:hint="eastAsia" w:ascii="楷体" w:hAnsi="楷体" w:eastAsia="楷体" w:cs="楷体"/>
          <w:b/>
          <w:bCs/>
          <w:color w:val="auto"/>
          <w:sz w:val="24"/>
          <w:szCs w:val="24"/>
          <w:lang w:val="en-US" w:eastAsia="zh-CN"/>
        </w:rPr>
        <w:t xml:space="preserve">                     </w:t>
      </w:r>
      <w:r>
        <w:rPr>
          <w:rFonts w:hint="eastAsia" w:ascii="楷体" w:hAnsi="楷体" w:eastAsia="楷体" w:cs="楷体"/>
          <w:b/>
          <w:bCs/>
          <w:color w:val="auto"/>
          <w:sz w:val="24"/>
          <w:szCs w:val="24"/>
          <w:lang w:eastAsia="zh-CN"/>
        </w:rPr>
        <w:t>（公章或合同专用章）</w:t>
      </w:r>
    </w:p>
    <w:p w14:paraId="066CF471">
      <w:pPr>
        <w:pStyle w:val="3"/>
        <w:spacing w:line="560" w:lineRule="exact"/>
        <w:ind w:firstLine="482" w:firstLineChars="200"/>
        <w:rPr>
          <w:rFonts w:hint="eastAsia" w:ascii="楷体" w:hAnsi="楷体" w:eastAsia="楷体" w:cs="楷体"/>
          <w:color w:val="auto"/>
          <w:sz w:val="24"/>
          <w:szCs w:val="24"/>
          <w:lang w:eastAsia="zh-CN"/>
        </w:rPr>
      </w:pPr>
      <w:r>
        <w:rPr>
          <w:rFonts w:hint="eastAsia" w:ascii="楷体" w:hAnsi="楷体" w:eastAsia="楷体" w:cs="楷体"/>
          <w:b/>
          <w:bCs/>
          <w:color w:val="auto"/>
          <w:sz w:val="24"/>
          <w:szCs w:val="24"/>
          <w:lang w:eastAsia="zh-CN"/>
        </w:rPr>
        <w:t>法定代表人（授权代表）：</w:t>
      </w:r>
    </w:p>
    <w:p w14:paraId="53C1D41B">
      <w:pPr>
        <w:pStyle w:val="3"/>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地址：</w:t>
      </w:r>
      <w:r>
        <w:rPr>
          <w:rFonts w:hint="eastAsia" w:ascii="楷体" w:hAnsi="楷体" w:eastAsia="楷体" w:cs="楷体"/>
          <w:color w:val="auto"/>
          <w:sz w:val="24"/>
          <w:szCs w:val="24"/>
          <w:lang w:val="en-US" w:eastAsia="zh-CN"/>
        </w:rPr>
        <w:t xml:space="preserve"> </w:t>
      </w:r>
    </w:p>
    <w:p w14:paraId="1B5D04A6">
      <w:pPr>
        <w:pStyle w:val="3"/>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账户信息：开户银行：</w:t>
      </w:r>
      <w:r>
        <w:rPr>
          <w:rFonts w:hint="eastAsia" w:ascii="楷体" w:hAnsi="楷体" w:eastAsia="楷体" w:cs="楷体"/>
          <w:color w:val="auto"/>
          <w:sz w:val="24"/>
          <w:szCs w:val="24"/>
          <w:lang w:val="en-US" w:eastAsia="zh-CN"/>
        </w:rPr>
        <w:t xml:space="preserve"> </w:t>
      </w:r>
    </w:p>
    <w:p w14:paraId="31A27EC4">
      <w:pPr>
        <w:pStyle w:val="3"/>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账    号：</w:t>
      </w:r>
      <w:r>
        <w:rPr>
          <w:rFonts w:hint="eastAsia" w:ascii="楷体" w:hAnsi="楷体" w:eastAsia="楷体" w:cs="楷体"/>
          <w:color w:val="auto"/>
          <w:sz w:val="24"/>
          <w:szCs w:val="24"/>
          <w:lang w:val="en-US" w:eastAsia="zh-CN"/>
        </w:rPr>
        <w:t xml:space="preserve"> </w:t>
      </w:r>
    </w:p>
    <w:p w14:paraId="0114D956">
      <w:pPr>
        <w:pStyle w:val="3"/>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电    话：</w:t>
      </w:r>
      <w:r>
        <w:rPr>
          <w:rFonts w:hint="eastAsia" w:ascii="楷体" w:hAnsi="楷体" w:eastAsia="楷体" w:cs="楷体"/>
          <w:color w:val="auto"/>
          <w:sz w:val="24"/>
          <w:szCs w:val="24"/>
          <w:lang w:val="en-US" w:eastAsia="zh-CN"/>
        </w:rPr>
        <w:t xml:space="preserve"> </w:t>
      </w:r>
    </w:p>
    <w:p w14:paraId="7BE4458C">
      <w:pPr>
        <w:pStyle w:val="3"/>
        <w:spacing w:line="560" w:lineRule="exact"/>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日期：    年    月    日</w:t>
      </w:r>
    </w:p>
    <w:p w14:paraId="39D6541B">
      <w:pPr>
        <w:pStyle w:val="7"/>
        <w:rPr>
          <w:rFonts w:hint="eastAsia" w:ascii="楷体" w:hAnsi="楷体" w:eastAsia="楷体" w:cs="楷体"/>
          <w:b w:val="0"/>
          <w:bCs w:val="0"/>
          <w:lang w:val="en-US" w:eastAsia="zh-Hans"/>
        </w:rPr>
      </w:pPr>
    </w:p>
    <w:p w14:paraId="5959DAF0">
      <w:pPr>
        <w:pStyle w:val="7"/>
        <w:rPr>
          <w:rFonts w:hint="eastAsia" w:ascii="楷体" w:hAnsi="楷体" w:eastAsia="楷体" w:cs="楷体"/>
          <w:b w:val="0"/>
          <w:bCs w:val="0"/>
          <w:lang w:val="en-US" w:eastAsia="zh-Hans"/>
        </w:rPr>
      </w:pPr>
    </w:p>
    <w:p w14:paraId="54C2B10A">
      <w:pPr>
        <w:pStyle w:val="7"/>
        <w:rPr>
          <w:rFonts w:hint="eastAsia" w:ascii="楷体" w:hAnsi="楷体" w:eastAsia="楷体" w:cs="楷体"/>
          <w:b w:val="0"/>
          <w:bCs w:val="0"/>
          <w:lang w:val="en-US" w:eastAsia="zh-Hans"/>
        </w:rPr>
      </w:pPr>
    </w:p>
    <w:p w14:paraId="63C044C9">
      <w:pPr>
        <w:pStyle w:val="7"/>
        <w:rPr>
          <w:rFonts w:hint="eastAsia" w:ascii="楷体" w:hAnsi="楷体" w:eastAsia="楷体" w:cs="楷体"/>
          <w:b w:val="0"/>
          <w:bCs w:val="0"/>
          <w:lang w:val="en-US" w:eastAsia="zh-Hans"/>
        </w:rPr>
      </w:pPr>
    </w:p>
    <w:p w14:paraId="538521BE">
      <w:pPr>
        <w:pStyle w:val="7"/>
        <w:rPr>
          <w:rFonts w:hint="eastAsia" w:ascii="楷体" w:hAnsi="楷体" w:eastAsia="楷体" w:cs="楷体"/>
          <w:b w:val="0"/>
          <w:bCs w:val="0"/>
          <w:lang w:val="en-US" w:eastAsia="zh-Hans"/>
        </w:rPr>
      </w:pPr>
    </w:p>
    <w:p w14:paraId="2A67DC28">
      <w:pPr>
        <w:pStyle w:val="7"/>
        <w:rPr>
          <w:rFonts w:hint="eastAsia" w:ascii="楷体" w:hAnsi="楷体" w:eastAsia="楷体" w:cs="楷体"/>
          <w:b w:val="0"/>
          <w:bCs w:val="0"/>
          <w:lang w:val="en-US" w:eastAsia="zh-Hans"/>
        </w:rPr>
      </w:pPr>
    </w:p>
    <w:p w14:paraId="3F2BF5D9">
      <w:pPr>
        <w:pStyle w:val="7"/>
        <w:rPr>
          <w:rFonts w:hint="eastAsia" w:ascii="楷体" w:hAnsi="楷体" w:eastAsia="楷体" w:cs="楷体"/>
          <w:b w:val="0"/>
          <w:bCs w:val="0"/>
          <w:lang w:val="en-US" w:eastAsia="zh-Hans"/>
        </w:rPr>
      </w:pPr>
    </w:p>
    <w:p w14:paraId="7E4CECC4">
      <w:pPr>
        <w:pStyle w:val="7"/>
        <w:rPr>
          <w:rFonts w:hint="eastAsia" w:ascii="楷体" w:hAnsi="楷体" w:eastAsia="楷体" w:cs="楷体"/>
          <w:b w:val="0"/>
          <w:bCs w:val="0"/>
          <w:lang w:val="en-US" w:eastAsia="zh-CN"/>
        </w:rPr>
      </w:pPr>
      <w:r>
        <w:rPr>
          <w:rFonts w:hint="eastAsia" w:ascii="楷体" w:hAnsi="楷体" w:eastAsia="楷体" w:cs="楷体"/>
          <w:b w:val="0"/>
          <w:bCs w:val="0"/>
          <w:lang w:val="en-US" w:eastAsia="zh-CN"/>
        </w:rPr>
        <w:t>附件1：</w:t>
      </w:r>
    </w:p>
    <w:p w14:paraId="2D381634">
      <w:pPr>
        <w:spacing w:line="240" w:lineRule="auto"/>
        <w:ind w:firstLine="0" w:firstLineChars="0"/>
        <w:rPr>
          <w:rFonts w:hint="eastAsia" w:ascii="楷体" w:hAnsi="楷体" w:eastAsia="楷体" w:cs="楷体"/>
          <w:b/>
          <w:bCs/>
          <w:sz w:val="20"/>
          <w:szCs w:val="20"/>
        </w:rPr>
      </w:pPr>
      <w:r>
        <w:rPr>
          <w:rFonts w:hint="eastAsia" w:ascii="楷体" w:hAnsi="楷体" w:eastAsia="楷体" w:cs="楷体"/>
          <w:b/>
          <w:bCs/>
          <w:sz w:val="20"/>
          <w:szCs w:val="20"/>
        </w:rPr>
        <w:t>服务内容</w:t>
      </w:r>
    </w:p>
    <w:p w14:paraId="3B51E8E9">
      <w:pPr>
        <w:spacing w:line="240" w:lineRule="auto"/>
        <w:ind w:firstLine="416" w:firstLineChars="200"/>
        <w:jc w:val="left"/>
        <w:rPr>
          <w:rFonts w:hint="eastAsia" w:ascii="楷体" w:hAnsi="楷体" w:eastAsia="楷体" w:cs="楷体"/>
          <w:color w:val="auto"/>
          <w:sz w:val="20"/>
          <w:szCs w:val="20"/>
          <w:lang w:eastAsia="zh-CN"/>
        </w:rPr>
      </w:pPr>
      <w:r>
        <w:rPr>
          <w:rFonts w:hint="eastAsia" w:ascii="楷体" w:hAnsi="楷体" w:eastAsia="楷体" w:cs="楷体"/>
          <w:color w:val="auto"/>
          <w:spacing w:val="4"/>
          <w:sz w:val="20"/>
          <w:szCs w:val="20"/>
          <w:lang w:eastAsia="zh-CN"/>
        </w:rPr>
        <w:t>本项目为西安市生态环境保护综合执法支队现有执法装备和执法在线视频</w:t>
      </w:r>
      <w:r>
        <w:rPr>
          <w:rFonts w:hint="eastAsia" w:ascii="楷体" w:hAnsi="楷体" w:eastAsia="楷体" w:cs="楷体"/>
          <w:color w:val="auto"/>
          <w:spacing w:val="-1"/>
          <w:sz w:val="20"/>
          <w:szCs w:val="20"/>
          <w:lang w:eastAsia="zh-CN"/>
        </w:rPr>
        <w:t>指挥无线传输终端等运维，具体包括：</w:t>
      </w:r>
    </w:p>
    <w:p w14:paraId="4A2609A0">
      <w:pPr>
        <w:spacing w:line="240" w:lineRule="auto"/>
        <w:ind w:firstLine="372" w:firstLineChars="200"/>
        <w:jc w:val="left"/>
        <w:rPr>
          <w:rFonts w:hint="eastAsia" w:ascii="楷体" w:hAnsi="楷体" w:eastAsia="楷体" w:cs="楷体"/>
          <w:color w:val="auto"/>
          <w:sz w:val="20"/>
          <w:szCs w:val="20"/>
          <w:highlight w:val="none"/>
          <w:lang w:eastAsia="zh-CN"/>
        </w:rPr>
      </w:pPr>
      <w:r>
        <w:rPr>
          <w:rFonts w:hint="eastAsia" w:ascii="楷体" w:hAnsi="楷体" w:eastAsia="楷体" w:cs="楷体"/>
          <w:color w:val="auto"/>
          <w:spacing w:val="-7"/>
          <w:sz w:val="20"/>
          <w:szCs w:val="20"/>
          <w:lang w:eastAsia="zh-CN"/>
        </w:rPr>
        <w:t>1.执法装备运</w:t>
      </w:r>
      <w:r>
        <w:rPr>
          <w:rFonts w:hint="eastAsia" w:ascii="楷体" w:hAnsi="楷体" w:eastAsia="楷体" w:cs="楷体"/>
          <w:color w:val="auto"/>
          <w:spacing w:val="-7"/>
          <w:sz w:val="20"/>
          <w:szCs w:val="20"/>
          <w:highlight w:val="none"/>
          <w:lang w:eastAsia="zh-CN"/>
        </w:rPr>
        <w:t>维：</w:t>
      </w:r>
      <w:bookmarkStart w:id="0" w:name="_GoBack"/>
      <w:bookmarkEnd w:id="0"/>
    </w:p>
    <w:p w14:paraId="22F6CA22">
      <w:pPr>
        <w:spacing w:line="240" w:lineRule="auto"/>
        <w:ind w:firstLine="392" w:firstLineChars="200"/>
        <w:jc w:val="left"/>
        <w:rPr>
          <w:rFonts w:hint="eastAsia" w:ascii="楷体" w:hAnsi="楷体" w:eastAsia="楷体" w:cs="楷体"/>
          <w:color w:val="auto"/>
          <w:sz w:val="20"/>
          <w:szCs w:val="20"/>
          <w:highlight w:val="none"/>
          <w:lang w:eastAsia="zh-CN"/>
        </w:rPr>
      </w:pPr>
      <w:r>
        <w:rPr>
          <w:rFonts w:hint="eastAsia" w:ascii="楷体" w:hAnsi="楷体" w:eastAsia="楷体" w:cs="楷体"/>
          <w:color w:val="auto"/>
          <w:spacing w:val="-2"/>
          <w:sz w:val="20"/>
          <w:szCs w:val="20"/>
          <w:highlight w:val="none"/>
          <w:lang w:eastAsia="zh-CN"/>
        </w:rPr>
        <w:t>1.1对配发的执法装备</w:t>
      </w:r>
      <w:r>
        <w:rPr>
          <w:rFonts w:hint="eastAsia" w:ascii="楷体" w:hAnsi="楷体" w:eastAsia="楷体" w:cs="楷体"/>
          <w:color w:val="auto"/>
          <w:spacing w:val="-2"/>
          <w:sz w:val="20"/>
          <w:szCs w:val="20"/>
          <w:highlight w:val="none"/>
          <w:lang w:val="en-US" w:eastAsia="zh-CN"/>
        </w:rPr>
        <w:t>进行</w:t>
      </w:r>
      <w:r>
        <w:rPr>
          <w:rFonts w:hint="eastAsia" w:ascii="楷体" w:hAnsi="楷体" w:eastAsia="楷体" w:cs="楷体"/>
          <w:color w:val="auto"/>
          <w:spacing w:val="-2"/>
          <w:sz w:val="20"/>
          <w:szCs w:val="20"/>
          <w:highlight w:val="none"/>
          <w:lang w:eastAsia="zh-CN"/>
        </w:rPr>
        <w:t>的维护及保</w:t>
      </w:r>
      <w:r>
        <w:rPr>
          <w:rFonts w:hint="eastAsia" w:ascii="楷体" w:hAnsi="楷体" w:eastAsia="楷体" w:cs="楷体"/>
          <w:color w:val="auto"/>
          <w:spacing w:val="-3"/>
          <w:sz w:val="20"/>
          <w:szCs w:val="20"/>
          <w:highlight w:val="none"/>
          <w:lang w:eastAsia="zh-CN"/>
        </w:rPr>
        <w:t>养；</w:t>
      </w:r>
    </w:p>
    <w:p w14:paraId="03E96310">
      <w:pPr>
        <w:spacing w:line="240" w:lineRule="auto"/>
        <w:ind w:firstLine="392" w:firstLineChars="200"/>
        <w:jc w:val="left"/>
        <w:rPr>
          <w:rFonts w:hint="eastAsia" w:ascii="楷体" w:hAnsi="楷体" w:eastAsia="楷体" w:cs="楷体"/>
          <w:color w:val="auto"/>
          <w:spacing w:val="-2"/>
          <w:sz w:val="20"/>
          <w:szCs w:val="20"/>
          <w:highlight w:val="none"/>
          <w:lang w:eastAsia="zh-CN"/>
        </w:rPr>
      </w:pPr>
      <w:r>
        <w:rPr>
          <w:rFonts w:hint="eastAsia" w:ascii="楷体" w:hAnsi="楷体" w:eastAsia="楷体" w:cs="楷体"/>
          <w:color w:val="auto"/>
          <w:spacing w:val="-2"/>
          <w:sz w:val="20"/>
          <w:szCs w:val="20"/>
          <w:highlight w:val="none"/>
          <w:lang w:eastAsia="zh-CN"/>
        </w:rPr>
        <w:t>1.2对配发的执法装备损耗品进行更新；</w:t>
      </w:r>
    </w:p>
    <w:p w14:paraId="64C116E3">
      <w:pPr>
        <w:spacing w:line="240" w:lineRule="auto"/>
        <w:ind w:firstLine="392" w:firstLineChars="200"/>
        <w:jc w:val="left"/>
        <w:rPr>
          <w:rFonts w:hint="eastAsia" w:ascii="楷体" w:hAnsi="楷体" w:eastAsia="楷体" w:cs="楷体"/>
          <w:color w:val="auto"/>
          <w:sz w:val="20"/>
          <w:szCs w:val="20"/>
          <w:highlight w:val="none"/>
          <w:lang w:eastAsia="zh-CN"/>
        </w:rPr>
      </w:pPr>
      <w:r>
        <w:rPr>
          <w:rFonts w:hint="eastAsia" w:ascii="楷体" w:hAnsi="楷体" w:eastAsia="楷体" w:cs="楷体"/>
          <w:color w:val="auto"/>
          <w:spacing w:val="-2"/>
          <w:sz w:val="20"/>
          <w:szCs w:val="20"/>
          <w:highlight w:val="none"/>
          <w:lang w:val="en-US" w:eastAsia="zh-CN"/>
        </w:rPr>
        <w:t>1.3对配发的执法装备开展相关培训。</w:t>
      </w:r>
    </w:p>
    <w:p w14:paraId="6B8AEE67">
      <w:pPr>
        <w:spacing w:line="240" w:lineRule="auto"/>
        <w:ind w:firstLine="396" w:firstLineChars="200"/>
        <w:jc w:val="left"/>
        <w:rPr>
          <w:rFonts w:hint="eastAsia" w:ascii="楷体" w:hAnsi="楷体" w:eastAsia="楷体" w:cs="楷体"/>
          <w:color w:val="auto"/>
          <w:sz w:val="20"/>
          <w:szCs w:val="20"/>
          <w:highlight w:val="none"/>
          <w:lang w:eastAsia="zh-CN"/>
        </w:rPr>
      </w:pPr>
      <w:r>
        <w:rPr>
          <w:rFonts w:hint="eastAsia" w:ascii="楷体" w:hAnsi="楷体" w:eastAsia="楷体" w:cs="楷体"/>
          <w:color w:val="auto"/>
          <w:spacing w:val="-1"/>
          <w:sz w:val="20"/>
          <w:szCs w:val="20"/>
          <w:highlight w:val="none"/>
          <w:lang w:eastAsia="zh-CN"/>
        </w:rPr>
        <w:t>2.执法在线视频指挥无线传输终端的五个管理平台运维及软件升</w:t>
      </w:r>
      <w:r>
        <w:rPr>
          <w:rFonts w:hint="eastAsia" w:ascii="楷体" w:hAnsi="楷体" w:eastAsia="楷体" w:cs="楷体"/>
          <w:color w:val="auto"/>
          <w:spacing w:val="-2"/>
          <w:sz w:val="20"/>
          <w:szCs w:val="20"/>
          <w:highlight w:val="none"/>
          <w:lang w:eastAsia="zh-CN"/>
        </w:rPr>
        <w:t>级：</w:t>
      </w:r>
    </w:p>
    <w:p w14:paraId="49F7BA14">
      <w:pPr>
        <w:spacing w:line="240" w:lineRule="auto"/>
        <w:ind w:firstLine="392" w:firstLineChars="200"/>
        <w:jc w:val="left"/>
        <w:rPr>
          <w:rFonts w:hint="eastAsia" w:ascii="楷体" w:hAnsi="楷体" w:eastAsia="楷体" w:cs="楷体"/>
          <w:color w:val="auto"/>
          <w:sz w:val="20"/>
          <w:szCs w:val="20"/>
          <w:highlight w:val="none"/>
          <w:lang w:eastAsia="zh-CN"/>
        </w:rPr>
      </w:pPr>
      <w:r>
        <w:rPr>
          <w:rFonts w:hint="eastAsia" w:ascii="楷体" w:hAnsi="楷体" w:eastAsia="楷体" w:cs="楷体"/>
          <w:color w:val="auto"/>
          <w:spacing w:val="-2"/>
          <w:sz w:val="20"/>
          <w:szCs w:val="20"/>
          <w:highlight w:val="none"/>
          <w:lang w:eastAsia="zh-CN"/>
        </w:rPr>
        <w:t>2.1运维工程师3名；</w:t>
      </w:r>
    </w:p>
    <w:p w14:paraId="41190448">
      <w:pPr>
        <w:spacing w:line="240" w:lineRule="auto"/>
        <w:ind w:firstLine="392" w:firstLineChars="200"/>
        <w:jc w:val="left"/>
        <w:rPr>
          <w:rFonts w:hint="eastAsia" w:ascii="楷体" w:hAnsi="楷体" w:eastAsia="楷体" w:cs="楷体"/>
          <w:color w:val="auto"/>
          <w:sz w:val="20"/>
          <w:szCs w:val="20"/>
          <w:highlight w:val="none"/>
          <w:lang w:eastAsia="zh-CN"/>
        </w:rPr>
      </w:pPr>
      <w:r>
        <w:rPr>
          <w:rFonts w:hint="eastAsia" w:ascii="楷体" w:hAnsi="楷体" w:eastAsia="楷体" w:cs="楷体"/>
          <w:color w:val="auto"/>
          <w:spacing w:val="-2"/>
          <w:sz w:val="20"/>
          <w:szCs w:val="20"/>
          <w:highlight w:val="none"/>
          <w:lang w:eastAsia="zh-CN"/>
        </w:rPr>
        <w:t>2.2管理系统平台数据库维护；</w:t>
      </w:r>
    </w:p>
    <w:p w14:paraId="5213C1E4">
      <w:pPr>
        <w:spacing w:line="240" w:lineRule="auto"/>
        <w:ind w:firstLine="400" w:firstLineChars="200"/>
        <w:jc w:val="left"/>
        <w:rPr>
          <w:rFonts w:hint="eastAsia" w:ascii="楷体" w:hAnsi="楷体" w:eastAsia="楷体" w:cs="楷体"/>
          <w:color w:val="auto"/>
          <w:sz w:val="20"/>
          <w:szCs w:val="20"/>
          <w:lang w:eastAsia="zh-CN"/>
        </w:rPr>
      </w:pPr>
      <w:r>
        <w:rPr>
          <w:rFonts w:hint="eastAsia" w:ascii="楷体" w:hAnsi="楷体" w:eastAsia="楷体" w:cs="楷体"/>
          <w:color w:val="auto"/>
          <w:sz w:val="20"/>
          <w:szCs w:val="20"/>
          <w:highlight w:val="none"/>
          <w:lang w:eastAsia="zh-CN"/>
        </w:rPr>
        <w:t>2.3执法记录仪软件、视频会</w:t>
      </w:r>
      <w:r>
        <w:rPr>
          <w:rFonts w:hint="eastAsia" w:ascii="楷体" w:hAnsi="楷体" w:eastAsia="楷体" w:cs="楷体"/>
          <w:color w:val="auto"/>
          <w:sz w:val="20"/>
          <w:szCs w:val="20"/>
          <w:lang w:eastAsia="zh-CN"/>
        </w:rPr>
        <w:t>议软件、安全管理系</w:t>
      </w:r>
      <w:r>
        <w:rPr>
          <w:rFonts w:hint="eastAsia" w:ascii="楷体" w:hAnsi="楷体" w:eastAsia="楷体" w:cs="楷体"/>
          <w:color w:val="auto"/>
          <w:spacing w:val="-1"/>
          <w:sz w:val="20"/>
          <w:szCs w:val="20"/>
          <w:lang w:eastAsia="zh-CN"/>
        </w:rPr>
        <w:t>统的升级与维护；</w:t>
      </w:r>
    </w:p>
    <w:p w14:paraId="7644D1D7">
      <w:pPr>
        <w:spacing w:line="240" w:lineRule="auto"/>
        <w:ind w:firstLine="408" w:firstLineChars="200"/>
        <w:jc w:val="left"/>
        <w:rPr>
          <w:rFonts w:hint="eastAsia" w:ascii="楷体" w:hAnsi="楷体" w:eastAsia="楷体" w:cs="楷体"/>
          <w:color w:val="auto"/>
          <w:sz w:val="20"/>
          <w:szCs w:val="20"/>
          <w:lang w:eastAsia="zh-CN"/>
        </w:rPr>
      </w:pPr>
      <w:r>
        <w:rPr>
          <w:rFonts w:hint="eastAsia" w:ascii="楷体" w:hAnsi="楷体" w:eastAsia="楷体" w:cs="楷体"/>
          <w:color w:val="auto"/>
          <w:spacing w:val="2"/>
          <w:sz w:val="20"/>
          <w:szCs w:val="20"/>
          <w:lang w:eastAsia="zh-CN"/>
        </w:rPr>
        <w:t>2.4系统网络维护：包含网点</w:t>
      </w:r>
      <w:r>
        <w:rPr>
          <w:rFonts w:hint="eastAsia" w:ascii="楷体" w:hAnsi="楷体" w:eastAsia="楷体" w:cs="楷体"/>
          <w:color w:val="auto"/>
          <w:sz w:val="20"/>
          <w:szCs w:val="20"/>
          <w:lang w:eastAsia="zh-CN"/>
        </w:rPr>
        <w:t>IP</w:t>
      </w:r>
      <w:r>
        <w:rPr>
          <w:rFonts w:hint="eastAsia" w:ascii="楷体" w:hAnsi="楷体" w:eastAsia="楷体" w:cs="楷体"/>
          <w:color w:val="auto"/>
          <w:spacing w:val="2"/>
          <w:sz w:val="20"/>
          <w:szCs w:val="20"/>
          <w:lang w:eastAsia="zh-CN"/>
        </w:rPr>
        <w:t>调试、线路排查等。</w:t>
      </w:r>
    </w:p>
    <w:p w14:paraId="72881ACD">
      <w:pPr>
        <w:spacing w:line="240" w:lineRule="auto"/>
        <w:ind w:firstLine="396" w:firstLineChars="200"/>
        <w:jc w:val="left"/>
        <w:rPr>
          <w:rFonts w:hint="eastAsia" w:ascii="楷体" w:hAnsi="楷体" w:eastAsia="楷体" w:cs="楷体"/>
          <w:color w:val="auto"/>
          <w:spacing w:val="-2"/>
          <w:sz w:val="20"/>
          <w:szCs w:val="20"/>
          <w:lang w:eastAsia="zh-CN"/>
        </w:rPr>
      </w:pPr>
      <w:r>
        <w:rPr>
          <w:rFonts w:hint="eastAsia" w:ascii="楷体" w:hAnsi="楷体" w:eastAsia="楷体" w:cs="楷体"/>
          <w:color w:val="auto"/>
          <w:spacing w:val="-1"/>
          <w:sz w:val="20"/>
          <w:szCs w:val="20"/>
          <w:lang w:eastAsia="zh-CN"/>
        </w:rPr>
        <w:t>3.4G物联网卡和执法在线视频指挥无线传输终端</w:t>
      </w:r>
      <w:r>
        <w:rPr>
          <w:rFonts w:hint="eastAsia" w:ascii="楷体" w:hAnsi="楷体" w:eastAsia="楷体" w:cs="楷体"/>
          <w:color w:val="auto"/>
          <w:spacing w:val="-2"/>
          <w:sz w:val="20"/>
          <w:szCs w:val="20"/>
          <w:lang w:eastAsia="zh-CN"/>
        </w:rPr>
        <w:t>系统网络专线：</w:t>
      </w:r>
    </w:p>
    <w:p w14:paraId="41A6F932">
      <w:pPr>
        <w:spacing w:line="240" w:lineRule="auto"/>
        <w:ind w:firstLine="404" w:firstLineChars="200"/>
        <w:jc w:val="left"/>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3.1执法在线视频指挥无线传输终端系统网络专线300兆/年/条，固定 IP，</w:t>
      </w:r>
      <w:r>
        <w:rPr>
          <w:rFonts w:hint="eastAsia" w:ascii="楷体" w:hAnsi="楷体" w:eastAsia="楷体" w:cs="楷体"/>
          <w:color w:val="auto"/>
          <w:spacing w:val="3"/>
          <w:sz w:val="20"/>
          <w:szCs w:val="20"/>
          <w:lang w:eastAsia="zh-CN"/>
        </w:rPr>
        <w:t>保障21个视频会议系统</w:t>
      </w:r>
      <w:r>
        <w:rPr>
          <w:rFonts w:hint="eastAsia" w:ascii="楷体" w:hAnsi="楷体" w:eastAsia="楷体" w:cs="楷体"/>
          <w:color w:val="auto"/>
          <w:spacing w:val="-2"/>
          <w:sz w:val="20"/>
          <w:szCs w:val="20"/>
          <w:lang w:eastAsia="zh-CN"/>
        </w:rPr>
        <w:t>分会场同时接入视频和音频；保障视频会议系统主会场系统终端正常联网运行</w:t>
      </w:r>
      <w:r>
        <w:rPr>
          <w:rFonts w:hint="eastAsia" w:ascii="楷体" w:hAnsi="楷体" w:eastAsia="楷体" w:cs="楷体"/>
          <w:color w:val="auto"/>
          <w:spacing w:val="1"/>
          <w:sz w:val="20"/>
          <w:szCs w:val="20"/>
          <w:lang w:eastAsia="zh-CN"/>
        </w:rPr>
        <w:t>；</w:t>
      </w:r>
    </w:p>
    <w:p w14:paraId="5B7D9BAC">
      <w:pPr>
        <w:spacing w:line="240" w:lineRule="auto"/>
        <w:ind w:firstLine="404" w:firstLineChars="200"/>
        <w:jc w:val="left"/>
        <w:rPr>
          <w:rFonts w:hint="eastAsia" w:ascii="楷体" w:hAnsi="楷体" w:eastAsia="楷体" w:cs="楷体"/>
          <w:color w:val="auto"/>
          <w:sz w:val="20"/>
          <w:szCs w:val="20"/>
          <w:lang w:eastAsia="zh-CN"/>
        </w:rPr>
      </w:pPr>
      <w:r>
        <w:rPr>
          <w:rFonts w:hint="eastAsia" w:ascii="楷体" w:hAnsi="楷体" w:eastAsia="楷体" w:cs="楷体"/>
          <w:color w:val="auto"/>
          <w:spacing w:val="1"/>
          <w:sz w:val="20"/>
          <w:szCs w:val="20"/>
          <w:lang w:val="en-US" w:eastAsia="zh-CN"/>
        </w:rPr>
        <w:t>3.2保障移动执法记录仪和移动执法包（移动路由器）正常通信的</w:t>
      </w:r>
      <w:r>
        <w:rPr>
          <w:rFonts w:hint="eastAsia" w:ascii="楷体" w:hAnsi="楷体" w:eastAsia="楷体" w:cs="楷体"/>
          <w:color w:val="auto"/>
          <w:spacing w:val="1"/>
          <w:sz w:val="20"/>
          <w:szCs w:val="20"/>
          <w:lang w:eastAsia="zh-CN"/>
        </w:rPr>
        <w:t>4G物联网卡474张，</w:t>
      </w:r>
      <w:r>
        <w:rPr>
          <w:rFonts w:hint="eastAsia" w:ascii="楷体" w:hAnsi="楷体" w:eastAsia="楷体" w:cs="楷体"/>
          <w:color w:val="auto"/>
          <w:spacing w:val="1"/>
          <w:sz w:val="20"/>
          <w:szCs w:val="20"/>
          <w:lang w:val="en-US" w:eastAsia="zh-CN"/>
        </w:rPr>
        <w:t>流量池上限不超过</w:t>
      </w:r>
      <w:r>
        <w:rPr>
          <w:rFonts w:hint="eastAsia" w:ascii="楷体" w:hAnsi="楷体" w:eastAsia="楷体" w:cs="楷体"/>
          <w:color w:val="auto"/>
          <w:spacing w:val="1"/>
          <w:sz w:val="20"/>
          <w:szCs w:val="20"/>
          <w:lang w:eastAsia="zh-CN"/>
        </w:rPr>
        <w:t>14220G/月。</w:t>
      </w:r>
    </w:p>
    <w:p w14:paraId="1CF94EA9">
      <w:pPr>
        <w:spacing w:line="240" w:lineRule="auto"/>
        <w:ind w:firstLine="0" w:firstLineChars="0"/>
        <w:jc w:val="left"/>
        <w:rPr>
          <w:rFonts w:hint="eastAsia" w:ascii="楷体" w:hAnsi="楷体" w:eastAsia="楷体" w:cs="楷体"/>
          <w:color w:val="auto"/>
          <w:sz w:val="20"/>
          <w:szCs w:val="20"/>
          <w:lang w:eastAsia="zh-CN"/>
        </w:rPr>
      </w:pPr>
      <w:r>
        <w:rPr>
          <w:rFonts w:hint="eastAsia" w:ascii="楷体" w:hAnsi="楷体" w:eastAsia="楷体" w:cs="楷体"/>
          <w:b/>
          <w:bCs/>
          <w:color w:val="auto"/>
          <w:spacing w:val="-5"/>
          <w:sz w:val="20"/>
          <w:szCs w:val="20"/>
          <w:lang w:eastAsia="zh-CN"/>
        </w:rPr>
        <w:t>服务方式</w:t>
      </w:r>
    </w:p>
    <w:p w14:paraId="007965BA">
      <w:pPr>
        <w:spacing w:line="240" w:lineRule="auto"/>
        <w:ind w:firstLine="396" w:firstLineChars="200"/>
        <w:jc w:val="left"/>
        <w:rPr>
          <w:rFonts w:hint="eastAsia" w:ascii="楷体" w:hAnsi="楷体" w:eastAsia="楷体" w:cs="楷体"/>
          <w:color w:val="auto"/>
          <w:sz w:val="20"/>
          <w:szCs w:val="20"/>
          <w:lang w:eastAsia="zh-CN"/>
        </w:rPr>
      </w:pPr>
      <w:r>
        <w:rPr>
          <w:rFonts w:hint="eastAsia" w:ascii="楷体" w:hAnsi="楷体" w:eastAsia="楷体" w:cs="楷体"/>
          <w:color w:val="auto"/>
          <w:spacing w:val="-1"/>
          <w:sz w:val="20"/>
          <w:szCs w:val="20"/>
          <w:lang w:eastAsia="zh-CN"/>
        </w:rPr>
        <w:t>1.运维工程师需通过相关部门背景审查，签订保密协议，</w:t>
      </w:r>
      <w:r>
        <w:rPr>
          <w:rFonts w:hint="eastAsia" w:ascii="楷体" w:hAnsi="楷体" w:eastAsia="楷体" w:cs="楷体"/>
          <w:color w:val="auto"/>
          <w:spacing w:val="-1"/>
          <w:sz w:val="20"/>
          <w:szCs w:val="20"/>
          <w:lang w:val="en-US" w:eastAsia="zh-CN"/>
        </w:rPr>
        <w:t>参加保密培训</w:t>
      </w:r>
      <w:r>
        <w:rPr>
          <w:rFonts w:hint="eastAsia" w:ascii="楷体" w:hAnsi="楷体" w:eastAsia="楷体" w:cs="楷体"/>
          <w:color w:val="auto"/>
          <w:spacing w:val="-1"/>
          <w:sz w:val="20"/>
          <w:szCs w:val="20"/>
          <w:lang w:eastAsia="zh-CN"/>
        </w:rPr>
        <w:t>。</w:t>
      </w:r>
      <w:r>
        <w:rPr>
          <w:rFonts w:hint="eastAsia" w:ascii="楷体" w:hAnsi="楷体" w:eastAsia="楷体" w:cs="楷体"/>
          <w:color w:val="auto"/>
          <w:spacing w:val="-1"/>
          <w:sz w:val="20"/>
          <w:szCs w:val="20"/>
          <w:lang w:val="en-US" w:eastAsia="zh-CN"/>
        </w:rPr>
        <w:t>需</w:t>
      </w:r>
      <w:r>
        <w:rPr>
          <w:rFonts w:hint="eastAsia" w:ascii="楷体" w:hAnsi="楷体" w:eastAsia="楷体" w:cs="楷体"/>
          <w:color w:val="auto"/>
          <w:spacing w:val="-1"/>
          <w:sz w:val="20"/>
          <w:szCs w:val="20"/>
          <w:lang w:eastAsia="zh-CN"/>
        </w:rPr>
        <w:t>选派专业</w:t>
      </w:r>
      <w:r>
        <w:rPr>
          <w:rFonts w:hint="eastAsia" w:ascii="楷体" w:hAnsi="楷体" w:eastAsia="楷体" w:cs="楷体"/>
          <w:color w:val="auto"/>
          <w:spacing w:val="-4"/>
          <w:sz w:val="20"/>
          <w:szCs w:val="20"/>
          <w:lang w:eastAsia="zh-CN"/>
        </w:rPr>
        <w:t>技术骨干为运维人员，包括1名经验丰富的项目经理作为运维负责人，主要负责与支队日常对接、统筹运维任务。此外，根据现场的实际情况，配备</w:t>
      </w:r>
      <w:r>
        <w:rPr>
          <w:rFonts w:hint="eastAsia" w:ascii="楷体" w:hAnsi="楷体" w:eastAsia="楷体" w:cs="楷体"/>
          <w:color w:val="auto"/>
          <w:spacing w:val="-4"/>
          <w:sz w:val="20"/>
          <w:szCs w:val="20"/>
          <w:lang w:val="en-US" w:eastAsia="zh-CN"/>
        </w:rPr>
        <w:t>2</w:t>
      </w:r>
      <w:r>
        <w:rPr>
          <w:rFonts w:hint="eastAsia" w:ascii="楷体" w:hAnsi="楷体" w:eastAsia="楷体" w:cs="楷体"/>
          <w:color w:val="auto"/>
          <w:spacing w:val="-4"/>
          <w:sz w:val="20"/>
          <w:szCs w:val="20"/>
          <w:lang w:eastAsia="zh-CN"/>
        </w:rPr>
        <w:t>位系统运</w:t>
      </w:r>
      <w:r>
        <w:rPr>
          <w:rFonts w:hint="eastAsia" w:ascii="楷体" w:hAnsi="楷体" w:eastAsia="楷体" w:cs="楷体"/>
          <w:color w:val="auto"/>
          <w:spacing w:val="-1"/>
          <w:sz w:val="20"/>
          <w:szCs w:val="20"/>
          <w:lang w:eastAsia="zh-CN"/>
        </w:rPr>
        <w:t>维工程师，支持现场工作，确保可随时进行技术保障。</w:t>
      </w:r>
    </w:p>
    <w:p w14:paraId="31BD3842">
      <w:pPr>
        <w:spacing w:line="240" w:lineRule="auto"/>
        <w:ind w:firstLine="400" w:firstLineChars="200"/>
        <w:rPr>
          <w:rFonts w:hint="eastAsia" w:ascii="楷体" w:hAnsi="楷体" w:eastAsia="楷体" w:cs="楷体"/>
          <w:color w:val="auto"/>
          <w:sz w:val="20"/>
          <w:szCs w:val="20"/>
          <w:lang w:eastAsia="zh-CN"/>
        </w:rPr>
      </w:pPr>
      <w:r>
        <w:rPr>
          <w:rFonts w:hint="eastAsia" w:ascii="楷体" w:hAnsi="楷体" w:eastAsia="楷体" w:cs="楷体"/>
          <w:color w:val="auto"/>
          <w:sz w:val="20"/>
          <w:szCs w:val="20"/>
          <w:lang w:eastAsia="zh-CN"/>
        </w:rPr>
        <w:t>2.运维人员工作时间与支队日常工作时间同步，服从支队管</w:t>
      </w:r>
      <w:r>
        <w:rPr>
          <w:rFonts w:hint="eastAsia" w:ascii="楷体" w:hAnsi="楷体" w:eastAsia="楷体" w:cs="楷体"/>
          <w:color w:val="auto"/>
          <w:spacing w:val="-1"/>
          <w:sz w:val="20"/>
          <w:szCs w:val="20"/>
          <w:lang w:eastAsia="zh-CN"/>
        </w:rPr>
        <w:t>理。在工作日</w:t>
      </w:r>
      <w:r>
        <w:rPr>
          <w:rFonts w:hint="eastAsia" w:ascii="楷体" w:hAnsi="楷体" w:eastAsia="楷体" w:cs="楷体"/>
          <w:color w:val="auto"/>
          <w:spacing w:val="-3"/>
          <w:sz w:val="20"/>
          <w:szCs w:val="20"/>
          <w:lang w:eastAsia="zh-CN"/>
        </w:rPr>
        <w:t>内保持全勤在岗，随时响应各类突发与常规运维需求，非工作日及节假日则安排</w:t>
      </w:r>
      <w:r>
        <w:rPr>
          <w:rFonts w:hint="eastAsia" w:ascii="楷体" w:hAnsi="楷体" w:eastAsia="楷体" w:cs="楷体"/>
          <w:color w:val="auto"/>
          <w:sz w:val="20"/>
          <w:szCs w:val="20"/>
          <w:lang w:eastAsia="zh-CN"/>
        </w:rPr>
        <w:t>轮班值守，确保不间断技术保障，特别是针对可能影响案</w:t>
      </w:r>
      <w:r>
        <w:rPr>
          <w:rFonts w:hint="eastAsia" w:ascii="楷体" w:hAnsi="楷体" w:eastAsia="楷体" w:cs="楷体"/>
          <w:color w:val="auto"/>
          <w:spacing w:val="-1"/>
          <w:sz w:val="20"/>
          <w:szCs w:val="20"/>
          <w:lang w:eastAsia="zh-CN"/>
        </w:rPr>
        <w:t>件办理进程的紧急故障，能第一时间介入处理。</w:t>
      </w:r>
    </w:p>
    <w:p w14:paraId="64AF686C">
      <w:pPr>
        <w:spacing w:line="240" w:lineRule="auto"/>
        <w:ind w:firstLine="0" w:firstLineChars="0"/>
        <w:rPr>
          <w:rFonts w:hint="eastAsia" w:ascii="楷体" w:hAnsi="楷体" w:eastAsia="楷体" w:cs="楷体"/>
          <w:color w:val="auto"/>
          <w:sz w:val="20"/>
          <w:szCs w:val="20"/>
          <w:lang w:eastAsia="zh-CN"/>
        </w:rPr>
      </w:pPr>
      <w:r>
        <w:rPr>
          <w:rFonts w:hint="eastAsia" w:ascii="楷体" w:hAnsi="楷体" w:eastAsia="楷体" w:cs="楷体"/>
          <w:b/>
          <w:bCs/>
          <w:color w:val="auto"/>
          <w:spacing w:val="-5"/>
          <w:sz w:val="20"/>
          <w:szCs w:val="20"/>
          <w:lang w:eastAsia="zh-CN"/>
        </w:rPr>
        <w:t>技术要求</w:t>
      </w:r>
    </w:p>
    <w:p w14:paraId="3DC55373">
      <w:pPr>
        <w:spacing w:line="240" w:lineRule="auto"/>
        <w:ind w:firstLine="396" w:firstLineChars="200"/>
        <w:rPr>
          <w:rFonts w:hint="eastAsia" w:ascii="楷体" w:hAnsi="楷体" w:eastAsia="楷体" w:cs="楷体"/>
          <w:color w:val="auto"/>
          <w:sz w:val="20"/>
          <w:szCs w:val="20"/>
          <w:lang w:eastAsia="zh-CN"/>
        </w:rPr>
      </w:pPr>
      <w:r>
        <w:rPr>
          <w:rFonts w:hint="eastAsia" w:ascii="楷体" w:hAnsi="楷体" w:eastAsia="楷体" w:cs="楷体"/>
          <w:color w:val="auto"/>
          <w:spacing w:val="-1"/>
          <w:sz w:val="20"/>
          <w:szCs w:val="20"/>
          <w:lang w:eastAsia="zh-CN"/>
        </w:rPr>
        <w:t>1.对支队执法装备的维护、保养及校准，保障执法工作的正常。对支队执</w:t>
      </w:r>
      <w:r>
        <w:rPr>
          <w:rFonts w:hint="eastAsia" w:ascii="楷体" w:hAnsi="楷体" w:eastAsia="楷体" w:cs="楷体"/>
          <w:color w:val="auto"/>
          <w:spacing w:val="-2"/>
          <w:sz w:val="20"/>
          <w:szCs w:val="20"/>
          <w:lang w:eastAsia="zh-CN"/>
        </w:rPr>
        <w:t>法管理系统、视频会议系统—主会场、视频会议系统—分会场、内网OA、外网</w:t>
      </w:r>
      <w:r>
        <w:rPr>
          <w:rFonts w:hint="eastAsia" w:ascii="楷体" w:hAnsi="楷体" w:eastAsia="楷体" w:cs="楷体"/>
          <w:color w:val="auto"/>
          <w:sz w:val="20"/>
          <w:szCs w:val="20"/>
          <w:lang w:eastAsia="zh-CN"/>
        </w:rPr>
        <w:t>OA、办公网络、机房监控、信息安全部分进行日常运维管理，通过每日巡检、</w:t>
      </w:r>
      <w:r>
        <w:rPr>
          <w:rFonts w:hint="eastAsia" w:ascii="楷体" w:hAnsi="楷体" w:eastAsia="楷体" w:cs="楷体"/>
          <w:color w:val="auto"/>
          <w:spacing w:val="-3"/>
          <w:sz w:val="20"/>
          <w:szCs w:val="20"/>
          <w:lang w:eastAsia="zh-CN"/>
        </w:rPr>
        <w:t>定期设备除尘、定期数据备份、按需不定期进行升级、网络维护、线路排查、故障处理及安全运维等，保障执法在线视频指挥无线传输终端系统的正常运行，提</w:t>
      </w:r>
      <w:r>
        <w:rPr>
          <w:rFonts w:hint="eastAsia" w:ascii="楷体" w:hAnsi="楷体" w:eastAsia="楷体" w:cs="楷体"/>
          <w:color w:val="auto"/>
          <w:spacing w:val="-2"/>
          <w:sz w:val="20"/>
          <w:szCs w:val="20"/>
          <w:lang w:eastAsia="zh-CN"/>
        </w:rPr>
        <w:t>供制式运维表。</w:t>
      </w:r>
    </w:p>
    <w:p w14:paraId="6E80BC07">
      <w:pPr>
        <w:spacing w:line="240" w:lineRule="auto"/>
        <w:ind w:firstLine="380" w:firstLineChars="200"/>
        <w:rPr>
          <w:rFonts w:hint="eastAsia" w:ascii="楷体" w:hAnsi="楷体" w:eastAsia="楷体" w:cs="楷体"/>
          <w:color w:val="auto"/>
          <w:sz w:val="20"/>
          <w:szCs w:val="20"/>
          <w:lang w:eastAsia="zh-CN"/>
        </w:rPr>
      </w:pPr>
      <w:r>
        <w:rPr>
          <w:rFonts w:hint="eastAsia" w:ascii="楷体" w:hAnsi="楷体" w:eastAsia="楷体" w:cs="楷体"/>
          <w:color w:val="auto"/>
          <w:spacing w:val="-5"/>
          <w:sz w:val="20"/>
          <w:szCs w:val="20"/>
          <w:lang w:eastAsia="zh-CN"/>
        </w:rPr>
        <w:t>2.数据安全。未经支队书面同意，不得泄露系统配置</w:t>
      </w:r>
      <w:r>
        <w:rPr>
          <w:rFonts w:hint="eastAsia" w:ascii="楷体" w:hAnsi="楷体" w:eastAsia="楷体" w:cs="楷体"/>
          <w:color w:val="auto"/>
          <w:spacing w:val="-6"/>
          <w:sz w:val="20"/>
          <w:szCs w:val="20"/>
          <w:lang w:eastAsia="zh-CN"/>
        </w:rPr>
        <w:t>、IP地址等敏感信息，</w:t>
      </w:r>
      <w:r>
        <w:rPr>
          <w:rFonts w:hint="eastAsia" w:ascii="楷体" w:hAnsi="楷体" w:eastAsia="楷体" w:cs="楷体"/>
          <w:color w:val="auto"/>
          <w:spacing w:val="-1"/>
          <w:sz w:val="20"/>
          <w:szCs w:val="20"/>
          <w:lang w:eastAsia="zh-CN"/>
        </w:rPr>
        <w:t>必须严格遵守信息安全管理办法（如泄密将承担相关法律责任）。</w:t>
      </w:r>
    </w:p>
    <w:p w14:paraId="55AEA918">
      <w:pPr>
        <w:spacing w:line="240" w:lineRule="auto"/>
        <w:ind w:firstLine="400" w:firstLineChars="200"/>
        <w:rPr>
          <w:rFonts w:hint="eastAsia" w:ascii="楷体" w:hAnsi="楷体" w:eastAsia="楷体" w:cs="楷体"/>
          <w:color w:val="auto"/>
          <w:sz w:val="20"/>
          <w:szCs w:val="20"/>
          <w:lang w:eastAsia="zh-CN"/>
        </w:rPr>
      </w:pPr>
      <w:r>
        <w:rPr>
          <w:rFonts w:hint="eastAsia" w:ascii="楷体" w:hAnsi="楷体" w:eastAsia="楷体" w:cs="楷体"/>
          <w:color w:val="auto"/>
          <w:sz w:val="20"/>
          <w:szCs w:val="20"/>
          <w:lang w:eastAsia="zh-CN"/>
        </w:rPr>
        <w:t>3.报告提交。每周提交《运维服务记录单</w:t>
      </w:r>
      <w:r>
        <w:rPr>
          <w:rFonts w:hint="eastAsia" w:ascii="楷体" w:hAnsi="楷体" w:eastAsia="楷体" w:cs="楷体"/>
          <w:color w:val="auto"/>
          <w:spacing w:val="-1"/>
          <w:sz w:val="20"/>
          <w:szCs w:val="20"/>
          <w:lang w:eastAsia="zh-CN"/>
        </w:rPr>
        <w:t>》，年度服务报告需包含问题统</w:t>
      </w:r>
      <w:r>
        <w:rPr>
          <w:rFonts w:hint="eastAsia" w:ascii="楷体" w:hAnsi="楷体" w:eastAsia="楷体" w:cs="楷体"/>
          <w:color w:val="auto"/>
          <w:spacing w:val="-2"/>
          <w:sz w:val="20"/>
          <w:szCs w:val="20"/>
          <w:lang w:eastAsia="zh-CN"/>
        </w:rPr>
        <w:t>计及改进建议。</w:t>
      </w:r>
    </w:p>
    <w:p w14:paraId="399E0C08">
      <w:pPr>
        <w:spacing w:line="240" w:lineRule="auto"/>
        <w:ind w:firstLine="384" w:firstLineChars="200"/>
        <w:rPr>
          <w:rFonts w:hint="eastAsia" w:ascii="楷体" w:hAnsi="楷体" w:eastAsia="楷体" w:cs="楷体"/>
          <w:color w:val="auto"/>
          <w:sz w:val="20"/>
          <w:szCs w:val="20"/>
          <w:lang w:eastAsia="zh-CN"/>
        </w:rPr>
      </w:pPr>
      <w:r>
        <w:rPr>
          <w:rFonts w:hint="eastAsia" w:ascii="楷体" w:hAnsi="楷体" w:eastAsia="楷体" w:cs="楷体"/>
          <w:color w:val="auto"/>
          <w:spacing w:val="-4"/>
          <w:sz w:val="20"/>
          <w:szCs w:val="20"/>
          <w:lang w:eastAsia="zh-CN"/>
        </w:rPr>
        <w:t>4.具体运维要求：</w:t>
      </w:r>
    </w:p>
    <w:p w14:paraId="508BDAD1">
      <w:pPr>
        <w:spacing w:line="240" w:lineRule="auto"/>
        <w:ind w:firstLine="396" w:firstLineChars="200"/>
        <w:rPr>
          <w:rFonts w:hint="eastAsia" w:ascii="楷体" w:hAnsi="楷体" w:eastAsia="楷体" w:cs="楷体"/>
          <w:color w:val="auto"/>
          <w:sz w:val="20"/>
          <w:szCs w:val="20"/>
          <w:lang w:eastAsia="zh-CN"/>
        </w:rPr>
      </w:pPr>
      <w:r>
        <w:rPr>
          <w:rFonts w:hint="eastAsia" w:ascii="楷体" w:hAnsi="楷体" w:eastAsia="楷体" w:cs="楷体"/>
          <w:color w:val="auto"/>
          <w:spacing w:val="-1"/>
          <w:sz w:val="20"/>
          <w:szCs w:val="20"/>
          <w:lang w:eastAsia="zh-CN"/>
        </w:rPr>
        <w:t>4.1执法装备运维</w:t>
      </w:r>
    </w:p>
    <w:p w14:paraId="71B4B713">
      <w:pPr>
        <w:spacing w:before="140"/>
        <w:rPr>
          <w:rFonts w:hint="eastAsia" w:ascii="楷体" w:hAnsi="楷体" w:eastAsia="楷体" w:cs="楷体"/>
          <w:color w:val="auto"/>
          <w:sz w:val="20"/>
          <w:szCs w:val="20"/>
          <w:lang w:eastAsia="zh-CN"/>
        </w:rPr>
      </w:pPr>
    </w:p>
    <w:tbl>
      <w:tblPr>
        <w:tblStyle w:val="5"/>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8"/>
        <w:gridCol w:w="2286"/>
        <w:gridCol w:w="701"/>
        <w:gridCol w:w="5420"/>
      </w:tblGrid>
      <w:tr w14:paraId="48513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2" w:type="pct"/>
            <w:tcBorders>
              <w:tl2br w:val="nil"/>
              <w:tr2bl w:val="nil"/>
            </w:tcBorders>
            <w:tcMar>
              <w:top w:w="0" w:type="dxa"/>
              <w:left w:w="105" w:type="dxa"/>
              <w:bottom w:w="0" w:type="dxa"/>
              <w:right w:w="105" w:type="dxa"/>
            </w:tcMar>
            <w:vAlign w:val="center"/>
          </w:tcPr>
          <w:p w14:paraId="216D1A2B">
            <w:pPr>
              <w:pStyle w:val="7"/>
              <w:jc w:val="center"/>
              <w:rPr>
                <w:rFonts w:hint="eastAsia" w:ascii="楷体" w:hAnsi="楷体" w:eastAsia="楷体" w:cs="楷体"/>
                <w:sz w:val="20"/>
                <w:szCs w:val="20"/>
              </w:rPr>
            </w:pPr>
            <w:r>
              <w:rPr>
                <w:rFonts w:ascii="楷体" w:hAnsi="楷体" w:eastAsia="楷体" w:cs="楷体"/>
                <w:sz w:val="20"/>
                <w:szCs w:val="20"/>
              </w:rPr>
              <w:t>序号</w:t>
            </w:r>
          </w:p>
        </w:tc>
        <w:tc>
          <w:tcPr>
            <w:tcW w:w="1266" w:type="pct"/>
            <w:tcBorders>
              <w:tl2br w:val="nil"/>
              <w:tr2bl w:val="nil"/>
            </w:tcBorders>
            <w:tcMar>
              <w:top w:w="0" w:type="dxa"/>
              <w:left w:w="105" w:type="dxa"/>
              <w:bottom w:w="0" w:type="dxa"/>
              <w:right w:w="105" w:type="dxa"/>
            </w:tcMar>
            <w:vAlign w:val="center"/>
          </w:tcPr>
          <w:p w14:paraId="7FD6B503">
            <w:pPr>
              <w:pStyle w:val="7"/>
              <w:jc w:val="center"/>
              <w:rPr>
                <w:rFonts w:hint="eastAsia" w:ascii="楷体" w:hAnsi="楷体" w:eastAsia="楷体" w:cs="楷体"/>
                <w:sz w:val="20"/>
                <w:szCs w:val="20"/>
              </w:rPr>
            </w:pPr>
            <w:r>
              <w:rPr>
                <w:rFonts w:ascii="楷体" w:hAnsi="楷体" w:eastAsia="楷体" w:cs="楷体"/>
                <w:sz w:val="20"/>
                <w:szCs w:val="20"/>
              </w:rPr>
              <w:t>设备品名</w:t>
            </w:r>
          </w:p>
        </w:tc>
        <w:tc>
          <w:tcPr>
            <w:tcW w:w="388" w:type="pct"/>
            <w:tcBorders>
              <w:tl2br w:val="nil"/>
              <w:tr2bl w:val="nil"/>
            </w:tcBorders>
            <w:tcMar>
              <w:top w:w="0" w:type="dxa"/>
              <w:left w:w="105" w:type="dxa"/>
              <w:bottom w:w="0" w:type="dxa"/>
              <w:right w:w="105" w:type="dxa"/>
            </w:tcMar>
            <w:vAlign w:val="center"/>
          </w:tcPr>
          <w:p w14:paraId="32F5540C">
            <w:pPr>
              <w:pStyle w:val="7"/>
              <w:jc w:val="center"/>
              <w:rPr>
                <w:rFonts w:hint="eastAsia" w:ascii="楷体" w:hAnsi="楷体" w:eastAsia="楷体" w:cs="楷体"/>
                <w:sz w:val="20"/>
                <w:szCs w:val="20"/>
              </w:rPr>
            </w:pPr>
            <w:r>
              <w:rPr>
                <w:rFonts w:ascii="楷体" w:hAnsi="楷体" w:eastAsia="楷体" w:cs="楷体"/>
                <w:sz w:val="20"/>
                <w:szCs w:val="20"/>
              </w:rPr>
              <w:t>数量</w:t>
            </w:r>
          </w:p>
        </w:tc>
        <w:tc>
          <w:tcPr>
            <w:tcW w:w="3002" w:type="pct"/>
            <w:tcBorders>
              <w:tl2br w:val="nil"/>
              <w:tr2bl w:val="nil"/>
            </w:tcBorders>
            <w:tcMar>
              <w:top w:w="0" w:type="dxa"/>
              <w:left w:w="105" w:type="dxa"/>
              <w:bottom w:w="0" w:type="dxa"/>
              <w:right w:w="105" w:type="dxa"/>
            </w:tcMar>
            <w:vAlign w:val="center"/>
          </w:tcPr>
          <w:p w14:paraId="0B118D4E">
            <w:pPr>
              <w:pStyle w:val="7"/>
              <w:jc w:val="center"/>
              <w:rPr>
                <w:rFonts w:hint="eastAsia" w:ascii="楷体" w:hAnsi="楷体" w:eastAsia="楷体" w:cs="楷体"/>
                <w:sz w:val="20"/>
                <w:szCs w:val="20"/>
              </w:rPr>
            </w:pPr>
            <w:r>
              <w:rPr>
                <w:rFonts w:ascii="楷体" w:hAnsi="楷体" w:eastAsia="楷体" w:cs="楷体"/>
                <w:sz w:val="20"/>
                <w:szCs w:val="20"/>
              </w:rPr>
              <w:t>运维服务</w:t>
            </w:r>
          </w:p>
        </w:tc>
      </w:tr>
      <w:tr w14:paraId="71F8C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9" w:hRule="atLeast"/>
          <w:jc w:val="center"/>
        </w:trPr>
        <w:tc>
          <w:tcPr>
            <w:tcW w:w="342" w:type="pct"/>
            <w:tcBorders>
              <w:tl2br w:val="nil"/>
              <w:tr2bl w:val="nil"/>
            </w:tcBorders>
            <w:tcMar>
              <w:top w:w="0" w:type="dxa"/>
              <w:left w:w="105" w:type="dxa"/>
              <w:bottom w:w="0" w:type="dxa"/>
              <w:right w:w="105" w:type="dxa"/>
            </w:tcMar>
            <w:vAlign w:val="center"/>
          </w:tcPr>
          <w:p w14:paraId="54690725">
            <w:pPr>
              <w:pStyle w:val="7"/>
              <w:jc w:val="center"/>
              <w:rPr>
                <w:rFonts w:hint="eastAsia" w:ascii="楷体" w:hAnsi="楷体" w:eastAsia="楷体" w:cs="楷体"/>
                <w:sz w:val="20"/>
                <w:szCs w:val="20"/>
              </w:rPr>
            </w:pPr>
            <w:r>
              <w:rPr>
                <w:rFonts w:ascii="楷体" w:hAnsi="楷体" w:eastAsia="楷体" w:cs="楷体"/>
                <w:sz w:val="20"/>
                <w:szCs w:val="20"/>
              </w:rPr>
              <w:t>1</w:t>
            </w:r>
          </w:p>
        </w:tc>
        <w:tc>
          <w:tcPr>
            <w:tcW w:w="1266" w:type="pct"/>
            <w:tcBorders>
              <w:tl2br w:val="nil"/>
              <w:tr2bl w:val="nil"/>
            </w:tcBorders>
            <w:tcMar>
              <w:top w:w="0" w:type="dxa"/>
              <w:left w:w="105" w:type="dxa"/>
              <w:bottom w:w="0" w:type="dxa"/>
              <w:right w:w="105" w:type="dxa"/>
            </w:tcMar>
            <w:vAlign w:val="center"/>
          </w:tcPr>
          <w:p w14:paraId="635DE3AF">
            <w:pPr>
              <w:pStyle w:val="7"/>
              <w:jc w:val="center"/>
              <w:rPr>
                <w:rFonts w:hint="eastAsia" w:ascii="楷体" w:hAnsi="楷体" w:eastAsia="楷体" w:cs="楷体"/>
                <w:sz w:val="20"/>
                <w:szCs w:val="20"/>
              </w:rPr>
            </w:pPr>
            <w:r>
              <w:rPr>
                <w:rFonts w:ascii="楷体" w:hAnsi="楷体" w:eastAsia="楷体" w:cs="楷体"/>
                <w:sz w:val="20"/>
                <w:szCs w:val="20"/>
              </w:rPr>
              <w:t>油气回收三项检测仪</w:t>
            </w:r>
          </w:p>
        </w:tc>
        <w:tc>
          <w:tcPr>
            <w:tcW w:w="388" w:type="pct"/>
            <w:tcBorders>
              <w:tl2br w:val="nil"/>
              <w:tr2bl w:val="nil"/>
            </w:tcBorders>
            <w:tcMar>
              <w:top w:w="0" w:type="dxa"/>
              <w:left w:w="105" w:type="dxa"/>
              <w:bottom w:w="0" w:type="dxa"/>
              <w:right w:w="105" w:type="dxa"/>
            </w:tcMar>
            <w:vAlign w:val="center"/>
          </w:tcPr>
          <w:p w14:paraId="3BC0E80D">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66D5AA59">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运维期限内对设备状态监测、保养清洁等，确保设备可正常使用，同时根据原厂对设备的要求，一年两次更换油封；进行1次的检测校准；如需维修及更换硬件费用另算。</w:t>
            </w:r>
          </w:p>
        </w:tc>
      </w:tr>
      <w:tr w14:paraId="4CFF2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jc w:val="center"/>
        </w:trPr>
        <w:tc>
          <w:tcPr>
            <w:tcW w:w="342" w:type="pct"/>
            <w:tcBorders>
              <w:tl2br w:val="nil"/>
              <w:tr2bl w:val="nil"/>
            </w:tcBorders>
            <w:tcMar>
              <w:top w:w="0" w:type="dxa"/>
              <w:left w:w="105" w:type="dxa"/>
              <w:bottom w:w="0" w:type="dxa"/>
              <w:right w:w="105" w:type="dxa"/>
            </w:tcMar>
            <w:vAlign w:val="center"/>
          </w:tcPr>
          <w:p w14:paraId="42B0383A">
            <w:pPr>
              <w:pStyle w:val="7"/>
              <w:jc w:val="center"/>
              <w:rPr>
                <w:rFonts w:hint="eastAsia" w:ascii="楷体" w:hAnsi="楷体" w:eastAsia="楷体" w:cs="楷体"/>
                <w:sz w:val="20"/>
                <w:szCs w:val="20"/>
              </w:rPr>
            </w:pPr>
            <w:r>
              <w:rPr>
                <w:rFonts w:ascii="楷体" w:hAnsi="楷体" w:eastAsia="楷体" w:cs="楷体"/>
                <w:sz w:val="20"/>
                <w:szCs w:val="20"/>
              </w:rPr>
              <w:t>2</w:t>
            </w:r>
          </w:p>
        </w:tc>
        <w:tc>
          <w:tcPr>
            <w:tcW w:w="1266" w:type="pct"/>
            <w:tcBorders>
              <w:tl2br w:val="nil"/>
              <w:tr2bl w:val="nil"/>
            </w:tcBorders>
            <w:tcMar>
              <w:top w:w="0" w:type="dxa"/>
              <w:left w:w="105" w:type="dxa"/>
              <w:bottom w:w="0" w:type="dxa"/>
              <w:right w:w="105" w:type="dxa"/>
            </w:tcMar>
            <w:vAlign w:val="center"/>
          </w:tcPr>
          <w:p w14:paraId="700D236D">
            <w:pPr>
              <w:pStyle w:val="7"/>
              <w:jc w:val="center"/>
              <w:rPr>
                <w:rFonts w:hint="eastAsia" w:ascii="楷体" w:hAnsi="楷体" w:eastAsia="楷体" w:cs="楷体"/>
                <w:sz w:val="20"/>
                <w:szCs w:val="20"/>
              </w:rPr>
            </w:pPr>
            <w:r>
              <w:rPr>
                <w:rFonts w:ascii="楷体" w:hAnsi="楷体" w:eastAsia="楷体" w:cs="楷体"/>
                <w:sz w:val="20"/>
                <w:szCs w:val="20"/>
              </w:rPr>
              <w:t>快检便携式水污染多参数在线分析仪试剂包</w:t>
            </w:r>
          </w:p>
        </w:tc>
        <w:tc>
          <w:tcPr>
            <w:tcW w:w="388" w:type="pct"/>
            <w:tcBorders>
              <w:tl2br w:val="nil"/>
              <w:tr2bl w:val="nil"/>
            </w:tcBorders>
            <w:tcMar>
              <w:top w:w="0" w:type="dxa"/>
              <w:left w:w="105" w:type="dxa"/>
              <w:bottom w:w="0" w:type="dxa"/>
              <w:right w:w="105" w:type="dxa"/>
            </w:tcMar>
            <w:vAlign w:val="center"/>
          </w:tcPr>
          <w:p w14:paraId="34B3E69E">
            <w:pPr>
              <w:pStyle w:val="7"/>
              <w:jc w:val="center"/>
              <w:rPr>
                <w:rFonts w:hint="eastAsia" w:ascii="楷体" w:hAnsi="楷体" w:eastAsia="楷体" w:cs="楷体"/>
                <w:sz w:val="20"/>
                <w:szCs w:val="20"/>
              </w:rPr>
            </w:pPr>
            <w:r>
              <w:rPr>
                <w:rFonts w:ascii="楷体" w:hAnsi="楷体" w:eastAsia="楷体" w:cs="楷体"/>
                <w:sz w:val="20"/>
                <w:szCs w:val="20"/>
              </w:rPr>
              <w:t>3</w:t>
            </w:r>
          </w:p>
        </w:tc>
        <w:tc>
          <w:tcPr>
            <w:tcW w:w="3002" w:type="pct"/>
            <w:tcBorders>
              <w:tl2br w:val="nil"/>
              <w:tr2bl w:val="nil"/>
            </w:tcBorders>
            <w:tcMar>
              <w:top w:w="0" w:type="dxa"/>
              <w:left w:w="105" w:type="dxa"/>
              <w:bottom w:w="0" w:type="dxa"/>
              <w:right w:w="105" w:type="dxa"/>
            </w:tcMar>
            <w:vAlign w:val="center"/>
          </w:tcPr>
          <w:p w14:paraId="7C8475B2">
            <w:pPr>
              <w:pStyle w:val="7"/>
              <w:jc w:val="both"/>
              <w:rPr>
                <w:rFonts w:hint="eastAsia" w:ascii="楷体" w:hAnsi="楷体" w:eastAsia="楷体" w:cs="楷体"/>
                <w:sz w:val="20"/>
                <w:szCs w:val="20"/>
              </w:rPr>
            </w:pPr>
            <w:r>
              <w:rPr>
                <w:rFonts w:ascii="楷体" w:hAnsi="楷体" w:eastAsia="楷体" w:cs="楷体"/>
                <w:sz w:val="20"/>
                <w:szCs w:val="20"/>
              </w:rPr>
              <w:t>设备在使用过程中需要的耗材在运维期内，按需补充。</w:t>
            </w:r>
          </w:p>
        </w:tc>
      </w:tr>
      <w:tr w14:paraId="0CB90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atLeast"/>
          <w:jc w:val="center"/>
        </w:trPr>
        <w:tc>
          <w:tcPr>
            <w:tcW w:w="342" w:type="pct"/>
            <w:tcBorders>
              <w:tl2br w:val="nil"/>
              <w:tr2bl w:val="nil"/>
            </w:tcBorders>
            <w:tcMar>
              <w:top w:w="0" w:type="dxa"/>
              <w:left w:w="105" w:type="dxa"/>
              <w:bottom w:w="0" w:type="dxa"/>
              <w:right w:w="105" w:type="dxa"/>
            </w:tcMar>
            <w:vAlign w:val="center"/>
          </w:tcPr>
          <w:p w14:paraId="02B00C31">
            <w:pPr>
              <w:pStyle w:val="7"/>
              <w:jc w:val="center"/>
              <w:rPr>
                <w:rFonts w:hint="eastAsia" w:ascii="楷体" w:hAnsi="楷体" w:eastAsia="楷体" w:cs="楷体"/>
                <w:sz w:val="20"/>
                <w:szCs w:val="20"/>
              </w:rPr>
            </w:pPr>
            <w:r>
              <w:rPr>
                <w:rFonts w:ascii="楷体" w:hAnsi="楷体" w:eastAsia="楷体" w:cs="楷体"/>
                <w:sz w:val="20"/>
                <w:szCs w:val="20"/>
              </w:rPr>
              <w:t>3</w:t>
            </w:r>
          </w:p>
        </w:tc>
        <w:tc>
          <w:tcPr>
            <w:tcW w:w="1266" w:type="pct"/>
            <w:tcBorders>
              <w:tl2br w:val="nil"/>
              <w:tr2bl w:val="nil"/>
            </w:tcBorders>
            <w:tcMar>
              <w:top w:w="0" w:type="dxa"/>
              <w:left w:w="105" w:type="dxa"/>
              <w:bottom w:w="0" w:type="dxa"/>
              <w:right w:w="105" w:type="dxa"/>
            </w:tcMar>
            <w:vAlign w:val="center"/>
          </w:tcPr>
          <w:p w14:paraId="515C1FB2">
            <w:pPr>
              <w:pStyle w:val="7"/>
              <w:jc w:val="center"/>
              <w:rPr>
                <w:rFonts w:hint="eastAsia" w:ascii="楷体" w:hAnsi="楷体" w:eastAsia="楷体" w:cs="楷体"/>
                <w:sz w:val="20"/>
                <w:szCs w:val="20"/>
              </w:rPr>
            </w:pPr>
            <w:r>
              <w:rPr>
                <w:rFonts w:ascii="楷体" w:hAnsi="楷体" w:eastAsia="楷体" w:cs="楷体"/>
                <w:sz w:val="20"/>
                <w:szCs w:val="20"/>
              </w:rPr>
              <w:t>手持式光离子化检测仪(PID)</w:t>
            </w:r>
          </w:p>
        </w:tc>
        <w:tc>
          <w:tcPr>
            <w:tcW w:w="388" w:type="pct"/>
            <w:tcBorders>
              <w:tl2br w:val="nil"/>
              <w:tr2bl w:val="nil"/>
            </w:tcBorders>
            <w:tcMar>
              <w:top w:w="0" w:type="dxa"/>
              <w:left w:w="105" w:type="dxa"/>
              <w:bottom w:w="0" w:type="dxa"/>
              <w:right w:w="105" w:type="dxa"/>
            </w:tcMar>
            <w:vAlign w:val="center"/>
          </w:tcPr>
          <w:p w14:paraId="0B9004AA">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183AEF0A">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运维期限内对设备状态监测、保养清洁等，确保设备可正常使用；根据原厂对设备的要求进行1次的检测校准；如需维修及更换硬件费用另算。</w:t>
            </w:r>
          </w:p>
        </w:tc>
      </w:tr>
      <w:tr w14:paraId="4DEE1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0" w:hRule="atLeast"/>
          <w:jc w:val="center"/>
        </w:trPr>
        <w:tc>
          <w:tcPr>
            <w:tcW w:w="342" w:type="pct"/>
            <w:tcBorders>
              <w:tl2br w:val="nil"/>
              <w:tr2bl w:val="nil"/>
            </w:tcBorders>
            <w:tcMar>
              <w:top w:w="0" w:type="dxa"/>
              <w:left w:w="105" w:type="dxa"/>
              <w:bottom w:w="0" w:type="dxa"/>
              <w:right w:w="105" w:type="dxa"/>
            </w:tcMar>
            <w:vAlign w:val="center"/>
          </w:tcPr>
          <w:p w14:paraId="652867AC">
            <w:pPr>
              <w:pStyle w:val="7"/>
              <w:jc w:val="center"/>
              <w:rPr>
                <w:rFonts w:hint="eastAsia" w:ascii="楷体" w:hAnsi="楷体" w:eastAsia="楷体" w:cs="楷体"/>
                <w:sz w:val="20"/>
                <w:szCs w:val="20"/>
              </w:rPr>
            </w:pPr>
            <w:r>
              <w:rPr>
                <w:rFonts w:ascii="楷体" w:hAnsi="楷体" w:eastAsia="楷体" w:cs="楷体"/>
                <w:sz w:val="20"/>
                <w:szCs w:val="20"/>
              </w:rPr>
              <w:t>4</w:t>
            </w:r>
          </w:p>
        </w:tc>
        <w:tc>
          <w:tcPr>
            <w:tcW w:w="1266" w:type="pct"/>
            <w:tcBorders>
              <w:tl2br w:val="nil"/>
              <w:tr2bl w:val="nil"/>
            </w:tcBorders>
            <w:tcMar>
              <w:top w:w="0" w:type="dxa"/>
              <w:left w:w="105" w:type="dxa"/>
              <w:bottom w:w="0" w:type="dxa"/>
              <w:right w:w="105" w:type="dxa"/>
            </w:tcMar>
            <w:vAlign w:val="center"/>
          </w:tcPr>
          <w:p w14:paraId="3D455CFD">
            <w:pPr>
              <w:pStyle w:val="7"/>
              <w:jc w:val="center"/>
              <w:rPr>
                <w:rFonts w:hint="eastAsia" w:ascii="楷体" w:hAnsi="楷体" w:eastAsia="楷体" w:cs="楷体"/>
                <w:sz w:val="20"/>
                <w:szCs w:val="20"/>
              </w:rPr>
            </w:pPr>
            <w:r>
              <w:rPr>
                <w:rFonts w:ascii="楷体" w:hAnsi="楷体" w:eastAsia="楷体" w:cs="楷体"/>
                <w:sz w:val="20"/>
                <w:szCs w:val="20"/>
              </w:rPr>
              <w:t>移动执法包</w:t>
            </w:r>
          </w:p>
        </w:tc>
        <w:tc>
          <w:tcPr>
            <w:tcW w:w="388" w:type="pct"/>
            <w:tcBorders>
              <w:tl2br w:val="nil"/>
              <w:tr2bl w:val="nil"/>
            </w:tcBorders>
            <w:tcMar>
              <w:top w:w="0" w:type="dxa"/>
              <w:left w:w="105" w:type="dxa"/>
              <w:bottom w:w="0" w:type="dxa"/>
              <w:right w:w="105" w:type="dxa"/>
            </w:tcMar>
            <w:vAlign w:val="center"/>
          </w:tcPr>
          <w:p w14:paraId="2865D627">
            <w:pPr>
              <w:pStyle w:val="7"/>
              <w:jc w:val="center"/>
              <w:rPr>
                <w:rFonts w:hint="eastAsia" w:ascii="楷体" w:hAnsi="楷体" w:eastAsia="楷体" w:cs="楷体"/>
                <w:sz w:val="20"/>
                <w:szCs w:val="20"/>
              </w:rPr>
            </w:pPr>
            <w:r>
              <w:rPr>
                <w:rFonts w:ascii="楷体" w:hAnsi="楷体" w:eastAsia="楷体" w:cs="楷体"/>
                <w:sz w:val="20"/>
                <w:szCs w:val="20"/>
              </w:rPr>
              <w:t>20</w:t>
            </w:r>
          </w:p>
        </w:tc>
        <w:tc>
          <w:tcPr>
            <w:tcW w:w="3002" w:type="pct"/>
            <w:tcBorders>
              <w:tl2br w:val="nil"/>
              <w:tr2bl w:val="nil"/>
            </w:tcBorders>
            <w:tcMar>
              <w:top w:w="0" w:type="dxa"/>
              <w:left w:w="105" w:type="dxa"/>
              <w:bottom w:w="0" w:type="dxa"/>
              <w:right w:w="105" w:type="dxa"/>
            </w:tcMar>
            <w:vAlign w:val="center"/>
          </w:tcPr>
          <w:p w14:paraId="2451D344">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运维期限内对设备状态监测、保养清洁等，确保设备可正常使用；对打印机重点墨盒不定期更换，确保打印设备可正常使用，如需维修及更换硬件费用另算。</w:t>
            </w:r>
          </w:p>
        </w:tc>
      </w:tr>
      <w:tr w14:paraId="66094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342" w:type="pct"/>
            <w:tcBorders>
              <w:tl2br w:val="nil"/>
              <w:tr2bl w:val="nil"/>
            </w:tcBorders>
            <w:tcMar>
              <w:top w:w="0" w:type="dxa"/>
              <w:left w:w="105" w:type="dxa"/>
              <w:bottom w:w="0" w:type="dxa"/>
              <w:right w:w="105" w:type="dxa"/>
            </w:tcMar>
            <w:vAlign w:val="center"/>
          </w:tcPr>
          <w:p w14:paraId="34811610">
            <w:pPr>
              <w:pStyle w:val="7"/>
              <w:jc w:val="center"/>
              <w:rPr>
                <w:rFonts w:hint="eastAsia" w:ascii="楷体" w:hAnsi="楷体" w:eastAsia="楷体" w:cs="楷体"/>
                <w:sz w:val="20"/>
                <w:szCs w:val="20"/>
              </w:rPr>
            </w:pPr>
            <w:r>
              <w:rPr>
                <w:rFonts w:ascii="楷体" w:hAnsi="楷体" w:eastAsia="楷体" w:cs="楷体"/>
                <w:sz w:val="20"/>
                <w:szCs w:val="20"/>
              </w:rPr>
              <w:t>5</w:t>
            </w:r>
          </w:p>
        </w:tc>
        <w:tc>
          <w:tcPr>
            <w:tcW w:w="1266" w:type="pct"/>
            <w:tcBorders>
              <w:tl2br w:val="nil"/>
              <w:tr2bl w:val="nil"/>
            </w:tcBorders>
            <w:tcMar>
              <w:top w:w="0" w:type="dxa"/>
              <w:left w:w="105" w:type="dxa"/>
              <w:bottom w:w="0" w:type="dxa"/>
              <w:right w:w="105" w:type="dxa"/>
            </w:tcMar>
            <w:vAlign w:val="center"/>
          </w:tcPr>
          <w:p w14:paraId="0521AE24">
            <w:pPr>
              <w:pStyle w:val="7"/>
              <w:jc w:val="center"/>
              <w:rPr>
                <w:rFonts w:hint="eastAsia" w:ascii="楷体" w:hAnsi="楷体" w:eastAsia="楷体" w:cs="楷体"/>
                <w:sz w:val="20"/>
                <w:szCs w:val="20"/>
              </w:rPr>
            </w:pPr>
            <w:r>
              <w:rPr>
                <w:rFonts w:ascii="楷体" w:hAnsi="楷体" w:eastAsia="楷体" w:cs="楷体"/>
                <w:sz w:val="20"/>
                <w:szCs w:val="20"/>
              </w:rPr>
              <w:t>便携式水污染多参数在线分析仪</w:t>
            </w:r>
          </w:p>
        </w:tc>
        <w:tc>
          <w:tcPr>
            <w:tcW w:w="388" w:type="pct"/>
            <w:tcBorders>
              <w:tl2br w:val="nil"/>
              <w:tr2bl w:val="nil"/>
            </w:tcBorders>
            <w:tcMar>
              <w:top w:w="0" w:type="dxa"/>
              <w:left w:w="105" w:type="dxa"/>
              <w:bottom w:w="0" w:type="dxa"/>
              <w:right w:w="105" w:type="dxa"/>
            </w:tcMar>
            <w:vAlign w:val="center"/>
          </w:tcPr>
          <w:p w14:paraId="1E21AC61">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0C936578">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运维期限内对设备状态监测、保养清洁等，确保设备可正常使用；根据原厂对设备的要求进行1次的检测校准；如需维修及更换硬件费用另算。</w:t>
            </w:r>
          </w:p>
        </w:tc>
      </w:tr>
      <w:tr w14:paraId="6D81E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42" w:type="pct"/>
            <w:tcBorders>
              <w:tl2br w:val="nil"/>
              <w:tr2bl w:val="nil"/>
            </w:tcBorders>
            <w:tcMar>
              <w:top w:w="0" w:type="dxa"/>
              <w:left w:w="105" w:type="dxa"/>
              <w:bottom w:w="0" w:type="dxa"/>
              <w:right w:w="105" w:type="dxa"/>
            </w:tcMar>
            <w:vAlign w:val="center"/>
          </w:tcPr>
          <w:p w14:paraId="02794552">
            <w:pPr>
              <w:pStyle w:val="7"/>
              <w:jc w:val="center"/>
              <w:rPr>
                <w:rFonts w:hint="eastAsia" w:ascii="楷体" w:hAnsi="楷体" w:eastAsia="楷体" w:cs="楷体"/>
                <w:sz w:val="20"/>
                <w:szCs w:val="20"/>
              </w:rPr>
            </w:pPr>
            <w:r>
              <w:rPr>
                <w:rFonts w:ascii="楷体" w:hAnsi="楷体" w:eastAsia="楷体" w:cs="楷体"/>
                <w:sz w:val="20"/>
                <w:szCs w:val="20"/>
              </w:rPr>
              <w:t>6</w:t>
            </w:r>
          </w:p>
        </w:tc>
        <w:tc>
          <w:tcPr>
            <w:tcW w:w="1266" w:type="pct"/>
            <w:tcBorders>
              <w:tl2br w:val="nil"/>
              <w:tr2bl w:val="nil"/>
            </w:tcBorders>
            <w:tcMar>
              <w:top w:w="0" w:type="dxa"/>
              <w:left w:w="105" w:type="dxa"/>
              <w:bottom w:w="0" w:type="dxa"/>
              <w:right w:w="105" w:type="dxa"/>
            </w:tcMar>
            <w:vAlign w:val="center"/>
          </w:tcPr>
          <w:p w14:paraId="7A10AC95">
            <w:pPr>
              <w:pStyle w:val="7"/>
              <w:jc w:val="center"/>
              <w:rPr>
                <w:rFonts w:hint="eastAsia" w:ascii="楷体" w:hAnsi="楷体" w:eastAsia="楷体" w:cs="楷体"/>
                <w:sz w:val="20"/>
                <w:szCs w:val="20"/>
              </w:rPr>
            </w:pPr>
            <w:r>
              <w:rPr>
                <w:rFonts w:ascii="楷体" w:hAnsi="楷体" w:eastAsia="楷体" w:cs="楷体"/>
                <w:sz w:val="20"/>
                <w:szCs w:val="20"/>
              </w:rPr>
              <w:t>便携式水污染多参数分析仪</w:t>
            </w:r>
          </w:p>
        </w:tc>
        <w:tc>
          <w:tcPr>
            <w:tcW w:w="388" w:type="pct"/>
            <w:tcBorders>
              <w:tl2br w:val="nil"/>
              <w:tr2bl w:val="nil"/>
            </w:tcBorders>
            <w:tcMar>
              <w:top w:w="0" w:type="dxa"/>
              <w:left w:w="105" w:type="dxa"/>
              <w:bottom w:w="0" w:type="dxa"/>
              <w:right w:w="105" w:type="dxa"/>
            </w:tcMar>
            <w:vAlign w:val="center"/>
          </w:tcPr>
          <w:p w14:paraId="14F6A172">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00EF73AC">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运维期限内对设备状态监测、保养清洁等，确保设备可正常使用；根据原厂对设备的要求进行1次的检测校准；如需维修及更换硬件费用另算。</w:t>
            </w:r>
          </w:p>
        </w:tc>
      </w:tr>
      <w:tr w14:paraId="6E342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5" w:hRule="atLeast"/>
          <w:jc w:val="center"/>
        </w:trPr>
        <w:tc>
          <w:tcPr>
            <w:tcW w:w="342" w:type="pct"/>
            <w:tcBorders>
              <w:tl2br w:val="nil"/>
              <w:tr2bl w:val="nil"/>
            </w:tcBorders>
            <w:tcMar>
              <w:top w:w="0" w:type="dxa"/>
              <w:left w:w="105" w:type="dxa"/>
              <w:bottom w:w="0" w:type="dxa"/>
              <w:right w:w="105" w:type="dxa"/>
            </w:tcMar>
            <w:vAlign w:val="center"/>
          </w:tcPr>
          <w:p w14:paraId="3369C0F9">
            <w:pPr>
              <w:pStyle w:val="7"/>
              <w:jc w:val="center"/>
              <w:rPr>
                <w:rFonts w:hint="eastAsia" w:ascii="楷体" w:hAnsi="楷体" w:eastAsia="楷体" w:cs="楷体"/>
                <w:sz w:val="20"/>
                <w:szCs w:val="20"/>
              </w:rPr>
            </w:pPr>
            <w:r>
              <w:rPr>
                <w:rFonts w:ascii="楷体" w:hAnsi="楷体" w:eastAsia="楷体" w:cs="楷体"/>
                <w:sz w:val="20"/>
                <w:szCs w:val="20"/>
              </w:rPr>
              <w:t>7</w:t>
            </w:r>
          </w:p>
        </w:tc>
        <w:tc>
          <w:tcPr>
            <w:tcW w:w="1266" w:type="pct"/>
            <w:tcBorders>
              <w:tl2br w:val="nil"/>
              <w:tr2bl w:val="nil"/>
            </w:tcBorders>
            <w:tcMar>
              <w:top w:w="0" w:type="dxa"/>
              <w:left w:w="105" w:type="dxa"/>
              <w:bottom w:w="0" w:type="dxa"/>
              <w:right w:w="105" w:type="dxa"/>
            </w:tcMar>
            <w:vAlign w:val="center"/>
          </w:tcPr>
          <w:p w14:paraId="3FA92D9F">
            <w:pPr>
              <w:pStyle w:val="7"/>
              <w:jc w:val="center"/>
              <w:rPr>
                <w:rFonts w:hint="eastAsia" w:ascii="楷体" w:hAnsi="楷体" w:eastAsia="楷体" w:cs="楷体"/>
                <w:sz w:val="20"/>
                <w:szCs w:val="20"/>
              </w:rPr>
            </w:pPr>
            <w:r>
              <w:rPr>
                <w:rFonts w:ascii="楷体" w:hAnsi="楷体" w:eastAsia="楷体" w:cs="楷体"/>
                <w:sz w:val="20"/>
                <w:szCs w:val="20"/>
              </w:rPr>
              <w:t>红外摄像机</w:t>
            </w:r>
          </w:p>
        </w:tc>
        <w:tc>
          <w:tcPr>
            <w:tcW w:w="388" w:type="pct"/>
            <w:tcBorders>
              <w:tl2br w:val="nil"/>
              <w:tr2bl w:val="nil"/>
            </w:tcBorders>
            <w:tcMar>
              <w:top w:w="0" w:type="dxa"/>
              <w:left w:w="105" w:type="dxa"/>
              <w:bottom w:w="0" w:type="dxa"/>
              <w:right w:w="105" w:type="dxa"/>
            </w:tcMar>
            <w:vAlign w:val="center"/>
          </w:tcPr>
          <w:p w14:paraId="40E0E21A">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1CB0350A">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运维期限内对设备状态监测、保养清洁等，确保设备可正常使用；如需维修及更换硬件费用另算。</w:t>
            </w:r>
          </w:p>
        </w:tc>
      </w:tr>
      <w:tr w14:paraId="27E26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342" w:type="pct"/>
            <w:tcBorders>
              <w:tl2br w:val="nil"/>
              <w:tr2bl w:val="nil"/>
            </w:tcBorders>
            <w:tcMar>
              <w:top w:w="0" w:type="dxa"/>
              <w:left w:w="105" w:type="dxa"/>
              <w:bottom w:w="0" w:type="dxa"/>
              <w:right w:w="105" w:type="dxa"/>
            </w:tcMar>
            <w:vAlign w:val="center"/>
          </w:tcPr>
          <w:p w14:paraId="4D1E2BFE">
            <w:pPr>
              <w:pStyle w:val="7"/>
              <w:jc w:val="center"/>
              <w:rPr>
                <w:rFonts w:hint="eastAsia" w:ascii="楷体" w:hAnsi="楷体" w:eastAsia="楷体" w:cs="楷体"/>
                <w:sz w:val="20"/>
                <w:szCs w:val="20"/>
              </w:rPr>
            </w:pPr>
            <w:r>
              <w:rPr>
                <w:rFonts w:ascii="楷体" w:hAnsi="楷体" w:eastAsia="楷体" w:cs="楷体"/>
                <w:sz w:val="20"/>
                <w:szCs w:val="20"/>
              </w:rPr>
              <w:t>8</w:t>
            </w:r>
          </w:p>
        </w:tc>
        <w:tc>
          <w:tcPr>
            <w:tcW w:w="1266" w:type="pct"/>
            <w:tcBorders>
              <w:tl2br w:val="nil"/>
              <w:tr2bl w:val="nil"/>
            </w:tcBorders>
            <w:tcMar>
              <w:top w:w="0" w:type="dxa"/>
              <w:left w:w="105" w:type="dxa"/>
              <w:bottom w:w="0" w:type="dxa"/>
              <w:right w:w="105" w:type="dxa"/>
            </w:tcMar>
            <w:vAlign w:val="center"/>
          </w:tcPr>
          <w:p w14:paraId="2A8C1C32">
            <w:pPr>
              <w:pStyle w:val="7"/>
              <w:jc w:val="center"/>
              <w:rPr>
                <w:rFonts w:hint="eastAsia" w:ascii="楷体" w:hAnsi="楷体" w:eastAsia="楷体" w:cs="楷体"/>
                <w:sz w:val="20"/>
                <w:szCs w:val="20"/>
              </w:rPr>
            </w:pPr>
            <w:r>
              <w:rPr>
                <w:rFonts w:ascii="楷体" w:hAnsi="楷体" w:eastAsia="楷体" w:cs="楷体"/>
                <w:sz w:val="20"/>
                <w:szCs w:val="20"/>
              </w:rPr>
              <w:t>采样设备</w:t>
            </w:r>
          </w:p>
        </w:tc>
        <w:tc>
          <w:tcPr>
            <w:tcW w:w="388" w:type="pct"/>
            <w:tcBorders>
              <w:tl2br w:val="nil"/>
              <w:tr2bl w:val="nil"/>
            </w:tcBorders>
            <w:tcMar>
              <w:top w:w="0" w:type="dxa"/>
              <w:left w:w="105" w:type="dxa"/>
              <w:bottom w:w="0" w:type="dxa"/>
              <w:right w:w="105" w:type="dxa"/>
            </w:tcMar>
            <w:vAlign w:val="center"/>
          </w:tcPr>
          <w:p w14:paraId="090810F1">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71200F95">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运维期限内对设备状态监测、保养清洁等，确保设备可正常使用；按需进行校准；</w:t>
            </w:r>
          </w:p>
        </w:tc>
      </w:tr>
      <w:tr w14:paraId="264BA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6" w:hRule="atLeast"/>
          <w:jc w:val="center"/>
        </w:trPr>
        <w:tc>
          <w:tcPr>
            <w:tcW w:w="342" w:type="pct"/>
            <w:tcBorders>
              <w:tl2br w:val="nil"/>
              <w:tr2bl w:val="nil"/>
            </w:tcBorders>
            <w:tcMar>
              <w:top w:w="0" w:type="dxa"/>
              <w:left w:w="105" w:type="dxa"/>
              <w:bottom w:w="0" w:type="dxa"/>
              <w:right w:w="105" w:type="dxa"/>
            </w:tcMar>
            <w:vAlign w:val="center"/>
          </w:tcPr>
          <w:p w14:paraId="1E7E4211">
            <w:pPr>
              <w:pStyle w:val="7"/>
              <w:jc w:val="center"/>
              <w:rPr>
                <w:rFonts w:hint="eastAsia" w:ascii="楷体" w:hAnsi="楷体" w:eastAsia="楷体" w:cs="楷体"/>
                <w:sz w:val="20"/>
                <w:szCs w:val="20"/>
              </w:rPr>
            </w:pPr>
            <w:r>
              <w:rPr>
                <w:rFonts w:ascii="楷体" w:hAnsi="楷体" w:eastAsia="楷体" w:cs="楷体"/>
                <w:sz w:val="20"/>
                <w:szCs w:val="20"/>
              </w:rPr>
              <w:t>9</w:t>
            </w:r>
          </w:p>
        </w:tc>
        <w:tc>
          <w:tcPr>
            <w:tcW w:w="1266" w:type="pct"/>
            <w:tcBorders>
              <w:tl2br w:val="nil"/>
              <w:tr2bl w:val="nil"/>
            </w:tcBorders>
            <w:tcMar>
              <w:top w:w="0" w:type="dxa"/>
              <w:left w:w="105" w:type="dxa"/>
              <w:bottom w:w="0" w:type="dxa"/>
              <w:right w:w="105" w:type="dxa"/>
            </w:tcMar>
            <w:vAlign w:val="center"/>
          </w:tcPr>
          <w:p w14:paraId="3349DC9E">
            <w:pPr>
              <w:pStyle w:val="7"/>
              <w:jc w:val="center"/>
              <w:rPr>
                <w:rFonts w:hint="eastAsia" w:ascii="楷体" w:hAnsi="楷体" w:eastAsia="楷体" w:cs="楷体"/>
                <w:sz w:val="20"/>
                <w:szCs w:val="20"/>
              </w:rPr>
            </w:pPr>
            <w:r>
              <w:rPr>
                <w:rFonts w:ascii="楷体" w:hAnsi="楷体" w:eastAsia="楷体" w:cs="楷体"/>
                <w:sz w:val="20"/>
                <w:szCs w:val="20"/>
              </w:rPr>
              <w:t>流量计</w:t>
            </w:r>
          </w:p>
        </w:tc>
        <w:tc>
          <w:tcPr>
            <w:tcW w:w="388" w:type="pct"/>
            <w:tcBorders>
              <w:tl2br w:val="nil"/>
              <w:tr2bl w:val="nil"/>
            </w:tcBorders>
            <w:tcMar>
              <w:top w:w="0" w:type="dxa"/>
              <w:left w:w="105" w:type="dxa"/>
              <w:bottom w:w="0" w:type="dxa"/>
              <w:right w:w="105" w:type="dxa"/>
            </w:tcMar>
            <w:vAlign w:val="center"/>
          </w:tcPr>
          <w:p w14:paraId="075972C1">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34A99E7C">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运维期限内对设备状态监测、保养清洁等，确保设备可正常使用；根据原厂对设备的要求进行1次的检测校准；如需维修及更换硬件费用另算。</w:t>
            </w:r>
          </w:p>
        </w:tc>
      </w:tr>
      <w:tr w14:paraId="5C6C8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342" w:type="pct"/>
            <w:tcBorders>
              <w:tl2br w:val="nil"/>
              <w:tr2bl w:val="nil"/>
            </w:tcBorders>
            <w:tcMar>
              <w:top w:w="0" w:type="dxa"/>
              <w:left w:w="105" w:type="dxa"/>
              <w:bottom w:w="0" w:type="dxa"/>
              <w:right w:w="105" w:type="dxa"/>
            </w:tcMar>
            <w:vAlign w:val="center"/>
          </w:tcPr>
          <w:p w14:paraId="595D3824">
            <w:pPr>
              <w:pStyle w:val="7"/>
              <w:jc w:val="center"/>
              <w:rPr>
                <w:rFonts w:hint="eastAsia" w:ascii="楷体" w:hAnsi="楷体" w:eastAsia="楷体" w:cs="楷体"/>
                <w:sz w:val="20"/>
                <w:szCs w:val="20"/>
              </w:rPr>
            </w:pPr>
            <w:r>
              <w:rPr>
                <w:rFonts w:ascii="楷体" w:hAnsi="楷体" w:eastAsia="楷体" w:cs="楷体"/>
                <w:sz w:val="20"/>
                <w:szCs w:val="20"/>
              </w:rPr>
              <w:t>10</w:t>
            </w:r>
          </w:p>
        </w:tc>
        <w:tc>
          <w:tcPr>
            <w:tcW w:w="1266" w:type="pct"/>
            <w:tcBorders>
              <w:tl2br w:val="nil"/>
              <w:tr2bl w:val="nil"/>
            </w:tcBorders>
            <w:tcMar>
              <w:top w:w="0" w:type="dxa"/>
              <w:left w:w="105" w:type="dxa"/>
              <w:bottom w:w="0" w:type="dxa"/>
              <w:right w:w="105" w:type="dxa"/>
            </w:tcMar>
            <w:vAlign w:val="center"/>
          </w:tcPr>
          <w:p w14:paraId="416D964A">
            <w:pPr>
              <w:pStyle w:val="7"/>
              <w:jc w:val="center"/>
              <w:rPr>
                <w:rFonts w:hint="eastAsia" w:ascii="楷体" w:hAnsi="楷体" w:eastAsia="楷体" w:cs="楷体"/>
                <w:sz w:val="20"/>
                <w:szCs w:val="20"/>
              </w:rPr>
            </w:pPr>
            <w:r>
              <w:rPr>
                <w:rFonts w:ascii="楷体" w:hAnsi="楷体" w:eastAsia="楷体" w:cs="楷体"/>
                <w:sz w:val="20"/>
                <w:szCs w:val="20"/>
              </w:rPr>
              <w:t>测距仪</w:t>
            </w:r>
          </w:p>
        </w:tc>
        <w:tc>
          <w:tcPr>
            <w:tcW w:w="388" w:type="pct"/>
            <w:tcBorders>
              <w:tl2br w:val="nil"/>
              <w:tr2bl w:val="nil"/>
            </w:tcBorders>
            <w:tcMar>
              <w:top w:w="0" w:type="dxa"/>
              <w:left w:w="105" w:type="dxa"/>
              <w:bottom w:w="0" w:type="dxa"/>
              <w:right w:w="105" w:type="dxa"/>
            </w:tcMar>
            <w:vAlign w:val="center"/>
          </w:tcPr>
          <w:p w14:paraId="5D95C24A">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3D3E9627">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运维期限内对设备状态监测、保养清洁等，确保设备可正常使用；按需进行校准；如需维修及更换硬件费用另算。</w:t>
            </w:r>
          </w:p>
        </w:tc>
      </w:tr>
      <w:tr w14:paraId="4796A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6" w:hRule="atLeast"/>
          <w:jc w:val="center"/>
        </w:trPr>
        <w:tc>
          <w:tcPr>
            <w:tcW w:w="342" w:type="pct"/>
            <w:tcBorders>
              <w:tl2br w:val="nil"/>
              <w:tr2bl w:val="nil"/>
            </w:tcBorders>
            <w:tcMar>
              <w:top w:w="0" w:type="dxa"/>
              <w:left w:w="105" w:type="dxa"/>
              <w:bottom w:w="0" w:type="dxa"/>
              <w:right w:w="105" w:type="dxa"/>
            </w:tcMar>
            <w:vAlign w:val="center"/>
          </w:tcPr>
          <w:p w14:paraId="717CCE32">
            <w:pPr>
              <w:pStyle w:val="7"/>
              <w:jc w:val="center"/>
              <w:rPr>
                <w:rFonts w:hint="eastAsia" w:ascii="楷体" w:hAnsi="楷体" w:eastAsia="楷体" w:cs="楷体"/>
                <w:sz w:val="20"/>
                <w:szCs w:val="20"/>
              </w:rPr>
            </w:pPr>
            <w:r>
              <w:rPr>
                <w:rFonts w:ascii="楷体" w:hAnsi="楷体" w:eastAsia="楷体" w:cs="楷体"/>
                <w:sz w:val="20"/>
                <w:szCs w:val="20"/>
              </w:rPr>
              <w:t>11</w:t>
            </w:r>
          </w:p>
        </w:tc>
        <w:tc>
          <w:tcPr>
            <w:tcW w:w="1266" w:type="pct"/>
            <w:tcBorders>
              <w:tl2br w:val="nil"/>
              <w:tr2bl w:val="nil"/>
            </w:tcBorders>
            <w:tcMar>
              <w:top w:w="0" w:type="dxa"/>
              <w:left w:w="105" w:type="dxa"/>
              <w:bottom w:w="0" w:type="dxa"/>
              <w:right w:w="105" w:type="dxa"/>
            </w:tcMar>
            <w:vAlign w:val="center"/>
          </w:tcPr>
          <w:p w14:paraId="6AF96BCD">
            <w:pPr>
              <w:pStyle w:val="7"/>
              <w:jc w:val="center"/>
              <w:rPr>
                <w:rFonts w:hint="eastAsia" w:ascii="楷体" w:hAnsi="楷体" w:eastAsia="楷体" w:cs="楷体"/>
                <w:sz w:val="20"/>
                <w:szCs w:val="20"/>
              </w:rPr>
            </w:pPr>
            <w:r>
              <w:rPr>
                <w:rFonts w:ascii="楷体" w:hAnsi="楷体" w:eastAsia="楷体" w:cs="楷体"/>
                <w:sz w:val="20"/>
                <w:szCs w:val="20"/>
              </w:rPr>
              <w:t>热球式风速仪</w:t>
            </w:r>
          </w:p>
        </w:tc>
        <w:tc>
          <w:tcPr>
            <w:tcW w:w="388" w:type="pct"/>
            <w:tcBorders>
              <w:tl2br w:val="nil"/>
              <w:tr2bl w:val="nil"/>
            </w:tcBorders>
            <w:tcMar>
              <w:top w:w="0" w:type="dxa"/>
              <w:left w:w="105" w:type="dxa"/>
              <w:bottom w:w="0" w:type="dxa"/>
              <w:right w:w="105" w:type="dxa"/>
            </w:tcMar>
            <w:vAlign w:val="center"/>
          </w:tcPr>
          <w:p w14:paraId="7050FE71">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69EC6257">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运维期限内对设备状态监测、保养清洁等，确保设备可正常使用；根据原厂对设备的要求进行1次的检测校准；如需维修及更换硬件费用另算。</w:t>
            </w:r>
          </w:p>
        </w:tc>
      </w:tr>
      <w:tr w14:paraId="043E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jc w:val="center"/>
        </w:trPr>
        <w:tc>
          <w:tcPr>
            <w:tcW w:w="342" w:type="pct"/>
            <w:tcBorders>
              <w:tl2br w:val="nil"/>
              <w:tr2bl w:val="nil"/>
            </w:tcBorders>
            <w:tcMar>
              <w:top w:w="0" w:type="dxa"/>
              <w:left w:w="105" w:type="dxa"/>
              <w:bottom w:w="0" w:type="dxa"/>
              <w:right w:w="105" w:type="dxa"/>
            </w:tcMar>
            <w:vAlign w:val="center"/>
          </w:tcPr>
          <w:p w14:paraId="0CF673A8">
            <w:pPr>
              <w:pStyle w:val="7"/>
              <w:jc w:val="center"/>
              <w:rPr>
                <w:rFonts w:hint="eastAsia" w:ascii="楷体" w:hAnsi="楷体" w:eastAsia="楷体" w:cs="楷体"/>
                <w:sz w:val="20"/>
                <w:szCs w:val="20"/>
              </w:rPr>
            </w:pPr>
            <w:r>
              <w:rPr>
                <w:rFonts w:ascii="楷体" w:hAnsi="楷体" w:eastAsia="楷体" w:cs="楷体"/>
                <w:sz w:val="20"/>
                <w:szCs w:val="20"/>
              </w:rPr>
              <w:t>12</w:t>
            </w:r>
          </w:p>
        </w:tc>
        <w:tc>
          <w:tcPr>
            <w:tcW w:w="1266" w:type="pct"/>
            <w:tcBorders>
              <w:tl2br w:val="nil"/>
              <w:tr2bl w:val="nil"/>
            </w:tcBorders>
            <w:tcMar>
              <w:top w:w="0" w:type="dxa"/>
              <w:left w:w="105" w:type="dxa"/>
              <w:bottom w:w="0" w:type="dxa"/>
              <w:right w:w="105" w:type="dxa"/>
            </w:tcMar>
            <w:vAlign w:val="center"/>
          </w:tcPr>
          <w:p w14:paraId="5F7D65E8">
            <w:pPr>
              <w:pStyle w:val="7"/>
              <w:jc w:val="center"/>
              <w:rPr>
                <w:rFonts w:hint="eastAsia" w:ascii="楷体" w:hAnsi="楷体" w:eastAsia="楷体" w:cs="楷体"/>
                <w:sz w:val="20"/>
                <w:szCs w:val="20"/>
              </w:rPr>
            </w:pPr>
            <w:r>
              <w:rPr>
                <w:rFonts w:ascii="楷体" w:hAnsi="楷体" w:eastAsia="楷体" w:cs="楷体"/>
                <w:sz w:val="20"/>
                <w:szCs w:val="20"/>
              </w:rPr>
              <w:t>粉尘快速测定仪</w:t>
            </w:r>
          </w:p>
        </w:tc>
        <w:tc>
          <w:tcPr>
            <w:tcW w:w="388" w:type="pct"/>
            <w:tcBorders>
              <w:tl2br w:val="nil"/>
              <w:tr2bl w:val="nil"/>
            </w:tcBorders>
            <w:tcMar>
              <w:top w:w="0" w:type="dxa"/>
              <w:left w:w="105" w:type="dxa"/>
              <w:bottom w:w="0" w:type="dxa"/>
              <w:right w:w="105" w:type="dxa"/>
            </w:tcMar>
            <w:vAlign w:val="center"/>
          </w:tcPr>
          <w:p w14:paraId="503F944E">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43EF5B1F">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运维期限内对设备状态监测、保养清洁等，确保设备可正常使用；按需进行校准；如需维修及更换硬件费用另算。</w:t>
            </w:r>
          </w:p>
        </w:tc>
      </w:tr>
      <w:tr w14:paraId="4ABDC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4" w:hRule="atLeast"/>
          <w:jc w:val="center"/>
        </w:trPr>
        <w:tc>
          <w:tcPr>
            <w:tcW w:w="342" w:type="pct"/>
            <w:tcBorders>
              <w:tl2br w:val="nil"/>
              <w:tr2bl w:val="nil"/>
            </w:tcBorders>
            <w:tcMar>
              <w:top w:w="0" w:type="dxa"/>
              <w:left w:w="105" w:type="dxa"/>
              <w:bottom w:w="0" w:type="dxa"/>
              <w:right w:w="105" w:type="dxa"/>
            </w:tcMar>
            <w:vAlign w:val="center"/>
          </w:tcPr>
          <w:p w14:paraId="50626411">
            <w:pPr>
              <w:pStyle w:val="7"/>
              <w:jc w:val="center"/>
              <w:rPr>
                <w:rFonts w:hint="eastAsia" w:ascii="楷体" w:hAnsi="楷体" w:eastAsia="楷体" w:cs="楷体"/>
                <w:sz w:val="20"/>
                <w:szCs w:val="20"/>
              </w:rPr>
            </w:pPr>
            <w:r>
              <w:rPr>
                <w:rFonts w:ascii="楷体" w:hAnsi="楷体" w:eastAsia="楷体" w:cs="楷体"/>
                <w:sz w:val="20"/>
                <w:szCs w:val="20"/>
              </w:rPr>
              <w:t>13</w:t>
            </w:r>
          </w:p>
        </w:tc>
        <w:tc>
          <w:tcPr>
            <w:tcW w:w="1266" w:type="pct"/>
            <w:tcBorders>
              <w:tl2br w:val="nil"/>
              <w:tr2bl w:val="nil"/>
            </w:tcBorders>
            <w:tcMar>
              <w:top w:w="0" w:type="dxa"/>
              <w:left w:w="105" w:type="dxa"/>
              <w:bottom w:w="0" w:type="dxa"/>
              <w:right w:w="105" w:type="dxa"/>
            </w:tcMar>
            <w:vAlign w:val="center"/>
          </w:tcPr>
          <w:p w14:paraId="2E6F603F">
            <w:pPr>
              <w:pStyle w:val="7"/>
              <w:jc w:val="center"/>
              <w:rPr>
                <w:rFonts w:hint="eastAsia" w:ascii="楷体" w:hAnsi="楷体" w:eastAsia="楷体" w:cs="楷体"/>
                <w:sz w:val="20"/>
                <w:szCs w:val="20"/>
              </w:rPr>
            </w:pPr>
            <w:r>
              <w:rPr>
                <w:rFonts w:ascii="楷体" w:hAnsi="楷体" w:eastAsia="楷体" w:cs="楷体"/>
                <w:sz w:val="20"/>
                <w:szCs w:val="20"/>
              </w:rPr>
              <w:t>环境气体应急检测仪</w:t>
            </w:r>
          </w:p>
        </w:tc>
        <w:tc>
          <w:tcPr>
            <w:tcW w:w="388" w:type="pct"/>
            <w:tcBorders>
              <w:tl2br w:val="nil"/>
              <w:tr2bl w:val="nil"/>
            </w:tcBorders>
            <w:tcMar>
              <w:top w:w="0" w:type="dxa"/>
              <w:left w:w="105" w:type="dxa"/>
              <w:bottom w:w="0" w:type="dxa"/>
              <w:right w:w="105" w:type="dxa"/>
            </w:tcMar>
            <w:vAlign w:val="center"/>
          </w:tcPr>
          <w:p w14:paraId="5C4F7362">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2664175E">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运维期限内对设备状态监测、保养清洁等，确保设备可正常使用；传感器两年一换；如需维修及更换硬件费用另算。</w:t>
            </w:r>
          </w:p>
        </w:tc>
      </w:tr>
      <w:tr w14:paraId="2EAD3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jc w:val="center"/>
        </w:trPr>
        <w:tc>
          <w:tcPr>
            <w:tcW w:w="342" w:type="pct"/>
            <w:tcBorders>
              <w:tl2br w:val="nil"/>
              <w:tr2bl w:val="nil"/>
            </w:tcBorders>
            <w:tcMar>
              <w:top w:w="0" w:type="dxa"/>
              <w:left w:w="105" w:type="dxa"/>
              <w:bottom w:w="0" w:type="dxa"/>
              <w:right w:w="105" w:type="dxa"/>
            </w:tcMar>
            <w:vAlign w:val="center"/>
          </w:tcPr>
          <w:p w14:paraId="097E680C">
            <w:pPr>
              <w:pStyle w:val="7"/>
              <w:jc w:val="center"/>
              <w:rPr>
                <w:rFonts w:hint="eastAsia" w:ascii="楷体" w:hAnsi="楷体" w:eastAsia="楷体" w:cs="楷体"/>
                <w:sz w:val="20"/>
                <w:szCs w:val="20"/>
              </w:rPr>
            </w:pPr>
            <w:r>
              <w:rPr>
                <w:rFonts w:ascii="楷体" w:hAnsi="楷体" w:eastAsia="楷体" w:cs="楷体"/>
                <w:sz w:val="20"/>
                <w:szCs w:val="20"/>
              </w:rPr>
              <w:t>14</w:t>
            </w:r>
          </w:p>
        </w:tc>
        <w:tc>
          <w:tcPr>
            <w:tcW w:w="1266" w:type="pct"/>
            <w:tcBorders>
              <w:tl2br w:val="nil"/>
              <w:tr2bl w:val="nil"/>
            </w:tcBorders>
            <w:tcMar>
              <w:top w:w="0" w:type="dxa"/>
              <w:left w:w="105" w:type="dxa"/>
              <w:bottom w:w="0" w:type="dxa"/>
              <w:right w:w="105" w:type="dxa"/>
            </w:tcMar>
            <w:vAlign w:val="center"/>
          </w:tcPr>
          <w:p w14:paraId="1F78408B">
            <w:pPr>
              <w:pStyle w:val="7"/>
              <w:jc w:val="center"/>
              <w:rPr>
                <w:rFonts w:hint="eastAsia" w:ascii="楷体" w:hAnsi="楷体" w:eastAsia="楷体" w:cs="楷体"/>
                <w:sz w:val="20"/>
                <w:szCs w:val="20"/>
              </w:rPr>
            </w:pPr>
            <w:r>
              <w:rPr>
                <w:rFonts w:ascii="楷体" w:hAnsi="楷体" w:eastAsia="楷体" w:cs="楷体"/>
                <w:sz w:val="20"/>
                <w:szCs w:val="20"/>
              </w:rPr>
              <w:t>手持式光学气体成像仪</w:t>
            </w:r>
          </w:p>
        </w:tc>
        <w:tc>
          <w:tcPr>
            <w:tcW w:w="388" w:type="pct"/>
            <w:tcBorders>
              <w:tl2br w:val="nil"/>
              <w:tr2bl w:val="nil"/>
            </w:tcBorders>
            <w:tcMar>
              <w:top w:w="0" w:type="dxa"/>
              <w:left w:w="105" w:type="dxa"/>
              <w:bottom w:w="0" w:type="dxa"/>
              <w:right w:w="105" w:type="dxa"/>
            </w:tcMar>
            <w:vAlign w:val="center"/>
          </w:tcPr>
          <w:p w14:paraId="6E343066">
            <w:pPr>
              <w:pStyle w:val="7"/>
              <w:jc w:val="center"/>
              <w:rPr>
                <w:rFonts w:hint="eastAsia" w:ascii="楷体" w:hAnsi="楷体" w:eastAsia="楷体" w:cs="楷体"/>
                <w:sz w:val="20"/>
                <w:szCs w:val="20"/>
              </w:rPr>
            </w:pPr>
            <w:r>
              <w:rPr>
                <w:rFonts w:ascii="楷体" w:hAnsi="楷体" w:eastAsia="楷体" w:cs="楷体"/>
                <w:sz w:val="20"/>
                <w:szCs w:val="20"/>
              </w:rPr>
              <w:t>1</w:t>
            </w:r>
          </w:p>
        </w:tc>
        <w:tc>
          <w:tcPr>
            <w:tcW w:w="3002" w:type="pct"/>
            <w:tcBorders>
              <w:tl2br w:val="nil"/>
              <w:tr2bl w:val="nil"/>
            </w:tcBorders>
            <w:tcMar>
              <w:top w:w="0" w:type="dxa"/>
              <w:left w:w="105" w:type="dxa"/>
              <w:bottom w:w="0" w:type="dxa"/>
              <w:right w:w="105" w:type="dxa"/>
            </w:tcMar>
            <w:vAlign w:val="center"/>
          </w:tcPr>
          <w:p w14:paraId="74BE0D5F">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运维期限内对设备状态监测、保养清洁等，确保设备可正常使用；电池2~3年一换；如需维修及更换硬件费用另算。</w:t>
            </w:r>
          </w:p>
        </w:tc>
      </w:tr>
      <w:tr w14:paraId="46503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jc w:val="center"/>
        </w:trPr>
        <w:tc>
          <w:tcPr>
            <w:tcW w:w="342" w:type="pct"/>
            <w:tcBorders>
              <w:tl2br w:val="nil"/>
              <w:tr2bl w:val="nil"/>
            </w:tcBorders>
            <w:tcMar>
              <w:top w:w="0" w:type="dxa"/>
              <w:left w:w="105" w:type="dxa"/>
              <w:bottom w:w="0" w:type="dxa"/>
              <w:right w:w="105" w:type="dxa"/>
            </w:tcMar>
            <w:vAlign w:val="center"/>
          </w:tcPr>
          <w:p w14:paraId="11E701E1">
            <w:pPr>
              <w:pStyle w:val="7"/>
              <w:jc w:val="center"/>
              <w:rPr>
                <w:rFonts w:hint="eastAsia" w:ascii="楷体" w:hAnsi="楷体" w:eastAsia="楷体" w:cs="楷体"/>
                <w:sz w:val="20"/>
                <w:szCs w:val="20"/>
              </w:rPr>
            </w:pPr>
            <w:r>
              <w:rPr>
                <w:rFonts w:ascii="楷体" w:hAnsi="楷体" w:eastAsia="楷体" w:cs="楷体"/>
                <w:sz w:val="20"/>
                <w:szCs w:val="20"/>
              </w:rPr>
              <w:t>15</w:t>
            </w:r>
          </w:p>
        </w:tc>
        <w:tc>
          <w:tcPr>
            <w:tcW w:w="1266" w:type="pct"/>
            <w:tcBorders>
              <w:tl2br w:val="nil"/>
              <w:tr2bl w:val="nil"/>
            </w:tcBorders>
            <w:tcMar>
              <w:top w:w="0" w:type="dxa"/>
              <w:left w:w="105" w:type="dxa"/>
              <w:bottom w:w="0" w:type="dxa"/>
              <w:right w:w="105" w:type="dxa"/>
            </w:tcMar>
            <w:vAlign w:val="center"/>
          </w:tcPr>
          <w:p w14:paraId="38D87C10">
            <w:pPr>
              <w:pStyle w:val="7"/>
              <w:jc w:val="center"/>
              <w:rPr>
                <w:rFonts w:hint="eastAsia" w:ascii="楷体" w:hAnsi="楷体" w:eastAsia="楷体" w:cs="楷体"/>
                <w:sz w:val="20"/>
                <w:szCs w:val="20"/>
              </w:rPr>
            </w:pPr>
            <w:r>
              <w:rPr>
                <w:rFonts w:ascii="楷体" w:hAnsi="楷体" w:eastAsia="楷体" w:cs="楷体"/>
                <w:sz w:val="20"/>
                <w:szCs w:val="20"/>
              </w:rPr>
              <w:t>手持测温热像仪</w:t>
            </w:r>
          </w:p>
        </w:tc>
        <w:tc>
          <w:tcPr>
            <w:tcW w:w="388" w:type="pct"/>
            <w:tcBorders>
              <w:tl2br w:val="nil"/>
              <w:tr2bl w:val="nil"/>
            </w:tcBorders>
            <w:tcMar>
              <w:top w:w="0" w:type="dxa"/>
              <w:left w:w="105" w:type="dxa"/>
              <w:bottom w:w="0" w:type="dxa"/>
              <w:right w:w="105" w:type="dxa"/>
            </w:tcMar>
            <w:vAlign w:val="center"/>
          </w:tcPr>
          <w:p w14:paraId="42FDE9C8">
            <w:pPr>
              <w:pStyle w:val="7"/>
              <w:jc w:val="center"/>
              <w:rPr>
                <w:rFonts w:hint="eastAsia" w:ascii="楷体" w:hAnsi="楷体" w:eastAsia="楷体" w:cs="楷体"/>
                <w:sz w:val="20"/>
                <w:szCs w:val="20"/>
              </w:rPr>
            </w:pPr>
            <w:r>
              <w:rPr>
                <w:rFonts w:ascii="楷体" w:hAnsi="楷体" w:eastAsia="楷体" w:cs="楷体"/>
                <w:sz w:val="20"/>
                <w:szCs w:val="20"/>
              </w:rPr>
              <w:t>2</w:t>
            </w:r>
          </w:p>
        </w:tc>
        <w:tc>
          <w:tcPr>
            <w:tcW w:w="3002" w:type="pct"/>
            <w:tcBorders>
              <w:tl2br w:val="nil"/>
              <w:tr2bl w:val="nil"/>
            </w:tcBorders>
            <w:tcMar>
              <w:top w:w="0" w:type="dxa"/>
              <w:left w:w="105" w:type="dxa"/>
              <w:bottom w:w="0" w:type="dxa"/>
              <w:right w:w="105" w:type="dxa"/>
            </w:tcMar>
            <w:vAlign w:val="center"/>
          </w:tcPr>
          <w:p w14:paraId="616C7B33">
            <w:pPr>
              <w:pStyle w:val="7"/>
              <w:jc w:val="both"/>
              <w:rPr>
                <w:rFonts w:hint="eastAsia" w:ascii="楷体" w:hAnsi="楷体" w:eastAsia="楷体" w:cs="楷体"/>
                <w:sz w:val="20"/>
                <w:szCs w:val="20"/>
              </w:rPr>
            </w:pPr>
            <w:r>
              <w:rPr>
                <w:rFonts w:ascii="楷体" w:hAnsi="楷体" w:eastAsia="楷体" w:cs="楷体"/>
                <w:sz w:val="20"/>
                <w:szCs w:val="20"/>
              </w:rPr>
              <w:t>运维期限内对设备状态监测、保养清洁等，确保设备可正常使用；按需进行校准；如需维修及更换硬件费用另算。</w:t>
            </w:r>
          </w:p>
        </w:tc>
      </w:tr>
      <w:tr w14:paraId="1C7B9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342" w:type="pct"/>
            <w:tcBorders>
              <w:tl2br w:val="nil"/>
              <w:tr2bl w:val="nil"/>
            </w:tcBorders>
            <w:tcMar>
              <w:top w:w="0" w:type="dxa"/>
              <w:left w:w="105" w:type="dxa"/>
              <w:bottom w:w="0" w:type="dxa"/>
              <w:right w:w="105" w:type="dxa"/>
            </w:tcMar>
            <w:vAlign w:val="center"/>
          </w:tcPr>
          <w:p w14:paraId="5D954184">
            <w:pPr>
              <w:pStyle w:val="7"/>
              <w:jc w:val="center"/>
              <w:rPr>
                <w:rFonts w:hint="eastAsia" w:ascii="楷体" w:hAnsi="楷体" w:eastAsia="楷体" w:cs="楷体"/>
                <w:sz w:val="20"/>
                <w:szCs w:val="20"/>
              </w:rPr>
            </w:pPr>
            <w:r>
              <w:rPr>
                <w:rFonts w:ascii="楷体" w:hAnsi="楷体" w:eastAsia="楷体" w:cs="楷体"/>
                <w:sz w:val="20"/>
                <w:szCs w:val="20"/>
              </w:rPr>
              <w:t>16</w:t>
            </w:r>
          </w:p>
        </w:tc>
        <w:tc>
          <w:tcPr>
            <w:tcW w:w="1266" w:type="pct"/>
            <w:tcBorders>
              <w:tl2br w:val="nil"/>
              <w:tr2bl w:val="nil"/>
            </w:tcBorders>
            <w:tcMar>
              <w:top w:w="0" w:type="dxa"/>
              <w:left w:w="105" w:type="dxa"/>
              <w:bottom w:w="0" w:type="dxa"/>
              <w:right w:w="105" w:type="dxa"/>
            </w:tcMar>
            <w:vAlign w:val="center"/>
          </w:tcPr>
          <w:p w14:paraId="64ED1893">
            <w:pPr>
              <w:pStyle w:val="7"/>
              <w:jc w:val="center"/>
              <w:rPr>
                <w:rFonts w:hint="eastAsia" w:ascii="楷体" w:hAnsi="楷体" w:eastAsia="楷体" w:cs="楷体"/>
                <w:sz w:val="20"/>
                <w:szCs w:val="20"/>
              </w:rPr>
            </w:pPr>
            <w:r>
              <w:rPr>
                <w:rFonts w:ascii="楷体" w:hAnsi="楷体" w:eastAsia="楷体" w:cs="楷体"/>
                <w:sz w:val="20"/>
                <w:szCs w:val="20"/>
              </w:rPr>
              <w:t>执法记录仪</w:t>
            </w:r>
          </w:p>
        </w:tc>
        <w:tc>
          <w:tcPr>
            <w:tcW w:w="388" w:type="pct"/>
            <w:tcBorders>
              <w:tl2br w:val="nil"/>
              <w:tr2bl w:val="nil"/>
            </w:tcBorders>
            <w:tcMar>
              <w:top w:w="0" w:type="dxa"/>
              <w:left w:w="105" w:type="dxa"/>
              <w:bottom w:w="0" w:type="dxa"/>
              <w:right w:w="105" w:type="dxa"/>
            </w:tcMar>
            <w:vAlign w:val="center"/>
          </w:tcPr>
          <w:p w14:paraId="14B120CA">
            <w:pPr>
              <w:pStyle w:val="7"/>
              <w:jc w:val="center"/>
              <w:rPr>
                <w:rFonts w:hint="eastAsia" w:ascii="楷体" w:hAnsi="楷体" w:eastAsia="楷体" w:cs="楷体"/>
                <w:sz w:val="20"/>
                <w:szCs w:val="20"/>
              </w:rPr>
            </w:pPr>
            <w:r>
              <w:rPr>
                <w:rFonts w:ascii="楷体" w:hAnsi="楷体" w:eastAsia="楷体" w:cs="楷体"/>
                <w:sz w:val="20"/>
                <w:szCs w:val="20"/>
              </w:rPr>
              <w:t>383</w:t>
            </w:r>
          </w:p>
        </w:tc>
        <w:tc>
          <w:tcPr>
            <w:tcW w:w="3002" w:type="pct"/>
            <w:vMerge w:val="restart"/>
            <w:tcBorders>
              <w:tl2br w:val="nil"/>
              <w:tr2bl w:val="nil"/>
            </w:tcBorders>
            <w:tcMar>
              <w:top w:w="0" w:type="dxa"/>
              <w:left w:w="105" w:type="dxa"/>
              <w:bottom w:w="0" w:type="dxa"/>
              <w:right w:w="105" w:type="dxa"/>
            </w:tcMar>
            <w:vAlign w:val="center"/>
          </w:tcPr>
          <w:p w14:paraId="7759BF0D">
            <w:pPr>
              <w:pStyle w:val="7"/>
              <w:jc w:val="both"/>
              <w:rPr>
                <w:rFonts w:hint="eastAsia" w:ascii="楷体" w:hAnsi="楷体" w:eastAsia="楷体" w:cs="楷体"/>
                <w:sz w:val="20"/>
                <w:szCs w:val="20"/>
              </w:rPr>
            </w:pPr>
            <w:r>
              <w:rPr>
                <w:rFonts w:ascii="楷体" w:hAnsi="楷体" w:eastAsia="楷体" w:cs="楷体"/>
                <w:sz w:val="20"/>
                <w:szCs w:val="20"/>
              </w:rPr>
              <w:t>运维期间内对设备软件方面进行升级、维修、数据备份等，如需维修及更换硬件费用另算。</w:t>
            </w:r>
          </w:p>
        </w:tc>
      </w:tr>
      <w:tr w14:paraId="74D6C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2" w:type="pct"/>
            <w:tcBorders>
              <w:tl2br w:val="nil"/>
              <w:tr2bl w:val="nil"/>
            </w:tcBorders>
            <w:tcMar>
              <w:top w:w="0" w:type="dxa"/>
              <w:left w:w="105" w:type="dxa"/>
              <w:bottom w:w="0" w:type="dxa"/>
              <w:right w:w="105" w:type="dxa"/>
            </w:tcMar>
            <w:vAlign w:val="center"/>
          </w:tcPr>
          <w:p w14:paraId="73AEE649">
            <w:pPr>
              <w:pStyle w:val="7"/>
              <w:jc w:val="center"/>
              <w:rPr>
                <w:rFonts w:hint="eastAsia" w:ascii="楷体" w:hAnsi="楷体" w:eastAsia="楷体" w:cs="楷体"/>
                <w:sz w:val="20"/>
                <w:szCs w:val="20"/>
              </w:rPr>
            </w:pPr>
            <w:r>
              <w:rPr>
                <w:rFonts w:ascii="楷体" w:hAnsi="楷体" w:eastAsia="楷体" w:cs="楷体"/>
                <w:sz w:val="20"/>
                <w:szCs w:val="20"/>
              </w:rPr>
              <w:t>17</w:t>
            </w:r>
          </w:p>
        </w:tc>
        <w:tc>
          <w:tcPr>
            <w:tcW w:w="1266" w:type="pct"/>
            <w:tcBorders>
              <w:tl2br w:val="nil"/>
              <w:tr2bl w:val="nil"/>
            </w:tcBorders>
            <w:tcMar>
              <w:top w:w="0" w:type="dxa"/>
              <w:left w:w="105" w:type="dxa"/>
              <w:bottom w:w="0" w:type="dxa"/>
              <w:right w:w="105" w:type="dxa"/>
            </w:tcMar>
            <w:vAlign w:val="center"/>
          </w:tcPr>
          <w:p w14:paraId="57CB3E8E">
            <w:pPr>
              <w:pStyle w:val="7"/>
              <w:jc w:val="center"/>
              <w:rPr>
                <w:rFonts w:hint="eastAsia" w:ascii="楷体" w:hAnsi="楷体" w:eastAsia="楷体" w:cs="楷体"/>
                <w:sz w:val="20"/>
                <w:szCs w:val="20"/>
              </w:rPr>
            </w:pPr>
            <w:r>
              <w:rPr>
                <w:rFonts w:ascii="楷体" w:hAnsi="楷体" w:eastAsia="楷体" w:cs="楷体"/>
                <w:sz w:val="20"/>
                <w:szCs w:val="20"/>
              </w:rPr>
              <w:t>执法记录仪数据采集站</w:t>
            </w:r>
          </w:p>
        </w:tc>
        <w:tc>
          <w:tcPr>
            <w:tcW w:w="388" w:type="pct"/>
            <w:tcBorders>
              <w:tl2br w:val="nil"/>
              <w:tr2bl w:val="nil"/>
            </w:tcBorders>
            <w:tcMar>
              <w:top w:w="0" w:type="dxa"/>
              <w:left w:w="105" w:type="dxa"/>
              <w:bottom w:w="0" w:type="dxa"/>
              <w:right w:w="105" w:type="dxa"/>
            </w:tcMar>
            <w:vAlign w:val="center"/>
          </w:tcPr>
          <w:p w14:paraId="2C934929">
            <w:pPr>
              <w:pStyle w:val="7"/>
              <w:jc w:val="center"/>
              <w:rPr>
                <w:rFonts w:hint="eastAsia" w:ascii="楷体" w:hAnsi="楷体" w:eastAsia="楷体" w:cs="楷体"/>
                <w:sz w:val="20"/>
                <w:szCs w:val="20"/>
              </w:rPr>
            </w:pPr>
            <w:r>
              <w:rPr>
                <w:rFonts w:ascii="楷体" w:hAnsi="楷体" w:eastAsia="楷体" w:cs="楷体"/>
                <w:sz w:val="20"/>
                <w:szCs w:val="20"/>
              </w:rPr>
              <w:t>21</w:t>
            </w:r>
          </w:p>
        </w:tc>
        <w:tc>
          <w:tcPr>
            <w:tcW w:w="3002" w:type="pct"/>
            <w:vMerge w:val="continue"/>
            <w:tcBorders>
              <w:tl2br w:val="nil"/>
              <w:tr2bl w:val="nil"/>
            </w:tcBorders>
            <w:vAlign w:val="center"/>
          </w:tcPr>
          <w:p w14:paraId="50FD81AF">
            <w:pPr>
              <w:rPr>
                <w:rFonts w:hint="eastAsia" w:ascii="楷体" w:hAnsi="楷体" w:eastAsia="楷体" w:cs="楷体"/>
                <w:color w:val="auto"/>
                <w:sz w:val="20"/>
                <w:szCs w:val="20"/>
              </w:rPr>
            </w:pPr>
          </w:p>
        </w:tc>
      </w:tr>
    </w:tbl>
    <w:p w14:paraId="52251266">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4.2执法在线视频指挥无线传输终端运维</w:t>
      </w:r>
    </w:p>
    <w:tbl>
      <w:tblPr>
        <w:tblStyle w:val="5"/>
        <w:tblW w:w="4998" w:type="pct"/>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57"/>
        <w:gridCol w:w="986"/>
        <w:gridCol w:w="903"/>
        <w:gridCol w:w="551"/>
        <w:gridCol w:w="717"/>
        <w:gridCol w:w="5112"/>
      </w:tblGrid>
      <w:tr w14:paraId="544B7E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19" w:type="pct"/>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07875B51">
            <w:pPr>
              <w:pStyle w:val="7"/>
              <w:jc w:val="center"/>
              <w:rPr>
                <w:rFonts w:hint="eastAsia" w:ascii="楷体" w:hAnsi="楷体" w:eastAsia="楷体" w:cs="楷体"/>
                <w:sz w:val="20"/>
                <w:szCs w:val="20"/>
              </w:rPr>
            </w:pPr>
            <w:r>
              <w:rPr>
                <w:rFonts w:ascii="楷体" w:hAnsi="楷体" w:eastAsia="楷体" w:cs="楷体"/>
                <w:sz w:val="20"/>
                <w:szCs w:val="20"/>
              </w:rPr>
              <w:t>序号</w:t>
            </w:r>
          </w:p>
        </w:tc>
        <w:tc>
          <w:tcPr>
            <w:tcW w:w="1046" w:type="pct"/>
            <w:gridSpan w:val="2"/>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43D2AB83">
            <w:pPr>
              <w:pStyle w:val="7"/>
              <w:jc w:val="center"/>
              <w:rPr>
                <w:rFonts w:hint="eastAsia" w:ascii="楷体" w:hAnsi="楷体" w:eastAsia="楷体" w:cs="楷体"/>
                <w:sz w:val="20"/>
                <w:szCs w:val="20"/>
              </w:rPr>
            </w:pPr>
            <w:r>
              <w:rPr>
                <w:rFonts w:ascii="楷体" w:hAnsi="楷体" w:eastAsia="楷体" w:cs="楷体"/>
                <w:sz w:val="20"/>
                <w:szCs w:val="20"/>
              </w:rPr>
              <w:t>设备品名</w:t>
            </w:r>
          </w:p>
        </w:tc>
        <w:tc>
          <w:tcPr>
            <w:tcW w:w="305" w:type="pct"/>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105CAD7A">
            <w:pPr>
              <w:pStyle w:val="7"/>
              <w:jc w:val="center"/>
              <w:rPr>
                <w:rFonts w:hint="eastAsia" w:ascii="楷体" w:hAnsi="楷体" w:eastAsia="楷体" w:cs="楷体"/>
                <w:sz w:val="20"/>
                <w:szCs w:val="20"/>
              </w:rPr>
            </w:pPr>
            <w:r>
              <w:rPr>
                <w:rFonts w:ascii="楷体" w:hAnsi="楷体" w:eastAsia="楷体" w:cs="楷体"/>
                <w:sz w:val="20"/>
                <w:szCs w:val="20"/>
              </w:rPr>
              <w:t>数量</w:t>
            </w:r>
          </w:p>
        </w:tc>
        <w:tc>
          <w:tcPr>
            <w:tcW w:w="397" w:type="pct"/>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0F5FFB3C">
            <w:pPr>
              <w:pStyle w:val="7"/>
              <w:jc w:val="center"/>
              <w:rPr>
                <w:rFonts w:hint="eastAsia" w:ascii="楷体" w:hAnsi="楷体" w:eastAsia="楷体" w:cs="楷体"/>
                <w:sz w:val="20"/>
                <w:szCs w:val="20"/>
              </w:rPr>
            </w:pPr>
            <w:r>
              <w:rPr>
                <w:rFonts w:ascii="楷体" w:hAnsi="楷体" w:eastAsia="楷体" w:cs="楷体"/>
                <w:sz w:val="20"/>
                <w:szCs w:val="20"/>
              </w:rPr>
              <w:t>单位</w:t>
            </w:r>
          </w:p>
        </w:tc>
        <w:tc>
          <w:tcPr>
            <w:tcW w:w="2830" w:type="pct"/>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4A45E00C">
            <w:pPr>
              <w:pStyle w:val="7"/>
              <w:jc w:val="center"/>
              <w:rPr>
                <w:rFonts w:hint="eastAsia" w:ascii="楷体" w:hAnsi="楷体" w:eastAsia="楷体" w:cs="楷体"/>
                <w:sz w:val="20"/>
                <w:szCs w:val="20"/>
              </w:rPr>
            </w:pPr>
            <w:r>
              <w:rPr>
                <w:rFonts w:ascii="楷体" w:hAnsi="楷体" w:eastAsia="楷体" w:cs="楷体"/>
                <w:sz w:val="20"/>
                <w:szCs w:val="20"/>
              </w:rPr>
              <w:t>运维服务</w:t>
            </w:r>
          </w:p>
        </w:tc>
      </w:tr>
      <w:tr w14:paraId="4885AF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4" w:hRule="atLeast"/>
          <w:jc w:val="center"/>
        </w:trPr>
        <w:tc>
          <w:tcPr>
            <w:tcW w:w="419" w:type="pct"/>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5812595">
            <w:pPr>
              <w:pStyle w:val="7"/>
              <w:jc w:val="center"/>
              <w:rPr>
                <w:rFonts w:hint="eastAsia" w:ascii="楷体" w:hAnsi="楷体" w:eastAsia="楷体" w:cs="楷体"/>
                <w:sz w:val="20"/>
                <w:szCs w:val="20"/>
              </w:rPr>
            </w:pPr>
            <w:r>
              <w:rPr>
                <w:rFonts w:ascii="楷体" w:hAnsi="楷体" w:eastAsia="楷体" w:cs="楷体"/>
                <w:sz w:val="20"/>
                <w:szCs w:val="20"/>
              </w:rPr>
              <w:t>18</w:t>
            </w:r>
          </w:p>
        </w:tc>
        <w:tc>
          <w:tcPr>
            <w:tcW w:w="546" w:type="pct"/>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664BD80">
            <w:pPr>
              <w:pStyle w:val="7"/>
              <w:jc w:val="center"/>
              <w:rPr>
                <w:rFonts w:hint="eastAsia" w:ascii="楷体" w:hAnsi="楷体" w:eastAsia="楷体" w:cs="楷体"/>
                <w:sz w:val="20"/>
                <w:szCs w:val="20"/>
              </w:rPr>
            </w:pPr>
            <w:r>
              <w:rPr>
                <w:rFonts w:ascii="楷体" w:hAnsi="楷体" w:eastAsia="楷体" w:cs="楷体"/>
                <w:sz w:val="20"/>
                <w:szCs w:val="20"/>
              </w:rPr>
              <w:t>智能指挥调度平台</w:t>
            </w:r>
          </w:p>
        </w:tc>
        <w:tc>
          <w:tcPr>
            <w:tcW w:w="499"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4B3FEC7">
            <w:pPr>
              <w:pStyle w:val="7"/>
              <w:jc w:val="center"/>
              <w:rPr>
                <w:rFonts w:hint="eastAsia" w:ascii="楷体" w:hAnsi="楷体" w:eastAsia="楷体" w:cs="楷体"/>
                <w:sz w:val="20"/>
                <w:szCs w:val="20"/>
              </w:rPr>
            </w:pPr>
            <w:r>
              <w:rPr>
                <w:rFonts w:ascii="楷体" w:hAnsi="楷体" w:eastAsia="楷体" w:cs="楷体"/>
                <w:sz w:val="20"/>
                <w:szCs w:val="20"/>
              </w:rPr>
              <w:t>应用服务器</w:t>
            </w:r>
          </w:p>
        </w:tc>
        <w:tc>
          <w:tcPr>
            <w:tcW w:w="305"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A91DD12">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F623A3E">
            <w:pPr>
              <w:pStyle w:val="7"/>
              <w:jc w:val="center"/>
              <w:rPr>
                <w:rFonts w:hint="eastAsia" w:ascii="楷体" w:hAnsi="楷体" w:eastAsia="楷体" w:cs="楷体"/>
                <w:sz w:val="20"/>
                <w:szCs w:val="20"/>
              </w:rPr>
            </w:pPr>
            <w:r>
              <w:rPr>
                <w:rFonts w:ascii="楷体" w:hAnsi="楷体" w:eastAsia="楷体" w:cs="楷体"/>
                <w:sz w:val="20"/>
                <w:szCs w:val="20"/>
              </w:rPr>
              <w:t>台</w:t>
            </w:r>
          </w:p>
        </w:tc>
        <w:tc>
          <w:tcPr>
            <w:tcW w:w="283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145F341">
            <w:pPr>
              <w:pStyle w:val="7"/>
              <w:jc w:val="center"/>
              <w:rPr>
                <w:rFonts w:hint="eastAsia" w:ascii="楷体" w:hAnsi="楷体" w:eastAsia="楷体" w:cs="楷体"/>
                <w:sz w:val="20"/>
                <w:szCs w:val="20"/>
              </w:rPr>
            </w:pPr>
            <w:r>
              <w:rPr>
                <w:rFonts w:ascii="楷体" w:hAnsi="楷体" w:eastAsia="楷体" w:cs="楷体"/>
                <w:sz w:val="20"/>
                <w:szCs w:val="20"/>
              </w:rPr>
              <w:t>定期检查CPU、内存、硬盘、电源、风扇等硬件状态，监测温度、电压等指标，预防过热或硬件故障；定期安装操作系统补丁，修复安全漏洞，优化系统性能</w:t>
            </w:r>
          </w:p>
        </w:tc>
      </w:tr>
      <w:tr w14:paraId="4DF17A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13" w:hRule="atLeast"/>
          <w:jc w:val="center"/>
        </w:trPr>
        <w:tc>
          <w:tcPr>
            <w:tcW w:w="419" w:type="pct"/>
            <w:vMerge w:val="continue"/>
            <w:tcBorders>
              <w:top w:val="single" w:color="auto" w:sz="4" w:space="0"/>
              <w:left w:val="single" w:color="auto" w:sz="4" w:space="0"/>
              <w:bottom w:val="single" w:color="auto" w:sz="4" w:space="0"/>
              <w:right w:val="single" w:color="auto" w:sz="4" w:space="0"/>
            </w:tcBorders>
            <w:vAlign w:val="center"/>
          </w:tcPr>
          <w:p w14:paraId="1B7D8A68">
            <w:pPr>
              <w:jc w:val="center"/>
              <w:rPr>
                <w:rFonts w:hint="eastAsia" w:ascii="楷体" w:hAnsi="楷体" w:eastAsia="楷体" w:cs="楷体"/>
                <w:color w:val="auto"/>
                <w:sz w:val="20"/>
                <w:szCs w:val="20"/>
                <w:lang w:eastAsia="zh-CN"/>
              </w:rPr>
            </w:pPr>
          </w:p>
        </w:tc>
        <w:tc>
          <w:tcPr>
            <w:tcW w:w="546" w:type="pct"/>
            <w:vMerge w:val="continue"/>
            <w:tcBorders>
              <w:top w:val="single" w:color="auto" w:sz="4" w:space="0"/>
              <w:left w:val="single" w:color="auto" w:sz="4" w:space="0"/>
              <w:bottom w:val="single" w:color="auto" w:sz="4" w:space="0"/>
              <w:right w:val="single" w:color="auto" w:sz="4" w:space="0"/>
            </w:tcBorders>
            <w:vAlign w:val="center"/>
          </w:tcPr>
          <w:p w14:paraId="3103F329">
            <w:pPr>
              <w:jc w:val="center"/>
              <w:rPr>
                <w:rFonts w:hint="eastAsia" w:ascii="楷体" w:hAnsi="楷体" w:eastAsia="楷体" w:cs="楷体"/>
                <w:color w:val="auto"/>
                <w:sz w:val="20"/>
                <w:szCs w:val="20"/>
                <w:lang w:eastAsia="zh-CN"/>
              </w:rPr>
            </w:pPr>
          </w:p>
        </w:tc>
        <w:tc>
          <w:tcPr>
            <w:tcW w:w="499"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A7F395D">
            <w:pPr>
              <w:pStyle w:val="7"/>
              <w:jc w:val="center"/>
              <w:rPr>
                <w:rFonts w:hint="eastAsia" w:ascii="楷体" w:hAnsi="楷体" w:eastAsia="楷体" w:cs="楷体"/>
                <w:sz w:val="20"/>
                <w:szCs w:val="20"/>
              </w:rPr>
            </w:pPr>
            <w:r>
              <w:rPr>
                <w:rFonts w:ascii="楷体" w:hAnsi="楷体" w:eastAsia="楷体" w:cs="楷体"/>
                <w:sz w:val="20"/>
                <w:szCs w:val="20"/>
              </w:rPr>
              <w:t>应用软件</w:t>
            </w:r>
          </w:p>
        </w:tc>
        <w:tc>
          <w:tcPr>
            <w:tcW w:w="305"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04164FE">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ABCAAFE">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4747342">
            <w:pPr>
              <w:pStyle w:val="7"/>
              <w:jc w:val="center"/>
              <w:rPr>
                <w:rFonts w:hint="eastAsia" w:ascii="楷体" w:hAnsi="楷体" w:eastAsia="楷体" w:cs="楷体"/>
                <w:sz w:val="20"/>
                <w:szCs w:val="20"/>
              </w:rPr>
            </w:pPr>
            <w:r>
              <w:rPr>
                <w:rFonts w:ascii="楷体" w:hAnsi="楷体" w:eastAsia="楷体" w:cs="楷体"/>
                <w:sz w:val="20"/>
                <w:szCs w:val="20"/>
              </w:rPr>
              <w:t>对应用软件提供使用支持，包括业务需求、bug修复、使用支持、上线测试、技术培训等方面的内容。通过应用支持服务，实现 “应用不停”的工作目标</w:t>
            </w:r>
          </w:p>
        </w:tc>
      </w:tr>
      <w:tr w14:paraId="39DE49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419" w:type="pct"/>
            <w:vMerge w:val="continue"/>
            <w:tcBorders>
              <w:top w:val="single" w:color="auto" w:sz="4" w:space="0"/>
              <w:left w:val="single" w:color="auto" w:sz="4" w:space="0"/>
              <w:bottom w:val="single" w:color="auto" w:sz="4" w:space="0"/>
              <w:right w:val="single" w:color="auto" w:sz="4" w:space="0"/>
            </w:tcBorders>
            <w:vAlign w:val="center"/>
          </w:tcPr>
          <w:p w14:paraId="18B5DE2E">
            <w:pPr>
              <w:jc w:val="center"/>
              <w:rPr>
                <w:rFonts w:hint="eastAsia" w:ascii="楷体" w:hAnsi="楷体" w:eastAsia="楷体" w:cs="楷体"/>
                <w:color w:val="auto"/>
                <w:sz w:val="20"/>
                <w:szCs w:val="20"/>
                <w:lang w:eastAsia="zh-CN"/>
              </w:rPr>
            </w:pPr>
          </w:p>
        </w:tc>
        <w:tc>
          <w:tcPr>
            <w:tcW w:w="546" w:type="pct"/>
            <w:vMerge w:val="continue"/>
            <w:tcBorders>
              <w:top w:val="single" w:color="auto" w:sz="4" w:space="0"/>
              <w:left w:val="single" w:color="auto" w:sz="4" w:space="0"/>
              <w:bottom w:val="single" w:color="auto" w:sz="4" w:space="0"/>
              <w:right w:val="single" w:color="auto" w:sz="4" w:space="0"/>
            </w:tcBorders>
            <w:vAlign w:val="center"/>
          </w:tcPr>
          <w:p w14:paraId="193C6654">
            <w:pPr>
              <w:jc w:val="center"/>
              <w:rPr>
                <w:rFonts w:hint="eastAsia" w:ascii="楷体" w:hAnsi="楷体" w:eastAsia="楷体" w:cs="楷体"/>
                <w:color w:val="auto"/>
                <w:sz w:val="20"/>
                <w:szCs w:val="20"/>
                <w:lang w:eastAsia="zh-CN"/>
              </w:rPr>
            </w:pPr>
          </w:p>
        </w:tc>
        <w:tc>
          <w:tcPr>
            <w:tcW w:w="499"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651A160">
            <w:pPr>
              <w:pStyle w:val="7"/>
              <w:jc w:val="center"/>
              <w:rPr>
                <w:rFonts w:hint="eastAsia" w:ascii="楷体" w:hAnsi="楷体" w:eastAsia="楷体" w:cs="楷体"/>
                <w:sz w:val="20"/>
                <w:szCs w:val="20"/>
              </w:rPr>
            </w:pPr>
            <w:r>
              <w:rPr>
                <w:rFonts w:ascii="楷体" w:hAnsi="楷体" w:eastAsia="楷体" w:cs="楷体"/>
                <w:sz w:val="20"/>
                <w:szCs w:val="20"/>
              </w:rPr>
              <w:t>磁盘阵列</w:t>
            </w:r>
          </w:p>
        </w:tc>
        <w:tc>
          <w:tcPr>
            <w:tcW w:w="305"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7098469">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AA54933">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F238914">
            <w:pPr>
              <w:pStyle w:val="7"/>
              <w:jc w:val="center"/>
              <w:rPr>
                <w:rFonts w:hint="eastAsia" w:ascii="楷体" w:hAnsi="楷体" w:eastAsia="楷体" w:cs="楷体"/>
                <w:sz w:val="20"/>
                <w:szCs w:val="20"/>
              </w:rPr>
            </w:pPr>
            <w:r>
              <w:rPr>
                <w:rFonts w:ascii="楷体" w:hAnsi="楷体" w:eastAsia="楷体" w:cs="楷体"/>
                <w:sz w:val="20"/>
                <w:szCs w:val="20"/>
              </w:rPr>
              <w:t>日常监控与参数管理；数据冗余与一致性维护；故障处理与硬件维护等</w:t>
            </w:r>
          </w:p>
        </w:tc>
      </w:tr>
      <w:tr w14:paraId="2C994C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33" w:hRule="atLeast"/>
          <w:jc w:val="center"/>
        </w:trPr>
        <w:tc>
          <w:tcPr>
            <w:tcW w:w="419" w:type="pct"/>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7827293">
            <w:pPr>
              <w:pStyle w:val="7"/>
              <w:jc w:val="center"/>
              <w:rPr>
                <w:rFonts w:hint="eastAsia" w:ascii="楷体" w:hAnsi="楷体" w:eastAsia="楷体" w:cs="楷体"/>
                <w:sz w:val="20"/>
                <w:szCs w:val="20"/>
              </w:rPr>
            </w:pPr>
            <w:r>
              <w:rPr>
                <w:rFonts w:ascii="楷体" w:hAnsi="楷体" w:eastAsia="楷体" w:cs="楷体"/>
                <w:sz w:val="20"/>
                <w:szCs w:val="20"/>
              </w:rPr>
              <w:t>19</w:t>
            </w:r>
          </w:p>
        </w:tc>
        <w:tc>
          <w:tcPr>
            <w:tcW w:w="546" w:type="pct"/>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AAA2387">
            <w:pPr>
              <w:pStyle w:val="7"/>
              <w:jc w:val="center"/>
              <w:rPr>
                <w:rFonts w:hint="eastAsia" w:ascii="楷体" w:hAnsi="楷体" w:eastAsia="楷体" w:cs="楷体"/>
                <w:sz w:val="20"/>
                <w:szCs w:val="20"/>
              </w:rPr>
            </w:pPr>
            <w:r>
              <w:rPr>
                <w:rFonts w:ascii="楷体" w:hAnsi="楷体" w:eastAsia="楷体" w:cs="楷体"/>
                <w:sz w:val="20"/>
                <w:szCs w:val="20"/>
              </w:rPr>
              <w:t>音视频管理平台</w:t>
            </w:r>
          </w:p>
        </w:tc>
        <w:tc>
          <w:tcPr>
            <w:tcW w:w="499"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F42A789">
            <w:pPr>
              <w:pStyle w:val="7"/>
              <w:jc w:val="center"/>
              <w:rPr>
                <w:rFonts w:hint="eastAsia" w:ascii="楷体" w:hAnsi="楷体" w:eastAsia="楷体" w:cs="楷体"/>
                <w:sz w:val="20"/>
                <w:szCs w:val="20"/>
              </w:rPr>
            </w:pPr>
            <w:r>
              <w:rPr>
                <w:rFonts w:ascii="楷体" w:hAnsi="楷体" w:eastAsia="楷体" w:cs="楷体"/>
                <w:sz w:val="20"/>
                <w:szCs w:val="20"/>
              </w:rPr>
              <w:t>应用服务器</w:t>
            </w:r>
          </w:p>
        </w:tc>
        <w:tc>
          <w:tcPr>
            <w:tcW w:w="305"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47655C0">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76C37EC">
            <w:pPr>
              <w:pStyle w:val="7"/>
              <w:jc w:val="center"/>
              <w:rPr>
                <w:rFonts w:hint="eastAsia" w:ascii="楷体" w:hAnsi="楷体" w:eastAsia="楷体" w:cs="楷体"/>
                <w:sz w:val="20"/>
                <w:szCs w:val="20"/>
              </w:rPr>
            </w:pPr>
            <w:r>
              <w:rPr>
                <w:rFonts w:ascii="楷体" w:hAnsi="楷体" w:eastAsia="楷体" w:cs="楷体"/>
                <w:sz w:val="20"/>
                <w:szCs w:val="20"/>
              </w:rPr>
              <w:t>台</w:t>
            </w:r>
          </w:p>
        </w:tc>
        <w:tc>
          <w:tcPr>
            <w:tcW w:w="2830" w:type="pc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1FE19FC">
            <w:pPr>
              <w:pStyle w:val="7"/>
              <w:jc w:val="center"/>
              <w:rPr>
                <w:rFonts w:hint="eastAsia" w:ascii="楷体" w:hAnsi="楷体" w:eastAsia="楷体" w:cs="楷体"/>
                <w:sz w:val="20"/>
                <w:szCs w:val="20"/>
              </w:rPr>
            </w:pPr>
            <w:r>
              <w:rPr>
                <w:rFonts w:ascii="楷体" w:hAnsi="楷体" w:eastAsia="楷体" w:cs="楷体"/>
                <w:sz w:val="20"/>
                <w:szCs w:val="20"/>
              </w:rPr>
              <w:t>定期检查CPU、内存、硬盘、电源、风扇等硬件状态，监测温度、电压等指标，预防过热或硬件故障；定期安装操作系统补丁，修复安全漏洞，优化系统性能</w:t>
            </w:r>
          </w:p>
        </w:tc>
      </w:tr>
      <w:tr w14:paraId="29B0A8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79" w:hRule="atLeast"/>
          <w:jc w:val="center"/>
        </w:trPr>
        <w:tc>
          <w:tcPr>
            <w:tcW w:w="419" w:type="pct"/>
            <w:vMerge w:val="continue"/>
            <w:tcBorders>
              <w:top w:val="single" w:color="auto" w:sz="4" w:space="0"/>
              <w:left w:val="single" w:color="auto" w:sz="4" w:space="0"/>
              <w:bottom w:val="single" w:color="000000" w:sz="4" w:space="0"/>
              <w:right w:val="single" w:color="000000" w:sz="4" w:space="0"/>
            </w:tcBorders>
            <w:vAlign w:val="center"/>
          </w:tcPr>
          <w:p w14:paraId="220846D0">
            <w:pPr>
              <w:jc w:val="center"/>
              <w:rPr>
                <w:rFonts w:hint="eastAsia" w:ascii="楷体" w:hAnsi="楷体" w:eastAsia="楷体" w:cs="楷体"/>
                <w:color w:val="auto"/>
                <w:sz w:val="20"/>
                <w:szCs w:val="20"/>
                <w:lang w:eastAsia="zh-CN"/>
              </w:rPr>
            </w:pPr>
          </w:p>
        </w:tc>
        <w:tc>
          <w:tcPr>
            <w:tcW w:w="546" w:type="pct"/>
            <w:vMerge w:val="continue"/>
            <w:tcBorders>
              <w:top w:val="single" w:color="auto" w:sz="4" w:space="0"/>
              <w:left w:val="single" w:color="000000" w:sz="4" w:space="0"/>
              <w:bottom w:val="single" w:color="000000" w:sz="4" w:space="0"/>
              <w:right w:val="single" w:color="000000" w:sz="4" w:space="0"/>
            </w:tcBorders>
            <w:vAlign w:val="center"/>
          </w:tcPr>
          <w:p w14:paraId="41E40723">
            <w:pPr>
              <w:jc w:val="center"/>
              <w:rPr>
                <w:rFonts w:hint="eastAsia" w:ascii="楷体" w:hAnsi="楷体" w:eastAsia="楷体" w:cs="楷体"/>
                <w:color w:val="auto"/>
                <w:sz w:val="20"/>
                <w:szCs w:val="20"/>
                <w:lang w:eastAsia="zh-CN"/>
              </w:rPr>
            </w:pPr>
          </w:p>
        </w:tc>
        <w:tc>
          <w:tcPr>
            <w:tcW w:w="499" w:type="pct"/>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EA91FA8">
            <w:pPr>
              <w:pStyle w:val="7"/>
              <w:jc w:val="center"/>
              <w:rPr>
                <w:rFonts w:hint="eastAsia" w:ascii="楷体" w:hAnsi="楷体" w:eastAsia="楷体" w:cs="楷体"/>
                <w:sz w:val="20"/>
                <w:szCs w:val="20"/>
              </w:rPr>
            </w:pPr>
            <w:r>
              <w:rPr>
                <w:rFonts w:ascii="楷体" w:hAnsi="楷体" w:eastAsia="楷体" w:cs="楷体"/>
                <w:sz w:val="20"/>
                <w:szCs w:val="20"/>
              </w:rPr>
              <w:t>应用软件</w:t>
            </w:r>
          </w:p>
        </w:tc>
        <w:tc>
          <w:tcPr>
            <w:tcW w:w="305" w:type="pct"/>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B5A68AA">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39FD8C0">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120C2DB">
            <w:pPr>
              <w:pStyle w:val="7"/>
              <w:jc w:val="center"/>
              <w:rPr>
                <w:rFonts w:hint="eastAsia" w:ascii="楷体" w:hAnsi="楷体" w:eastAsia="楷体" w:cs="楷体"/>
                <w:sz w:val="20"/>
                <w:szCs w:val="20"/>
              </w:rPr>
            </w:pPr>
            <w:r>
              <w:rPr>
                <w:rFonts w:ascii="楷体" w:hAnsi="楷体" w:eastAsia="楷体" w:cs="楷体"/>
                <w:sz w:val="20"/>
                <w:szCs w:val="20"/>
              </w:rPr>
              <w:t>对应用软件提供使用支持，包括业务需求、bug修复、使用支持、上线测试、技术培训等方面的内容。通过应用支持服务，实现 “应用不停”的工作目标</w:t>
            </w:r>
          </w:p>
        </w:tc>
      </w:tr>
      <w:tr w14:paraId="57277C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19" w:type="pct"/>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EC8BF76">
            <w:pPr>
              <w:pStyle w:val="7"/>
              <w:jc w:val="center"/>
              <w:rPr>
                <w:rFonts w:hint="eastAsia" w:ascii="楷体" w:hAnsi="楷体" w:eastAsia="楷体" w:cs="楷体"/>
                <w:sz w:val="20"/>
                <w:szCs w:val="20"/>
              </w:rPr>
            </w:pPr>
            <w:r>
              <w:rPr>
                <w:rFonts w:ascii="楷体" w:hAnsi="楷体" w:eastAsia="楷体" w:cs="楷体"/>
                <w:sz w:val="20"/>
                <w:szCs w:val="20"/>
              </w:rPr>
              <w:t>20</w:t>
            </w:r>
          </w:p>
        </w:tc>
        <w:tc>
          <w:tcPr>
            <w:tcW w:w="546" w:type="pct"/>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031E6D5">
            <w:pPr>
              <w:pStyle w:val="7"/>
              <w:jc w:val="center"/>
              <w:rPr>
                <w:rFonts w:hint="eastAsia" w:ascii="楷体" w:hAnsi="楷体" w:eastAsia="楷体" w:cs="楷体"/>
                <w:sz w:val="20"/>
                <w:szCs w:val="20"/>
              </w:rPr>
            </w:pPr>
            <w:r>
              <w:rPr>
                <w:rFonts w:ascii="楷体" w:hAnsi="楷体" w:eastAsia="楷体" w:cs="楷体"/>
                <w:sz w:val="20"/>
                <w:szCs w:val="20"/>
              </w:rPr>
              <w:t>安全加密系统</w:t>
            </w:r>
          </w:p>
        </w:tc>
        <w:tc>
          <w:tcPr>
            <w:tcW w:w="49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CEACC25">
            <w:pPr>
              <w:pStyle w:val="7"/>
              <w:jc w:val="center"/>
              <w:rPr>
                <w:rFonts w:hint="eastAsia" w:ascii="楷体" w:hAnsi="楷体" w:eastAsia="楷体" w:cs="楷体"/>
                <w:sz w:val="20"/>
                <w:szCs w:val="20"/>
              </w:rPr>
            </w:pPr>
            <w:r>
              <w:rPr>
                <w:rFonts w:ascii="楷体" w:hAnsi="楷体" w:eastAsia="楷体" w:cs="楷体"/>
                <w:sz w:val="20"/>
                <w:szCs w:val="20"/>
              </w:rPr>
              <w:t>移动安全接入系统</w:t>
            </w:r>
          </w:p>
        </w:tc>
        <w:tc>
          <w:tcPr>
            <w:tcW w:w="30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AADDA3D">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F67DC31">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AFCCAF1">
            <w:pPr>
              <w:pStyle w:val="7"/>
              <w:jc w:val="center"/>
              <w:rPr>
                <w:rFonts w:hint="eastAsia" w:ascii="楷体" w:hAnsi="楷体" w:eastAsia="楷体" w:cs="楷体"/>
                <w:sz w:val="20"/>
                <w:szCs w:val="20"/>
              </w:rPr>
            </w:pPr>
            <w:r>
              <w:rPr>
                <w:rFonts w:hint="eastAsia" w:ascii="楷体" w:hAnsi="楷体" w:eastAsia="楷体" w:cs="楷体"/>
                <w:sz w:val="20"/>
                <w:szCs w:val="20"/>
                <w:lang w:eastAsia="zh-CN"/>
              </w:rPr>
              <w:t>1.</w:t>
            </w:r>
            <w:r>
              <w:rPr>
                <w:rFonts w:ascii="楷体" w:hAnsi="楷体" w:eastAsia="楷体" w:cs="楷体"/>
                <w:sz w:val="20"/>
                <w:szCs w:val="20"/>
              </w:rPr>
              <w:t>提供日常技术咨询服务，解决最终用户在使用中遇到的技术问题。</w:t>
            </w:r>
          </w:p>
          <w:p w14:paraId="54B727D7">
            <w:pPr>
              <w:pStyle w:val="7"/>
              <w:jc w:val="center"/>
              <w:rPr>
                <w:rFonts w:hint="eastAsia" w:ascii="楷体" w:hAnsi="楷体" w:eastAsia="楷体" w:cs="楷体"/>
                <w:sz w:val="20"/>
                <w:szCs w:val="20"/>
              </w:rPr>
            </w:pPr>
            <w:r>
              <w:rPr>
                <w:rFonts w:hint="eastAsia" w:ascii="楷体" w:hAnsi="楷体" w:eastAsia="楷体" w:cs="楷体"/>
                <w:sz w:val="20"/>
                <w:szCs w:val="20"/>
                <w:lang w:eastAsia="zh-CN"/>
              </w:rPr>
              <w:t>2.</w:t>
            </w:r>
            <w:r>
              <w:rPr>
                <w:rFonts w:ascii="楷体" w:hAnsi="楷体" w:eastAsia="楷体" w:cs="楷体"/>
                <w:sz w:val="20"/>
                <w:szCs w:val="20"/>
              </w:rPr>
              <w:t>每周对系统软件进行登陆、查询操作，确认系统组件处于正常工作状态。</w:t>
            </w:r>
          </w:p>
          <w:p w14:paraId="1BCC2D86">
            <w:pPr>
              <w:pStyle w:val="7"/>
              <w:jc w:val="center"/>
              <w:rPr>
                <w:rFonts w:hint="eastAsia" w:ascii="楷体" w:hAnsi="楷体" w:eastAsia="楷体" w:cs="楷体"/>
                <w:sz w:val="20"/>
                <w:szCs w:val="20"/>
              </w:rPr>
            </w:pPr>
            <w:r>
              <w:rPr>
                <w:rFonts w:hint="eastAsia" w:ascii="楷体" w:hAnsi="楷体" w:eastAsia="楷体" w:cs="楷体"/>
                <w:sz w:val="20"/>
                <w:szCs w:val="20"/>
                <w:lang w:eastAsia="zh-CN"/>
              </w:rPr>
              <w:t>3.</w:t>
            </w:r>
            <w:r>
              <w:rPr>
                <w:rFonts w:ascii="楷体" w:hAnsi="楷体" w:eastAsia="楷体" w:cs="楷体"/>
                <w:sz w:val="20"/>
                <w:szCs w:val="20"/>
              </w:rPr>
              <w:t>每周对系统应用、数据库等运行情况进行例行巡检，发现问题后及时处理或进行优化。</w:t>
            </w:r>
          </w:p>
          <w:p w14:paraId="2D16D03F">
            <w:pPr>
              <w:pStyle w:val="7"/>
              <w:jc w:val="center"/>
              <w:rPr>
                <w:rFonts w:hint="eastAsia" w:ascii="楷体" w:hAnsi="楷体" w:eastAsia="楷体" w:cs="楷体"/>
                <w:sz w:val="20"/>
                <w:szCs w:val="20"/>
              </w:rPr>
            </w:pPr>
            <w:r>
              <w:rPr>
                <w:rFonts w:hint="eastAsia" w:ascii="楷体" w:hAnsi="楷体" w:eastAsia="楷体" w:cs="楷体"/>
                <w:sz w:val="20"/>
                <w:szCs w:val="20"/>
                <w:lang w:eastAsia="zh-CN"/>
              </w:rPr>
              <w:t>4.</w:t>
            </w:r>
            <w:r>
              <w:rPr>
                <w:rFonts w:ascii="楷体" w:hAnsi="楷体" w:eastAsia="楷体" w:cs="楷体"/>
                <w:sz w:val="20"/>
                <w:szCs w:val="20"/>
              </w:rPr>
              <w:t>每月定期清理过期日志，确保系统不会因为日志过大而造成服务意外关闭或系统死机。</w:t>
            </w:r>
          </w:p>
          <w:p w14:paraId="47FB0026">
            <w:pPr>
              <w:pStyle w:val="7"/>
              <w:jc w:val="center"/>
              <w:rPr>
                <w:rFonts w:hint="eastAsia" w:ascii="楷体" w:hAnsi="楷体" w:eastAsia="楷体" w:cs="楷体"/>
                <w:sz w:val="20"/>
                <w:szCs w:val="20"/>
              </w:rPr>
            </w:pPr>
            <w:r>
              <w:rPr>
                <w:rFonts w:hint="eastAsia" w:ascii="楷体" w:hAnsi="楷体" w:eastAsia="楷体" w:cs="楷体"/>
                <w:sz w:val="20"/>
                <w:szCs w:val="20"/>
                <w:lang w:eastAsia="zh-CN"/>
              </w:rPr>
              <w:t>5.</w:t>
            </w:r>
            <w:r>
              <w:rPr>
                <w:rFonts w:ascii="楷体" w:hAnsi="楷体" w:eastAsia="楷体" w:cs="楷体"/>
                <w:sz w:val="20"/>
                <w:szCs w:val="20"/>
              </w:rPr>
              <w:t>每季度对维保设备提供一次全面巡检服务，根据巡检情况提供书面巡检报告。</w:t>
            </w:r>
          </w:p>
        </w:tc>
      </w:tr>
      <w:tr w14:paraId="5BCEBB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19" w:type="pct"/>
            <w:vMerge w:val="continue"/>
            <w:tcBorders>
              <w:top w:val="nil"/>
              <w:left w:val="single" w:color="000000" w:sz="4" w:space="0"/>
              <w:bottom w:val="single" w:color="000000" w:sz="4" w:space="0"/>
              <w:right w:val="single" w:color="000000" w:sz="4" w:space="0"/>
            </w:tcBorders>
            <w:vAlign w:val="center"/>
          </w:tcPr>
          <w:p w14:paraId="2959CED8">
            <w:pPr>
              <w:jc w:val="center"/>
              <w:rPr>
                <w:rFonts w:hint="eastAsia" w:ascii="楷体" w:hAnsi="楷体" w:eastAsia="楷体" w:cs="楷体"/>
                <w:color w:val="auto"/>
                <w:sz w:val="20"/>
                <w:szCs w:val="20"/>
                <w:lang w:eastAsia="zh-CN"/>
              </w:rPr>
            </w:pPr>
          </w:p>
        </w:tc>
        <w:tc>
          <w:tcPr>
            <w:tcW w:w="546" w:type="pct"/>
            <w:vMerge w:val="continue"/>
            <w:tcBorders>
              <w:top w:val="nil"/>
              <w:left w:val="single" w:color="000000" w:sz="4" w:space="0"/>
              <w:bottom w:val="single" w:color="000000" w:sz="4" w:space="0"/>
              <w:right w:val="single" w:color="000000" w:sz="4" w:space="0"/>
            </w:tcBorders>
            <w:vAlign w:val="center"/>
          </w:tcPr>
          <w:p w14:paraId="09E5CDED">
            <w:pPr>
              <w:jc w:val="center"/>
              <w:rPr>
                <w:rFonts w:hint="eastAsia" w:ascii="楷体" w:hAnsi="楷体" w:eastAsia="楷体" w:cs="楷体"/>
                <w:color w:val="auto"/>
                <w:sz w:val="20"/>
                <w:szCs w:val="20"/>
                <w:lang w:eastAsia="zh-CN"/>
              </w:rPr>
            </w:pPr>
          </w:p>
        </w:tc>
        <w:tc>
          <w:tcPr>
            <w:tcW w:w="49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0608C8">
            <w:pPr>
              <w:pStyle w:val="7"/>
              <w:jc w:val="center"/>
              <w:rPr>
                <w:rFonts w:hint="eastAsia" w:ascii="楷体" w:hAnsi="楷体" w:eastAsia="楷体" w:cs="楷体"/>
                <w:sz w:val="20"/>
                <w:szCs w:val="20"/>
              </w:rPr>
            </w:pPr>
            <w:r>
              <w:rPr>
                <w:rFonts w:ascii="楷体" w:hAnsi="楷体" w:eastAsia="楷体" w:cs="楷体"/>
                <w:sz w:val="20"/>
                <w:szCs w:val="20"/>
              </w:rPr>
              <w:t>综合认证系统</w:t>
            </w:r>
          </w:p>
        </w:tc>
        <w:tc>
          <w:tcPr>
            <w:tcW w:w="30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FA4E73E">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5FFE9F7">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vMerge w:val="continue"/>
            <w:tcBorders>
              <w:top w:val="nil"/>
              <w:left w:val="single" w:color="000000" w:sz="4" w:space="0"/>
              <w:bottom w:val="single" w:color="000000" w:sz="4" w:space="0"/>
              <w:right w:val="single" w:color="000000" w:sz="4" w:space="0"/>
            </w:tcBorders>
            <w:vAlign w:val="center"/>
          </w:tcPr>
          <w:p w14:paraId="6ED65564">
            <w:pPr>
              <w:jc w:val="center"/>
              <w:rPr>
                <w:rFonts w:hint="eastAsia" w:ascii="楷体" w:hAnsi="楷体" w:eastAsia="楷体" w:cs="楷体"/>
                <w:color w:val="auto"/>
                <w:sz w:val="20"/>
                <w:szCs w:val="20"/>
              </w:rPr>
            </w:pPr>
          </w:p>
        </w:tc>
      </w:tr>
      <w:tr w14:paraId="60CFB6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557" w:hRule="atLeast"/>
          <w:jc w:val="center"/>
        </w:trPr>
        <w:tc>
          <w:tcPr>
            <w:tcW w:w="419" w:type="pct"/>
            <w:vMerge w:val="continue"/>
            <w:tcBorders>
              <w:top w:val="nil"/>
              <w:left w:val="single" w:color="000000" w:sz="4" w:space="0"/>
              <w:bottom w:val="single" w:color="000000" w:sz="4" w:space="0"/>
              <w:right w:val="single" w:color="000000" w:sz="4" w:space="0"/>
            </w:tcBorders>
            <w:vAlign w:val="center"/>
          </w:tcPr>
          <w:p w14:paraId="1827178F">
            <w:pPr>
              <w:jc w:val="center"/>
              <w:rPr>
                <w:rFonts w:hint="eastAsia" w:ascii="楷体" w:hAnsi="楷体" w:eastAsia="楷体" w:cs="楷体"/>
                <w:color w:val="auto"/>
                <w:sz w:val="20"/>
                <w:szCs w:val="20"/>
              </w:rPr>
            </w:pPr>
          </w:p>
        </w:tc>
        <w:tc>
          <w:tcPr>
            <w:tcW w:w="546" w:type="pct"/>
            <w:vMerge w:val="continue"/>
            <w:tcBorders>
              <w:top w:val="nil"/>
              <w:left w:val="single" w:color="000000" w:sz="4" w:space="0"/>
              <w:bottom w:val="single" w:color="000000" w:sz="4" w:space="0"/>
              <w:right w:val="single" w:color="000000" w:sz="4" w:space="0"/>
            </w:tcBorders>
            <w:vAlign w:val="center"/>
          </w:tcPr>
          <w:p w14:paraId="3B58E618">
            <w:pPr>
              <w:jc w:val="center"/>
              <w:rPr>
                <w:rFonts w:hint="eastAsia" w:ascii="楷体" w:hAnsi="楷体" w:eastAsia="楷体" w:cs="楷体"/>
                <w:color w:val="auto"/>
                <w:sz w:val="20"/>
                <w:szCs w:val="20"/>
              </w:rPr>
            </w:pPr>
          </w:p>
        </w:tc>
        <w:tc>
          <w:tcPr>
            <w:tcW w:w="49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F341C9F">
            <w:pPr>
              <w:pStyle w:val="7"/>
              <w:jc w:val="center"/>
              <w:rPr>
                <w:rFonts w:hint="eastAsia" w:ascii="楷体" w:hAnsi="楷体" w:eastAsia="楷体" w:cs="楷体"/>
                <w:sz w:val="20"/>
                <w:szCs w:val="20"/>
              </w:rPr>
            </w:pPr>
            <w:r>
              <w:rPr>
                <w:rFonts w:ascii="楷体" w:hAnsi="楷体" w:eastAsia="楷体" w:cs="楷体"/>
                <w:sz w:val="20"/>
                <w:szCs w:val="20"/>
              </w:rPr>
              <w:t>综合管理系统</w:t>
            </w:r>
          </w:p>
        </w:tc>
        <w:tc>
          <w:tcPr>
            <w:tcW w:w="30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E897D49">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F143EF6">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vMerge w:val="continue"/>
            <w:tcBorders>
              <w:top w:val="nil"/>
              <w:left w:val="single" w:color="000000" w:sz="4" w:space="0"/>
              <w:bottom w:val="single" w:color="000000" w:sz="4" w:space="0"/>
              <w:right w:val="single" w:color="000000" w:sz="4" w:space="0"/>
            </w:tcBorders>
            <w:vAlign w:val="center"/>
          </w:tcPr>
          <w:p w14:paraId="3CEBF744">
            <w:pPr>
              <w:jc w:val="center"/>
              <w:rPr>
                <w:rFonts w:hint="eastAsia" w:ascii="楷体" w:hAnsi="楷体" w:eastAsia="楷体" w:cs="楷体"/>
                <w:color w:val="auto"/>
                <w:sz w:val="20"/>
                <w:szCs w:val="20"/>
              </w:rPr>
            </w:pPr>
          </w:p>
        </w:tc>
      </w:tr>
      <w:tr w14:paraId="635852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178" w:hRule="atLeast"/>
          <w:jc w:val="center"/>
        </w:trPr>
        <w:tc>
          <w:tcPr>
            <w:tcW w:w="419" w:type="pct"/>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4A85989">
            <w:pPr>
              <w:pStyle w:val="7"/>
              <w:jc w:val="center"/>
              <w:rPr>
                <w:rFonts w:hint="eastAsia" w:ascii="楷体" w:hAnsi="楷体" w:eastAsia="楷体" w:cs="楷体"/>
                <w:sz w:val="20"/>
                <w:szCs w:val="20"/>
              </w:rPr>
            </w:pPr>
            <w:r>
              <w:rPr>
                <w:rFonts w:ascii="楷体" w:hAnsi="楷体" w:eastAsia="楷体" w:cs="楷体"/>
                <w:sz w:val="20"/>
                <w:szCs w:val="20"/>
              </w:rPr>
              <w:t>21</w:t>
            </w:r>
          </w:p>
          <w:p w14:paraId="4C36F093">
            <w:pPr>
              <w:pStyle w:val="7"/>
              <w:jc w:val="center"/>
              <w:rPr>
                <w:rFonts w:hint="eastAsia" w:ascii="楷体" w:hAnsi="楷体" w:eastAsia="楷体" w:cs="楷体"/>
                <w:sz w:val="20"/>
                <w:szCs w:val="20"/>
              </w:rPr>
            </w:pPr>
          </w:p>
        </w:tc>
        <w:tc>
          <w:tcPr>
            <w:tcW w:w="546" w:type="pct"/>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A2FE314">
            <w:pPr>
              <w:pStyle w:val="7"/>
              <w:jc w:val="center"/>
              <w:rPr>
                <w:rFonts w:hint="eastAsia" w:ascii="楷体" w:hAnsi="楷体" w:eastAsia="楷体" w:cs="楷体"/>
                <w:sz w:val="20"/>
                <w:szCs w:val="20"/>
              </w:rPr>
            </w:pPr>
            <w:r>
              <w:rPr>
                <w:rFonts w:ascii="楷体" w:hAnsi="楷体" w:eastAsia="楷体" w:cs="楷体"/>
                <w:sz w:val="20"/>
                <w:szCs w:val="20"/>
              </w:rPr>
              <w:t>会议室设备及配套系统</w:t>
            </w:r>
          </w:p>
        </w:tc>
        <w:tc>
          <w:tcPr>
            <w:tcW w:w="49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1B01BF9">
            <w:pPr>
              <w:pStyle w:val="7"/>
              <w:jc w:val="center"/>
              <w:rPr>
                <w:rFonts w:hint="eastAsia" w:ascii="楷体" w:hAnsi="楷体" w:eastAsia="楷体" w:cs="楷体"/>
                <w:sz w:val="20"/>
                <w:szCs w:val="20"/>
              </w:rPr>
            </w:pPr>
            <w:r>
              <w:rPr>
                <w:rFonts w:ascii="楷体" w:hAnsi="楷体" w:eastAsia="楷体" w:cs="楷体"/>
                <w:sz w:val="20"/>
                <w:szCs w:val="20"/>
              </w:rPr>
              <w:t>会议系统</w:t>
            </w:r>
          </w:p>
        </w:tc>
        <w:tc>
          <w:tcPr>
            <w:tcW w:w="30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888253E">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BAE4B6C">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E00E015">
            <w:pPr>
              <w:pStyle w:val="7"/>
              <w:jc w:val="center"/>
              <w:rPr>
                <w:rFonts w:hint="eastAsia" w:ascii="楷体" w:hAnsi="楷体" w:eastAsia="楷体" w:cs="楷体"/>
                <w:sz w:val="20"/>
                <w:szCs w:val="20"/>
              </w:rPr>
            </w:pPr>
            <w:r>
              <w:rPr>
                <w:rFonts w:ascii="楷体" w:hAnsi="楷体" w:eastAsia="楷体" w:cs="楷体"/>
                <w:sz w:val="20"/>
                <w:szCs w:val="20"/>
              </w:rPr>
              <w:t>1.会议前的设备检查2.软硬件系统调试准备3.信号管理、切换和显示4.会议状态监控保障5.声音质量调节处理6.视频信息存储管理7.会议音响设备保障</w:t>
            </w:r>
          </w:p>
        </w:tc>
      </w:tr>
      <w:tr w14:paraId="263F9B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22" w:hRule="atLeast"/>
          <w:jc w:val="center"/>
        </w:trPr>
        <w:tc>
          <w:tcPr>
            <w:tcW w:w="419" w:type="pct"/>
            <w:vMerge w:val="continue"/>
            <w:tcBorders>
              <w:top w:val="single" w:color="000000" w:sz="4" w:space="0"/>
              <w:left w:val="single" w:color="000000" w:sz="4" w:space="0"/>
              <w:bottom w:val="single" w:color="000000" w:sz="4" w:space="0"/>
              <w:right w:val="single" w:color="000000" w:sz="4" w:space="0"/>
            </w:tcBorders>
            <w:vAlign w:val="center"/>
          </w:tcPr>
          <w:p w14:paraId="10C7766D">
            <w:pPr>
              <w:jc w:val="center"/>
              <w:rPr>
                <w:rFonts w:hint="eastAsia" w:ascii="楷体" w:hAnsi="楷体" w:eastAsia="楷体" w:cs="楷体"/>
                <w:color w:val="auto"/>
                <w:sz w:val="20"/>
                <w:szCs w:val="20"/>
                <w:lang w:eastAsia="zh-CN"/>
              </w:rPr>
            </w:pPr>
          </w:p>
        </w:tc>
        <w:tc>
          <w:tcPr>
            <w:tcW w:w="546" w:type="pct"/>
            <w:vMerge w:val="continue"/>
            <w:tcBorders>
              <w:top w:val="single" w:color="000000" w:sz="4" w:space="0"/>
              <w:left w:val="single" w:color="000000" w:sz="4" w:space="0"/>
              <w:bottom w:val="single" w:color="000000" w:sz="4" w:space="0"/>
              <w:right w:val="single" w:color="000000" w:sz="4" w:space="0"/>
            </w:tcBorders>
            <w:vAlign w:val="center"/>
          </w:tcPr>
          <w:p w14:paraId="7EF72C10">
            <w:pPr>
              <w:jc w:val="center"/>
              <w:rPr>
                <w:rFonts w:hint="eastAsia" w:ascii="楷体" w:hAnsi="楷体" w:eastAsia="楷体" w:cs="楷体"/>
                <w:color w:val="auto"/>
                <w:sz w:val="20"/>
                <w:szCs w:val="20"/>
                <w:lang w:eastAsia="zh-CN"/>
              </w:rPr>
            </w:pPr>
          </w:p>
        </w:tc>
        <w:tc>
          <w:tcPr>
            <w:tcW w:w="49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1A8FD36">
            <w:pPr>
              <w:pStyle w:val="7"/>
              <w:jc w:val="center"/>
              <w:rPr>
                <w:rFonts w:hint="eastAsia" w:ascii="楷体" w:hAnsi="楷体" w:eastAsia="楷体" w:cs="楷体"/>
                <w:sz w:val="20"/>
                <w:szCs w:val="20"/>
              </w:rPr>
            </w:pPr>
            <w:r>
              <w:rPr>
                <w:rFonts w:ascii="楷体" w:hAnsi="楷体" w:eastAsia="楷体" w:cs="楷体"/>
                <w:sz w:val="20"/>
                <w:szCs w:val="20"/>
              </w:rPr>
              <w:t>扩音系统</w:t>
            </w:r>
          </w:p>
        </w:tc>
        <w:tc>
          <w:tcPr>
            <w:tcW w:w="30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864BA8F">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A5E4A10">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4593434">
            <w:pPr>
              <w:pStyle w:val="7"/>
              <w:jc w:val="center"/>
              <w:rPr>
                <w:rFonts w:hint="eastAsia" w:ascii="楷体" w:hAnsi="楷体" w:eastAsia="楷体" w:cs="楷体"/>
                <w:sz w:val="20"/>
                <w:szCs w:val="20"/>
              </w:rPr>
            </w:pPr>
            <w:r>
              <w:rPr>
                <w:rFonts w:ascii="楷体" w:hAnsi="楷体" w:eastAsia="楷体" w:cs="楷体"/>
                <w:sz w:val="20"/>
                <w:szCs w:val="20"/>
              </w:rPr>
              <w:t>包括音响6台，功放3台及音频处理设备等，每日检查设备散热风扇运行状态，清理通风口积尘，每月测试输出功率与阻抗匹配，避免过载导致失真或烧毁，同时保障运维期间按需调试，确保各项设备正常运行</w:t>
            </w:r>
          </w:p>
        </w:tc>
      </w:tr>
      <w:tr w14:paraId="4FA6B4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419" w:type="pct"/>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5BDB0B8">
            <w:pPr>
              <w:pStyle w:val="7"/>
              <w:jc w:val="center"/>
              <w:rPr>
                <w:rFonts w:hint="eastAsia" w:ascii="楷体" w:hAnsi="楷体" w:eastAsia="楷体" w:cs="楷体"/>
                <w:sz w:val="20"/>
                <w:szCs w:val="20"/>
              </w:rPr>
            </w:pPr>
            <w:r>
              <w:rPr>
                <w:rFonts w:ascii="楷体" w:hAnsi="楷体" w:eastAsia="楷体" w:cs="楷体"/>
                <w:sz w:val="20"/>
                <w:szCs w:val="20"/>
              </w:rPr>
              <w:t>22</w:t>
            </w:r>
          </w:p>
        </w:tc>
        <w:tc>
          <w:tcPr>
            <w:tcW w:w="546" w:type="pct"/>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B6272ED">
            <w:pPr>
              <w:pStyle w:val="7"/>
              <w:jc w:val="center"/>
              <w:rPr>
                <w:rFonts w:hint="eastAsia" w:ascii="楷体" w:hAnsi="楷体" w:eastAsia="楷体" w:cs="楷体"/>
                <w:sz w:val="20"/>
                <w:szCs w:val="20"/>
              </w:rPr>
            </w:pPr>
            <w:r>
              <w:rPr>
                <w:rFonts w:ascii="楷体" w:hAnsi="楷体" w:eastAsia="楷体" w:cs="楷体"/>
                <w:sz w:val="20"/>
                <w:szCs w:val="20"/>
              </w:rPr>
              <w:t>机房配套</w:t>
            </w:r>
          </w:p>
        </w:tc>
        <w:tc>
          <w:tcPr>
            <w:tcW w:w="49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F477AF6">
            <w:pPr>
              <w:pStyle w:val="7"/>
              <w:jc w:val="center"/>
              <w:rPr>
                <w:rFonts w:hint="eastAsia" w:ascii="楷体" w:hAnsi="楷体" w:eastAsia="楷体" w:cs="楷体"/>
                <w:sz w:val="20"/>
                <w:szCs w:val="20"/>
              </w:rPr>
            </w:pPr>
            <w:r>
              <w:rPr>
                <w:rFonts w:ascii="楷体" w:hAnsi="楷体" w:eastAsia="楷体" w:cs="楷体"/>
                <w:sz w:val="20"/>
                <w:szCs w:val="20"/>
              </w:rPr>
              <w:t>UPS系统</w:t>
            </w:r>
          </w:p>
        </w:tc>
        <w:tc>
          <w:tcPr>
            <w:tcW w:w="30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F3AB394">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1D8F2A6">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AA2C4F3">
            <w:pPr>
              <w:pStyle w:val="7"/>
              <w:jc w:val="center"/>
              <w:rPr>
                <w:rFonts w:hint="eastAsia" w:ascii="楷体" w:hAnsi="楷体" w:eastAsia="楷体" w:cs="楷体"/>
                <w:sz w:val="20"/>
                <w:szCs w:val="20"/>
              </w:rPr>
            </w:pPr>
            <w:r>
              <w:rPr>
                <w:rFonts w:ascii="楷体" w:hAnsi="楷体" w:eastAsia="楷体" w:cs="楷体"/>
                <w:sz w:val="20"/>
                <w:szCs w:val="20"/>
              </w:rPr>
              <w:t>包括UPS主机一台，电池32块，日常设备状态检查：每日查看UPS控制面板，确认电压、负载率、电池容量等；电池充电管理，避免长期欠压或过充等</w:t>
            </w:r>
          </w:p>
        </w:tc>
      </w:tr>
      <w:tr w14:paraId="32162A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247" w:hRule="atLeast"/>
          <w:jc w:val="center"/>
        </w:trPr>
        <w:tc>
          <w:tcPr>
            <w:tcW w:w="419" w:type="pct"/>
            <w:vMerge w:val="continue"/>
            <w:tcBorders>
              <w:top w:val="nil"/>
              <w:left w:val="single" w:color="000000" w:sz="4" w:space="0"/>
              <w:bottom w:val="single" w:color="000000" w:sz="4" w:space="0"/>
              <w:right w:val="single" w:color="000000" w:sz="4" w:space="0"/>
            </w:tcBorders>
            <w:vAlign w:val="center"/>
          </w:tcPr>
          <w:p w14:paraId="54259B7D">
            <w:pPr>
              <w:jc w:val="center"/>
              <w:rPr>
                <w:rFonts w:hint="eastAsia" w:ascii="楷体" w:hAnsi="楷体" w:eastAsia="楷体" w:cs="楷体"/>
                <w:color w:val="auto"/>
                <w:sz w:val="20"/>
                <w:szCs w:val="20"/>
                <w:lang w:eastAsia="zh-CN"/>
              </w:rPr>
            </w:pPr>
          </w:p>
        </w:tc>
        <w:tc>
          <w:tcPr>
            <w:tcW w:w="546" w:type="pct"/>
            <w:vMerge w:val="continue"/>
            <w:tcBorders>
              <w:top w:val="nil"/>
              <w:left w:val="single" w:color="000000" w:sz="4" w:space="0"/>
              <w:bottom w:val="single" w:color="000000" w:sz="4" w:space="0"/>
              <w:right w:val="single" w:color="000000" w:sz="4" w:space="0"/>
            </w:tcBorders>
            <w:vAlign w:val="center"/>
          </w:tcPr>
          <w:p w14:paraId="27D6124E">
            <w:pPr>
              <w:jc w:val="center"/>
              <w:rPr>
                <w:rFonts w:hint="eastAsia" w:ascii="楷体" w:hAnsi="楷体" w:eastAsia="楷体" w:cs="楷体"/>
                <w:color w:val="auto"/>
                <w:sz w:val="20"/>
                <w:szCs w:val="20"/>
                <w:lang w:eastAsia="zh-CN"/>
              </w:rPr>
            </w:pPr>
          </w:p>
        </w:tc>
        <w:tc>
          <w:tcPr>
            <w:tcW w:w="49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1DE6821">
            <w:pPr>
              <w:pStyle w:val="7"/>
              <w:jc w:val="center"/>
              <w:rPr>
                <w:rFonts w:hint="eastAsia" w:ascii="楷体" w:hAnsi="楷体" w:eastAsia="楷体" w:cs="楷体"/>
                <w:sz w:val="20"/>
                <w:szCs w:val="20"/>
              </w:rPr>
            </w:pPr>
            <w:r>
              <w:rPr>
                <w:rFonts w:ascii="楷体" w:hAnsi="楷体" w:eastAsia="楷体" w:cs="楷体"/>
                <w:sz w:val="20"/>
                <w:szCs w:val="20"/>
              </w:rPr>
              <w:t>动环系统</w:t>
            </w:r>
          </w:p>
        </w:tc>
        <w:tc>
          <w:tcPr>
            <w:tcW w:w="30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34B2D98">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579E799">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7137D1F">
            <w:pPr>
              <w:pStyle w:val="7"/>
              <w:jc w:val="center"/>
              <w:rPr>
                <w:rFonts w:hint="eastAsia" w:ascii="楷体" w:hAnsi="楷体" w:eastAsia="楷体" w:cs="楷体"/>
                <w:sz w:val="20"/>
                <w:szCs w:val="20"/>
              </w:rPr>
            </w:pPr>
            <w:r>
              <w:rPr>
                <w:rFonts w:ascii="楷体" w:hAnsi="楷体" w:eastAsia="楷体" w:cs="楷体"/>
                <w:sz w:val="20"/>
                <w:szCs w:val="20"/>
              </w:rPr>
              <w:t>定期对比实际值与传感器数据，调整偏差；清理漏水感应线，测试定位/不定位报警功能，模拟漏水场景验证响应灵敏度；检查新风系统滤网清洁度，防止设备积尘及门禁管理等。</w:t>
            </w:r>
          </w:p>
        </w:tc>
      </w:tr>
      <w:tr w14:paraId="263894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419" w:type="pct"/>
            <w:vMerge w:val="continue"/>
            <w:tcBorders>
              <w:top w:val="nil"/>
              <w:left w:val="single" w:color="000000" w:sz="4" w:space="0"/>
              <w:bottom w:val="single" w:color="000000" w:sz="4" w:space="0"/>
              <w:right w:val="single" w:color="000000" w:sz="4" w:space="0"/>
            </w:tcBorders>
            <w:vAlign w:val="center"/>
          </w:tcPr>
          <w:p w14:paraId="2DDFFB95">
            <w:pPr>
              <w:jc w:val="center"/>
              <w:rPr>
                <w:rFonts w:hint="eastAsia" w:ascii="楷体" w:hAnsi="楷体" w:eastAsia="楷体" w:cs="楷体"/>
                <w:color w:val="auto"/>
                <w:sz w:val="20"/>
                <w:szCs w:val="20"/>
                <w:lang w:eastAsia="zh-CN"/>
              </w:rPr>
            </w:pPr>
          </w:p>
        </w:tc>
        <w:tc>
          <w:tcPr>
            <w:tcW w:w="546" w:type="pct"/>
            <w:vMerge w:val="continue"/>
            <w:tcBorders>
              <w:top w:val="nil"/>
              <w:left w:val="single" w:color="000000" w:sz="4" w:space="0"/>
              <w:bottom w:val="single" w:color="000000" w:sz="4" w:space="0"/>
              <w:right w:val="single" w:color="000000" w:sz="4" w:space="0"/>
            </w:tcBorders>
            <w:vAlign w:val="center"/>
          </w:tcPr>
          <w:p w14:paraId="0DAC5B2A">
            <w:pPr>
              <w:jc w:val="center"/>
              <w:rPr>
                <w:rFonts w:hint="eastAsia" w:ascii="楷体" w:hAnsi="楷体" w:eastAsia="楷体" w:cs="楷体"/>
                <w:color w:val="auto"/>
                <w:sz w:val="20"/>
                <w:szCs w:val="20"/>
                <w:lang w:eastAsia="zh-CN"/>
              </w:rPr>
            </w:pPr>
          </w:p>
        </w:tc>
        <w:tc>
          <w:tcPr>
            <w:tcW w:w="49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A7F0E06">
            <w:pPr>
              <w:pStyle w:val="7"/>
              <w:jc w:val="center"/>
              <w:rPr>
                <w:rFonts w:hint="eastAsia" w:ascii="楷体" w:hAnsi="楷体" w:eastAsia="楷体" w:cs="楷体"/>
                <w:sz w:val="20"/>
                <w:szCs w:val="20"/>
              </w:rPr>
            </w:pPr>
            <w:r>
              <w:rPr>
                <w:rFonts w:ascii="楷体" w:hAnsi="楷体" w:eastAsia="楷体" w:cs="楷体"/>
                <w:sz w:val="20"/>
                <w:szCs w:val="20"/>
              </w:rPr>
              <w:t>网络系统</w:t>
            </w:r>
          </w:p>
        </w:tc>
        <w:tc>
          <w:tcPr>
            <w:tcW w:w="30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F6C4D0D">
            <w:pPr>
              <w:pStyle w:val="7"/>
              <w:jc w:val="center"/>
              <w:rPr>
                <w:rFonts w:hint="eastAsia" w:ascii="楷体" w:hAnsi="楷体" w:eastAsia="楷体" w:cs="楷体"/>
                <w:sz w:val="20"/>
                <w:szCs w:val="20"/>
              </w:rPr>
            </w:pPr>
            <w:r>
              <w:rPr>
                <w:rFonts w:ascii="楷体" w:hAnsi="楷体" w:eastAsia="楷体" w:cs="楷体"/>
                <w:sz w:val="20"/>
                <w:szCs w:val="20"/>
              </w:rPr>
              <w:t>1</w:t>
            </w:r>
          </w:p>
        </w:tc>
        <w:tc>
          <w:tcPr>
            <w:tcW w:w="39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74DC247">
            <w:pPr>
              <w:pStyle w:val="7"/>
              <w:jc w:val="center"/>
              <w:rPr>
                <w:rFonts w:hint="eastAsia" w:ascii="楷体" w:hAnsi="楷体" w:eastAsia="楷体" w:cs="楷体"/>
                <w:sz w:val="20"/>
                <w:szCs w:val="20"/>
              </w:rPr>
            </w:pPr>
            <w:r>
              <w:rPr>
                <w:rFonts w:ascii="楷体" w:hAnsi="楷体" w:eastAsia="楷体" w:cs="楷体"/>
                <w:sz w:val="20"/>
                <w:szCs w:val="20"/>
              </w:rPr>
              <w:t>套</w:t>
            </w:r>
          </w:p>
        </w:tc>
        <w:tc>
          <w:tcPr>
            <w:tcW w:w="2830"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48DC942">
            <w:pPr>
              <w:pStyle w:val="7"/>
              <w:jc w:val="center"/>
              <w:rPr>
                <w:rFonts w:hint="eastAsia" w:ascii="楷体" w:hAnsi="楷体" w:eastAsia="楷体" w:cs="楷体"/>
                <w:sz w:val="20"/>
                <w:szCs w:val="20"/>
              </w:rPr>
            </w:pPr>
            <w:r>
              <w:rPr>
                <w:rFonts w:ascii="楷体" w:hAnsi="楷体" w:eastAsia="楷体" w:cs="楷体"/>
                <w:sz w:val="20"/>
                <w:szCs w:val="20"/>
              </w:rPr>
              <w:t>验证交换机/IP摄像头通信状态，更新防火墙策略，确保视频监控存储稳定性。</w:t>
            </w:r>
          </w:p>
        </w:tc>
      </w:tr>
    </w:tbl>
    <w:p w14:paraId="2FC2FBEB">
      <w:pPr>
        <w:spacing w:line="240" w:lineRule="auto"/>
        <w:ind w:firstLine="0" w:firstLineChars="0"/>
        <w:rPr>
          <w:rFonts w:hint="eastAsia" w:ascii="楷体" w:hAnsi="楷体" w:eastAsia="楷体" w:cs="楷体"/>
          <w:b/>
          <w:bCs/>
          <w:color w:val="auto"/>
          <w:spacing w:val="-1"/>
          <w:sz w:val="20"/>
          <w:szCs w:val="20"/>
          <w:lang w:eastAsia="zh-CN"/>
        </w:rPr>
      </w:pPr>
      <w:r>
        <w:rPr>
          <w:rFonts w:hint="eastAsia" w:ascii="楷体" w:hAnsi="楷体" w:eastAsia="楷体" w:cs="楷体"/>
          <w:b/>
          <w:bCs/>
          <w:color w:val="auto"/>
          <w:spacing w:val="-1"/>
          <w:sz w:val="20"/>
          <w:szCs w:val="20"/>
          <w:lang w:eastAsia="zh-CN"/>
        </w:rPr>
        <w:t>服务要求</w:t>
      </w:r>
    </w:p>
    <w:p w14:paraId="261C7FE9">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1.各类运维服务的质量指标包括但不限于：</w:t>
      </w:r>
    </w:p>
    <w:p w14:paraId="0BD4496A">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（1）业务应用系统运维服务。</w:t>
      </w:r>
    </w:p>
    <w:p w14:paraId="400EFE60">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（2）运维故障响应：故障响应时间30分钟。</w:t>
      </w:r>
    </w:p>
    <w:p w14:paraId="0B6D3ABB">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（3）全部软硬件系统巡检：至少保障每季度一次全系统巡检。</w:t>
      </w:r>
    </w:p>
    <w:p w14:paraId="37C3AD02">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（4）培训类服务：培训的覆盖面、培训的课时及参与培训人员的调查满意度。</w:t>
      </w:r>
    </w:p>
    <w:p w14:paraId="24F62445">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（5）日常维护类服务：包括维护作业计划的及时完成率、故障隐患发现率、异常主动发现率、故障服务请求及时满足率、业务服务请求及时满足率、问题解决率等。</w:t>
      </w:r>
    </w:p>
    <w:p w14:paraId="6D24D98A">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（6）运行保障类服务：服务响应及时率、到达现场及时率、故障修复及时率。</w:t>
      </w:r>
    </w:p>
    <w:p w14:paraId="4F32C897">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（7）软件升级类服务：软件升级的及时率、软件升级的成功率，在保证软件升级后仍可通过平台调取原有数据。</w:t>
      </w:r>
    </w:p>
    <w:p w14:paraId="0BEA3953">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（8）技术支持类服务：平均响应时间、问题解决比率、用户满意度等。</w:t>
      </w:r>
    </w:p>
    <w:p w14:paraId="3EE8DD02">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2.通过运维服务体系的建设，实现以用户为中心的、安全稳固的、质量成本最优的7*24小时IT运维服务，从而保障</w:t>
      </w:r>
      <w:r>
        <w:rPr>
          <w:rFonts w:hint="eastAsia" w:ascii="楷体" w:hAnsi="楷体" w:eastAsia="楷体" w:cs="楷体"/>
          <w:color w:val="auto"/>
          <w:spacing w:val="-1"/>
          <w:sz w:val="20"/>
          <w:szCs w:val="20"/>
          <w:lang w:val="en-US" w:eastAsia="zh-CN"/>
        </w:rPr>
        <w:t>支队</w:t>
      </w:r>
      <w:r>
        <w:rPr>
          <w:rFonts w:hint="eastAsia" w:ascii="楷体" w:hAnsi="楷体" w:eastAsia="楷体" w:cs="楷体"/>
          <w:color w:val="auto"/>
          <w:spacing w:val="-1"/>
          <w:sz w:val="20"/>
          <w:szCs w:val="20"/>
          <w:lang w:eastAsia="zh-CN"/>
        </w:rPr>
        <w:t>业务运作的安全稳定。</w:t>
      </w:r>
    </w:p>
    <w:p w14:paraId="2FD88197">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3、IT系统安全、稳定：</w:t>
      </w:r>
    </w:p>
    <w:p w14:paraId="17A9E5AA">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（1）重大安全事故次数为0（其中重大安全事故指因人为操作失误或破坏等原因，导致业务系统出现业务中断、系统破坏、数据破坏、信息失窃或泄密等故障，从而造成不利政治影响和经济损失等）。</w:t>
      </w:r>
    </w:p>
    <w:p w14:paraId="5367ABB6">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（2）业务应用系统稳定运行率≥99.9%</w:t>
      </w:r>
    </w:p>
    <w:p w14:paraId="42C900DE">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（3）重大IT运行事故次数为0（其中重大IT运行事故指大面积业务瘫痪、技术保障失误、业务系统运行较长时间中断等）。</w:t>
      </w:r>
    </w:p>
    <w:p w14:paraId="2A147EFA">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4.优质服务：</w:t>
      </w:r>
    </w:p>
    <w:p w14:paraId="3BDB7045">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（1）IT服务入口统一，规范标准。</w:t>
      </w:r>
    </w:p>
    <w:p w14:paraId="33FF3558">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（2）用户对系统的满意度≥95%。</w:t>
      </w:r>
    </w:p>
    <w:p w14:paraId="6CDA5063">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（3）IT需求客户满意度≥95%。</w:t>
      </w:r>
    </w:p>
    <w:p w14:paraId="15B8C42C">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（4）IT服务投诉趋向于0。</w:t>
      </w:r>
    </w:p>
    <w:p w14:paraId="655DE0BC">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5.运维服务文档的管理要求</w:t>
      </w:r>
    </w:p>
    <w:p w14:paraId="1336AE99">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（1）</w:t>
      </w:r>
      <w:r>
        <w:rPr>
          <w:rFonts w:hint="eastAsia" w:ascii="楷体" w:hAnsi="楷体" w:eastAsia="楷体" w:cs="楷体"/>
          <w:color w:val="auto"/>
          <w:spacing w:val="-1"/>
          <w:sz w:val="20"/>
          <w:szCs w:val="20"/>
          <w:lang w:val="en-US" w:eastAsia="zh-CN"/>
        </w:rPr>
        <w:t>供应商应高度</w:t>
      </w:r>
      <w:r>
        <w:rPr>
          <w:rFonts w:hint="eastAsia" w:ascii="楷体" w:hAnsi="楷体" w:eastAsia="楷体" w:cs="楷体"/>
          <w:color w:val="auto"/>
          <w:spacing w:val="-1"/>
          <w:sz w:val="20"/>
          <w:szCs w:val="20"/>
          <w:lang w:eastAsia="zh-CN"/>
        </w:rPr>
        <w:t>重视运维台账资料的收集整理工作，并按照</w:t>
      </w:r>
      <w:r>
        <w:rPr>
          <w:rFonts w:hint="eastAsia" w:ascii="楷体" w:hAnsi="楷体" w:eastAsia="楷体" w:cs="楷体"/>
          <w:color w:val="auto"/>
          <w:spacing w:val="-1"/>
          <w:sz w:val="20"/>
          <w:szCs w:val="20"/>
          <w:lang w:val="en-US" w:eastAsia="zh-CN"/>
        </w:rPr>
        <w:t>支队</w:t>
      </w:r>
      <w:r>
        <w:rPr>
          <w:rFonts w:hint="eastAsia" w:ascii="楷体" w:hAnsi="楷体" w:eastAsia="楷体" w:cs="楷体"/>
          <w:color w:val="auto"/>
          <w:spacing w:val="-1"/>
          <w:sz w:val="20"/>
          <w:szCs w:val="20"/>
          <w:lang w:eastAsia="zh-CN"/>
        </w:rPr>
        <w:t>提供的运维服务基础台账模板和要求编制运维日志和台账资料，包括但不限于月、季度、年度的运维服务报告，设备维保和巡检的相关印证材料，以及客户评价和满意度调查表。</w:t>
      </w:r>
    </w:p>
    <w:p w14:paraId="09E77CD7">
      <w:pPr>
        <w:spacing w:line="240" w:lineRule="auto"/>
        <w:ind w:firstLine="396" w:firstLineChars="200"/>
        <w:rPr>
          <w:rFonts w:hint="eastAsia" w:ascii="楷体" w:hAnsi="楷体" w:eastAsia="楷体" w:cs="楷体"/>
          <w:color w:val="auto"/>
          <w:spacing w:val="-1"/>
          <w:sz w:val="20"/>
          <w:szCs w:val="20"/>
          <w:lang w:eastAsia="zh-CN"/>
        </w:rPr>
      </w:pPr>
      <w:r>
        <w:rPr>
          <w:rFonts w:hint="eastAsia" w:ascii="楷体" w:hAnsi="楷体" w:eastAsia="楷体" w:cs="楷体"/>
          <w:color w:val="auto"/>
          <w:spacing w:val="-1"/>
          <w:sz w:val="20"/>
          <w:szCs w:val="20"/>
          <w:lang w:eastAsia="zh-CN"/>
        </w:rPr>
        <w:t>（2）</w:t>
      </w:r>
      <w:r>
        <w:rPr>
          <w:rFonts w:hint="eastAsia" w:ascii="楷体" w:hAnsi="楷体" w:eastAsia="楷体" w:cs="楷体"/>
          <w:color w:val="auto"/>
          <w:spacing w:val="-1"/>
          <w:sz w:val="20"/>
          <w:szCs w:val="20"/>
          <w:lang w:val="en-US" w:eastAsia="zh-CN"/>
        </w:rPr>
        <w:t>供应商</w:t>
      </w:r>
      <w:r>
        <w:rPr>
          <w:rFonts w:hint="eastAsia" w:ascii="楷体" w:hAnsi="楷体" w:eastAsia="楷体" w:cs="楷体"/>
          <w:color w:val="auto"/>
          <w:spacing w:val="-1"/>
          <w:sz w:val="20"/>
          <w:szCs w:val="20"/>
          <w:lang w:eastAsia="zh-CN"/>
        </w:rPr>
        <w:t>以月为单位总结日常运维服务工作，向</w:t>
      </w:r>
      <w:r>
        <w:rPr>
          <w:rFonts w:hint="eastAsia" w:ascii="楷体" w:hAnsi="楷体" w:eastAsia="楷体" w:cs="楷体"/>
          <w:color w:val="auto"/>
          <w:spacing w:val="-1"/>
          <w:sz w:val="20"/>
          <w:szCs w:val="20"/>
          <w:lang w:val="en-US" w:eastAsia="zh-CN"/>
        </w:rPr>
        <w:t>支队</w:t>
      </w:r>
      <w:r>
        <w:rPr>
          <w:rFonts w:hint="eastAsia" w:ascii="楷体" w:hAnsi="楷体" w:eastAsia="楷体" w:cs="楷体"/>
          <w:color w:val="auto"/>
          <w:spacing w:val="-1"/>
          <w:sz w:val="20"/>
          <w:szCs w:val="20"/>
          <w:lang w:eastAsia="zh-CN"/>
        </w:rPr>
        <w:t>提交运维月报，一年服务期满全面总结运维服务工作，向</w:t>
      </w:r>
      <w:r>
        <w:rPr>
          <w:rFonts w:hint="eastAsia" w:ascii="楷体" w:hAnsi="楷体" w:eastAsia="楷体" w:cs="楷体"/>
          <w:color w:val="auto"/>
          <w:spacing w:val="-1"/>
          <w:sz w:val="20"/>
          <w:szCs w:val="20"/>
          <w:lang w:val="en-US" w:eastAsia="zh-CN"/>
        </w:rPr>
        <w:t>支队</w:t>
      </w:r>
      <w:r>
        <w:rPr>
          <w:rFonts w:hint="eastAsia" w:ascii="楷体" w:hAnsi="楷体" w:eastAsia="楷体" w:cs="楷体"/>
          <w:color w:val="auto"/>
          <w:spacing w:val="-1"/>
          <w:sz w:val="20"/>
          <w:szCs w:val="20"/>
          <w:lang w:eastAsia="zh-CN"/>
        </w:rPr>
        <w:t>提交运维服务年度总结。</w:t>
      </w:r>
    </w:p>
    <w:p w14:paraId="466EE015">
      <w:pPr>
        <w:spacing w:line="240" w:lineRule="auto"/>
        <w:ind w:firstLine="0" w:firstLineChars="0"/>
        <w:rPr>
          <w:rFonts w:hint="eastAsia" w:ascii="楷体" w:hAnsi="楷体" w:eastAsia="楷体" w:cs="楷体"/>
          <w:b/>
          <w:bCs/>
          <w:color w:val="auto"/>
          <w:spacing w:val="-1"/>
          <w:sz w:val="20"/>
          <w:szCs w:val="20"/>
          <w:lang w:eastAsia="zh-CN"/>
        </w:rPr>
      </w:pPr>
      <w:r>
        <w:rPr>
          <w:rFonts w:hint="eastAsia" w:ascii="楷体" w:hAnsi="楷体" w:eastAsia="楷体" w:cs="楷体"/>
          <w:b/>
          <w:bCs/>
          <w:color w:val="auto"/>
          <w:spacing w:val="-1"/>
          <w:sz w:val="20"/>
          <w:szCs w:val="20"/>
          <w:lang w:eastAsia="zh-CN"/>
        </w:rPr>
        <w:t>运维人员管理要求</w:t>
      </w:r>
    </w:p>
    <w:p w14:paraId="56C60BC6">
      <w:pPr>
        <w:spacing w:line="240" w:lineRule="auto"/>
        <w:ind w:firstLine="396" w:firstLineChars="200"/>
        <w:rPr>
          <w:rFonts w:hint="eastAsia" w:ascii="楷体" w:hAnsi="楷体" w:eastAsia="楷体" w:cs="楷体"/>
          <w:color w:val="auto"/>
          <w:spacing w:val="-1"/>
          <w:sz w:val="20"/>
          <w:szCs w:val="20"/>
          <w:highlight w:val="none"/>
          <w:lang w:eastAsia="zh-CN"/>
        </w:rPr>
      </w:pPr>
      <w:r>
        <w:rPr>
          <w:rFonts w:hint="eastAsia" w:ascii="楷体" w:hAnsi="楷体" w:eastAsia="楷体" w:cs="楷体"/>
          <w:color w:val="auto"/>
          <w:spacing w:val="-1"/>
          <w:sz w:val="20"/>
          <w:szCs w:val="20"/>
          <w:highlight w:val="none"/>
          <w:lang w:eastAsia="zh-CN"/>
        </w:rPr>
        <w:t>1.</w:t>
      </w:r>
      <w:r>
        <w:rPr>
          <w:rFonts w:hint="eastAsia" w:ascii="楷体" w:hAnsi="楷体" w:eastAsia="楷体" w:cs="楷体"/>
          <w:color w:val="auto"/>
          <w:spacing w:val="-1"/>
          <w:sz w:val="20"/>
          <w:szCs w:val="20"/>
          <w:highlight w:val="none"/>
          <w:lang w:val="en-US" w:eastAsia="zh-CN"/>
        </w:rPr>
        <w:t>供应商</w:t>
      </w:r>
      <w:r>
        <w:rPr>
          <w:rFonts w:hint="eastAsia" w:ascii="楷体" w:hAnsi="楷体" w:eastAsia="楷体" w:cs="楷体"/>
          <w:color w:val="auto"/>
          <w:spacing w:val="-1"/>
          <w:sz w:val="20"/>
          <w:szCs w:val="20"/>
          <w:highlight w:val="none"/>
          <w:lang w:eastAsia="zh-CN"/>
        </w:rPr>
        <w:t>指定3名运维人员，并确保运维人员的连续性和稳定性；</w:t>
      </w:r>
    </w:p>
    <w:p w14:paraId="4B926D07">
      <w:pPr>
        <w:spacing w:line="240" w:lineRule="auto"/>
        <w:ind w:firstLine="396" w:firstLineChars="200"/>
        <w:rPr>
          <w:rFonts w:hint="eastAsia" w:ascii="楷体" w:hAnsi="楷体" w:eastAsia="楷体" w:cs="楷体"/>
          <w:color w:val="auto"/>
          <w:spacing w:val="-1"/>
          <w:sz w:val="20"/>
          <w:szCs w:val="20"/>
          <w:highlight w:val="none"/>
          <w:lang w:eastAsia="zh-CN"/>
        </w:rPr>
      </w:pPr>
      <w:r>
        <w:rPr>
          <w:rFonts w:hint="eastAsia" w:ascii="楷体" w:hAnsi="楷体" w:eastAsia="楷体" w:cs="楷体"/>
          <w:color w:val="auto"/>
          <w:spacing w:val="-1"/>
          <w:sz w:val="20"/>
          <w:szCs w:val="20"/>
          <w:highlight w:val="none"/>
          <w:lang w:eastAsia="zh-CN"/>
        </w:rPr>
        <w:t>2.运维人员服从</w:t>
      </w:r>
      <w:r>
        <w:rPr>
          <w:rFonts w:hint="eastAsia" w:ascii="楷体" w:hAnsi="楷体" w:eastAsia="楷体" w:cs="楷体"/>
          <w:color w:val="auto"/>
          <w:spacing w:val="-1"/>
          <w:sz w:val="20"/>
          <w:szCs w:val="20"/>
          <w:highlight w:val="none"/>
          <w:lang w:val="en-US" w:eastAsia="zh-CN"/>
        </w:rPr>
        <w:t>支队</w:t>
      </w:r>
      <w:r>
        <w:rPr>
          <w:rFonts w:hint="eastAsia" w:ascii="楷体" w:hAnsi="楷体" w:eastAsia="楷体" w:cs="楷体"/>
          <w:color w:val="auto"/>
          <w:spacing w:val="-1"/>
          <w:sz w:val="20"/>
          <w:szCs w:val="20"/>
          <w:highlight w:val="none"/>
          <w:lang w:eastAsia="zh-CN"/>
        </w:rPr>
        <w:t>管理，因运维人员的技术不符合</w:t>
      </w:r>
      <w:r>
        <w:rPr>
          <w:rFonts w:hint="eastAsia" w:ascii="楷体" w:hAnsi="楷体" w:eastAsia="楷体" w:cs="楷体"/>
          <w:color w:val="auto"/>
          <w:spacing w:val="-1"/>
          <w:sz w:val="20"/>
          <w:szCs w:val="20"/>
          <w:highlight w:val="none"/>
          <w:lang w:val="en-US" w:eastAsia="zh-CN"/>
        </w:rPr>
        <w:t>支队</w:t>
      </w:r>
      <w:r>
        <w:rPr>
          <w:rFonts w:hint="eastAsia" w:ascii="楷体" w:hAnsi="楷体" w:eastAsia="楷体" w:cs="楷体"/>
          <w:color w:val="auto"/>
          <w:spacing w:val="-1"/>
          <w:sz w:val="20"/>
          <w:szCs w:val="20"/>
          <w:highlight w:val="none"/>
          <w:lang w:eastAsia="zh-CN"/>
        </w:rPr>
        <w:t>要求的，</w:t>
      </w:r>
      <w:r>
        <w:rPr>
          <w:rFonts w:hint="eastAsia" w:ascii="楷体" w:hAnsi="楷体" w:eastAsia="楷体" w:cs="楷体"/>
          <w:color w:val="auto"/>
          <w:spacing w:val="-1"/>
          <w:sz w:val="20"/>
          <w:szCs w:val="20"/>
          <w:highlight w:val="none"/>
          <w:lang w:val="en-US" w:eastAsia="zh-CN"/>
        </w:rPr>
        <w:t>支队</w:t>
      </w:r>
      <w:r>
        <w:rPr>
          <w:rFonts w:hint="eastAsia" w:ascii="楷体" w:hAnsi="楷体" w:eastAsia="楷体" w:cs="楷体"/>
          <w:color w:val="auto"/>
          <w:spacing w:val="-1"/>
          <w:sz w:val="20"/>
          <w:szCs w:val="20"/>
          <w:highlight w:val="none"/>
          <w:lang w:eastAsia="zh-CN"/>
        </w:rPr>
        <w:t>要求</w:t>
      </w:r>
      <w:r>
        <w:rPr>
          <w:rFonts w:hint="eastAsia" w:ascii="楷体" w:hAnsi="楷体" w:eastAsia="楷体" w:cs="楷体"/>
          <w:color w:val="auto"/>
          <w:spacing w:val="-1"/>
          <w:sz w:val="20"/>
          <w:szCs w:val="20"/>
          <w:highlight w:val="none"/>
          <w:lang w:val="en-US" w:eastAsia="zh-CN"/>
        </w:rPr>
        <w:t>供应商</w:t>
      </w:r>
      <w:r>
        <w:rPr>
          <w:rFonts w:hint="eastAsia" w:ascii="楷体" w:hAnsi="楷体" w:eastAsia="楷体" w:cs="楷体"/>
          <w:color w:val="auto"/>
          <w:spacing w:val="-1"/>
          <w:sz w:val="20"/>
          <w:szCs w:val="20"/>
          <w:highlight w:val="none"/>
          <w:lang w:eastAsia="zh-CN"/>
        </w:rPr>
        <w:t>予以更换的，</w:t>
      </w:r>
      <w:r>
        <w:rPr>
          <w:rFonts w:hint="eastAsia" w:ascii="楷体" w:hAnsi="楷体" w:eastAsia="楷体" w:cs="楷体"/>
          <w:color w:val="auto"/>
          <w:spacing w:val="-1"/>
          <w:sz w:val="20"/>
          <w:szCs w:val="20"/>
          <w:highlight w:val="none"/>
          <w:lang w:val="en-US" w:eastAsia="zh-CN"/>
        </w:rPr>
        <w:t>供应商</w:t>
      </w:r>
      <w:r>
        <w:rPr>
          <w:rFonts w:hint="eastAsia" w:ascii="楷体" w:hAnsi="楷体" w:eastAsia="楷体" w:cs="楷体"/>
          <w:color w:val="auto"/>
          <w:spacing w:val="-1"/>
          <w:sz w:val="20"/>
          <w:szCs w:val="20"/>
          <w:highlight w:val="none"/>
          <w:lang w:eastAsia="zh-CN"/>
        </w:rPr>
        <w:t>在</w:t>
      </w:r>
      <w:r>
        <w:rPr>
          <w:rFonts w:hint="eastAsia" w:ascii="楷体" w:hAnsi="楷体" w:eastAsia="楷体" w:cs="楷体"/>
          <w:color w:val="auto"/>
          <w:spacing w:val="-1"/>
          <w:sz w:val="20"/>
          <w:szCs w:val="20"/>
          <w:highlight w:val="none"/>
          <w:lang w:val="en-US" w:eastAsia="zh-CN"/>
        </w:rPr>
        <w:t>支队</w:t>
      </w:r>
      <w:r>
        <w:rPr>
          <w:rFonts w:hint="eastAsia" w:ascii="楷体" w:hAnsi="楷体" w:eastAsia="楷体" w:cs="楷体"/>
          <w:color w:val="auto"/>
          <w:spacing w:val="-1"/>
          <w:sz w:val="20"/>
          <w:szCs w:val="20"/>
          <w:highlight w:val="none"/>
          <w:lang w:eastAsia="zh-CN"/>
        </w:rPr>
        <w:t>提出要求的10个工作日内进行更换；</w:t>
      </w:r>
    </w:p>
    <w:p w14:paraId="0C021F52">
      <w:pPr>
        <w:spacing w:line="240" w:lineRule="auto"/>
        <w:ind w:firstLine="396" w:firstLineChars="200"/>
        <w:rPr>
          <w:rFonts w:hint="eastAsia" w:ascii="楷体" w:hAnsi="楷体" w:eastAsia="楷体" w:cs="楷体"/>
          <w:color w:val="auto"/>
          <w:spacing w:val="-1"/>
          <w:sz w:val="20"/>
          <w:szCs w:val="20"/>
          <w:highlight w:val="none"/>
          <w:lang w:eastAsia="zh-CN"/>
        </w:rPr>
      </w:pPr>
      <w:r>
        <w:rPr>
          <w:rFonts w:hint="eastAsia" w:ascii="楷体" w:hAnsi="楷体" w:eastAsia="楷体" w:cs="楷体"/>
          <w:color w:val="auto"/>
          <w:spacing w:val="-1"/>
          <w:sz w:val="20"/>
          <w:szCs w:val="20"/>
          <w:highlight w:val="none"/>
          <w:lang w:eastAsia="zh-CN"/>
        </w:rPr>
        <w:t>3.</w:t>
      </w:r>
      <w:r>
        <w:rPr>
          <w:rFonts w:hint="eastAsia" w:ascii="楷体" w:hAnsi="楷体" w:eastAsia="楷体" w:cs="楷体"/>
          <w:color w:val="auto"/>
          <w:spacing w:val="-1"/>
          <w:sz w:val="20"/>
          <w:szCs w:val="20"/>
          <w:highlight w:val="none"/>
          <w:lang w:val="en-US" w:eastAsia="zh-CN"/>
        </w:rPr>
        <w:t>供应商</w:t>
      </w:r>
      <w:r>
        <w:rPr>
          <w:rFonts w:hint="eastAsia" w:ascii="楷体" w:hAnsi="楷体" w:eastAsia="楷体" w:cs="楷体"/>
          <w:color w:val="auto"/>
          <w:spacing w:val="-1"/>
          <w:sz w:val="20"/>
          <w:szCs w:val="20"/>
          <w:highlight w:val="none"/>
          <w:lang w:eastAsia="zh-CN"/>
        </w:rPr>
        <w:t>为运维人员提供运维工作所必需的工具和设备并提供工具清单交由</w:t>
      </w:r>
      <w:r>
        <w:rPr>
          <w:rFonts w:hint="eastAsia" w:ascii="楷体" w:hAnsi="楷体" w:eastAsia="楷体" w:cs="楷体"/>
          <w:color w:val="auto"/>
          <w:spacing w:val="-1"/>
          <w:sz w:val="20"/>
          <w:szCs w:val="20"/>
          <w:highlight w:val="none"/>
          <w:lang w:val="en-US" w:eastAsia="zh-CN"/>
        </w:rPr>
        <w:t>支队</w:t>
      </w:r>
      <w:r>
        <w:rPr>
          <w:rFonts w:hint="eastAsia" w:ascii="楷体" w:hAnsi="楷体" w:eastAsia="楷体" w:cs="楷体"/>
          <w:color w:val="auto"/>
          <w:spacing w:val="-1"/>
          <w:sz w:val="20"/>
          <w:szCs w:val="20"/>
          <w:highlight w:val="none"/>
          <w:lang w:eastAsia="zh-CN"/>
        </w:rPr>
        <w:t>备案，运维人员对工具和设备妥善保管使用，运维服务期满自行带走。同时，</w:t>
      </w:r>
      <w:r>
        <w:rPr>
          <w:rFonts w:hint="eastAsia" w:ascii="楷体" w:hAnsi="楷体" w:eastAsia="楷体" w:cs="楷体"/>
          <w:color w:val="auto"/>
          <w:spacing w:val="-1"/>
          <w:sz w:val="20"/>
          <w:szCs w:val="20"/>
          <w:highlight w:val="none"/>
          <w:lang w:val="en-US" w:eastAsia="zh-CN"/>
        </w:rPr>
        <w:t>供应商</w:t>
      </w:r>
      <w:r>
        <w:rPr>
          <w:rFonts w:hint="eastAsia" w:ascii="楷体" w:hAnsi="楷体" w:eastAsia="楷体" w:cs="楷体"/>
          <w:color w:val="auto"/>
          <w:spacing w:val="-1"/>
          <w:sz w:val="20"/>
          <w:szCs w:val="20"/>
          <w:highlight w:val="none"/>
          <w:lang w:eastAsia="zh-CN"/>
        </w:rPr>
        <w:t>为运维人员缴纳医疗保险、工伤保险。</w:t>
      </w:r>
    </w:p>
    <w:p w14:paraId="41E7291D">
      <w:pPr>
        <w:spacing w:line="240" w:lineRule="auto"/>
        <w:ind w:firstLine="396" w:firstLineChars="200"/>
        <w:rPr>
          <w:rFonts w:hint="eastAsia" w:ascii="楷体" w:hAnsi="楷体" w:eastAsia="楷体" w:cs="楷体"/>
          <w:color w:val="auto"/>
          <w:spacing w:val="-1"/>
          <w:sz w:val="20"/>
          <w:szCs w:val="20"/>
          <w:highlight w:val="none"/>
          <w:lang w:eastAsia="zh-CN"/>
        </w:rPr>
      </w:pPr>
      <w:r>
        <w:rPr>
          <w:rFonts w:hint="eastAsia" w:ascii="楷体" w:hAnsi="楷体" w:eastAsia="楷体" w:cs="楷体"/>
          <w:color w:val="auto"/>
          <w:spacing w:val="-1"/>
          <w:sz w:val="20"/>
          <w:szCs w:val="20"/>
          <w:highlight w:val="none"/>
          <w:lang w:eastAsia="zh-CN"/>
        </w:rPr>
        <w:t>4.</w:t>
      </w:r>
      <w:r>
        <w:rPr>
          <w:rFonts w:hint="eastAsia" w:ascii="楷体" w:hAnsi="楷体" w:eastAsia="楷体" w:cs="楷体"/>
          <w:color w:val="auto"/>
          <w:spacing w:val="-1"/>
          <w:sz w:val="20"/>
          <w:szCs w:val="20"/>
          <w:highlight w:val="none"/>
          <w:lang w:val="en-US" w:eastAsia="zh-CN"/>
        </w:rPr>
        <w:t>供应商</w:t>
      </w:r>
      <w:r>
        <w:rPr>
          <w:rFonts w:hint="eastAsia" w:ascii="楷体" w:hAnsi="楷体" w:eastAsia="楷体" w:cs="楷体"/>
          <w:color w:val="auto"/>
          <w:spacing w:val="-1"/>
          <w:sz w:val="20"/>
          <w:szCs w:val="20"/>
          <w:highlight w:val="none"/>
          <w:lang w:eastAsia="zh-CN"/>
        </w:rPr>
        <w:t>和运维人员须按照要求与</w:t>
      </w:r>
      <w:r>
        <w:rPr>
          <w:rFonts w:hint="eastAsia" w:ascii="楷体" w:hAnsi="楷体" w:eastAsia="楷体" w:cs="楷体"/>
          <w:color w:val="auto"/>
          <w:spacing w:val="-1"/>
          <w:sz w:val="20"/>
          <w:szCs w:val="20"/>
          <w:highlight w:val="none"/>
          <w:lang w:val="en-US" w:eastAsia="zh-CN"/>
        </w:rPr>
        <w:t>支队</w:t>
      </w:r>
      <w:r>
        <w:rPr>
          <w:rFonts w:hint="eastAsia" w:ascii="楷体" w:hAnsi="楷体" w:eastAsia="楷体" w:cs="楷体"/>
          <w:color w:val="auto"/>
          <w:spacing w:val="-1"/>
          <w:sz w:val="20"/>
          <w:szCs w:val="20"/>
          <w:highlight w:val="none"/>
          <w:lang w:eastAsia="zh-CN"/>
        </w:rPr>
        <w:t>签署保密协议，采取切实可行的措施保障</w:t>
      </w:r>
      <w:r>
        <w:rPr>
          <w:rFonts w:hint="eastAsia" w:ascii="楷体" w:hAnsi="楷体" w:eastAsia="楷体" w:cs="楷体"/>
          <w:color w:val="auto"/>
          <w:spacing w:val="-1"/>
          <w:sz w:val="20"/>
          <w:szCs w:val="20"/>
          <w:highlight w:val="none"/>
          <w:lang w:val="en-US" w:eastAsia="zh-CN"/>
        </w:rPr>
        <w:t>支队</w:t>
      </w:r>
      <w:r>
        <w:rPr>
          <w:rFonts w:hint="eastAsia" w:ascii="楷体" w:hAnsi="楷体" w:eastAsia="楷体" w:cs="楷体"/>
          <w:color w:val="auto"/>
          <w:spacing w:val="-1"/>
          <w:sz w:val="20"/>
          <w:szCs w:val="20"/>
          <w:highlight w:val="none"/>
          <w:lang w:eastAsia="zh-CN"/>
        </w:rPr>
        <w:t>的业务与信息安全。认真遵守</w:t>
      </w:r>
      <w:r>
        <w:rPr>
          <w:rFonts w:hint="eastAsia" w:ascii="楷体" w:hAnsi="楷体" w:eastAsia="楷体" w:cs="楷体"/>
          <w:color w:val="auto"/>
          <w:spacing w:val="-1"/>
          <w:sz w:val="20"/>
          <w:szCs w:val="20"/>
          <w:highlight w:val="none"/>
          <w:lang w:val="en-US" w:eastAsia="zh-CN"/>
        </w:rPr>
        <w:t>支队</w:t>
      </w:r>
      <w:r>
        <w:rPr>
          <w:rFonts w:hint="eastAsia" w:ascii="楷体" w:hAnsi="楷体" w:eastAsia="楷体" w:cs="楷体"/>
          <w:color w:val="auto"/>
          <w:spacing w:val="-1"/>
          <w:sz w:val="20"/>
          <w:szCs w:val="20"/>
          <w:highlight w:val="none"/>
          <w:lang w:eastAsia="zh-CN"/>
        </w:rPr>
        <w:t>各项安全保密的相关规定。定期对运维服务人员进行安全保密管理和思想教育，加强保密意识和安全生产意识。</w:t>
      </w:r>
    </w:p>
    <w:p w14:paraId="20AFE0B8">
      <w:pPr>
        <w:pStyle w:val="7"/>
        <w:rPr>
          <w:rFonts w:hint="default" w:ascii="楷体" w:hAnsi="楷体" w:eastAsia="楷体" w:cs="楷体"/>
          <w:b w:val="0"/>
          <w:bCs w:val="0"/>
          <w:lang w:val="en-US" w:eastAsia="zh-CN"/>
        </w:rPr>
      </w:pPr>
    </w:p>
    <w:p w14:paraId="6739BDCF"/>
    <w:sectPr>
      <w:pgSz w:w="11906" w:h="16838"/>
      <w:pgMar w:top="1440" w:right="1286"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00"/>
    <w:family w:val="auto"/>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25BC6">
    <w:pPr>
      <w:pStyle w:val="4"/>
      <w:tabs>
        <w:tab w:val="left" w:pos="3222"/>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C2080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9C2080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438E2">
    <w:pPr>
      <w:spacing w:line="230" w:lineRule="exact"/>
      <w:ind w:left="3713"/>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F2FADA">
                          <w:pPr>
                            <w:pStyle w:val="4"/>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DF2FADA">
                    <w:pPr>
                      <w:pStyle w:val="4"/>
                    </w:pPr>
                    <w:r>
                      <w:fldChar w:fldCharType="begin"/>
                    </w:r>
                    <w:r>
                      <w:instrText xml:space="preserve"> PAGE  \* MERGEFORMAT </w:instrText>
                    </w:r>
                    <w:r>
                      <w:fldChar w:fldCharType="separate"/>
                    </w:r>
                    <w:r>
                      <w:t>54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316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keepNext w:val="0"/>
      <w:keepLines w:val="0"/>
      <w:widowControl w:val="0"/>
      <w:suppressLineNumbers w:val="0"/>
      <w:spacing w:before="0" w:beforeAutospacing="0" w:after="0" w:afterAutospacing="0" w:line="360" w:lineRule="auto"/>
      <w:ind w:left="0" w:right="0"/>
      <w:jc w:val="both"/>
    </w:pPr>
    <w:rPr>
      <w:rFonts w:hint="default" w:ascii="Tahoma" w:hAnsi="Tahoma" w:eastAsia="Arial Unicode MS" w:cs="Times New Roman"/>
      <w:kern w:val="2"/>
      <w:sz w:val="21"/>
      <w:szCs w:val="24"/>
      <w:lang w:val="en-US" w:eastAsia="zh-CN" w:bidi="ar"/>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2026-05-14T04:05:23Z</dcterms:created>
  <dc:creator>Administrator</dc:creator>
  <cp:lastModifiedBy>易拉罐</cp:lastModifiedBy>
  <dcterms:modified xsi:type="dcterms:W3CDTF">2026-05-14T04:06:10Z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eyJoZGlkIjoiNWFmYmQxMTQ4MjhmNDU4Yzg2YWNmNDc0ZjIxMWUxYTkiLCJ1c2VySWQiOiI1Njg4MDAzOTkifQ==</vt:lpwstr>
  </property>
  <property fmtid="{D5CDD505-2E9C-101B-9397-08002B2CF9AE}" pid="4" name="ICV">
    <vt:lpwstr>115AE560FF804C5CB45F13BDBDE8104F_12</vt:lpwstr>
  </property>
</Properties>
</file>