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23DFE516">
      <w:pPr>
        <w:pStyle w:val="8"/>
        <w:pageBreakBefore w:val="0"/>
        <w:kinsoku/>
        <w:wordWrap/>
        <w:overflowPunct/>
        <w:topLinePunct w:val="0"/>
        <w:autoSpaceDE/>
        <w:autoSpaceDN/>
        <w:bidi w:val="0"/>
        <w:spacing w:line="360" w:lineRule="auto"/>
        <w:rPr>
          <w:rFonts w:hint="eastAsia" w:ascii="宋体" w:hAnsi="宋体" w:eastAsia="宋体" w:cs="宋体"/>
          <w:b/>
          <w:bCs/>
          <w:color w:val="auto"/>
          <w:spacing w:val="0"/>
          <w:kern w:val="44"/>
          <w:sz w:val="28"/>
          <w:szCs w:val="28"/>
          <w:highlight w:val="none"/>
          <w:lang w:val="en-US" w:eastAsia="zh-CN" w:bidi="ar-SA"/>
        </w:rPr>
      </w:pPr>
      <w:r>
        <w:rPr>
          <w:rFonts w:hint="eastAsia" w:ascii="宋体" w:hAnsi="宋体" w:eastAsia="宋体" w:cs="宋体"/>
          <w:b/>
          <w:bCs/>
          <w:color w:val="auto"/>
          <w:spacing w:val="0"/>
          <w:kern w:val="44"/>
          <w:sz w:val="28"/>
          <w:szCs w:val="28"/>
          <w:highlight w:val="none"/>
          <w:lang w:val="en-US" w:eastAsia="zh-CN" w:bidi="ar-SA"/>
        </w:rPr>
        <w:t>项目编号：</w:t>
      </w:r>
      <w:r>
        <w:rPr>
          <w:rFonts w:hint="eastAsia" w:ascii="宋体" w:hAnsi="宋体" w:cs="宋体"/>
          <w:b/>
          <w:bCs/>
          <w:color w:val="auto"/>
          <w:spacing w:val="0"/>
          <w:kern w:val="44"/>
          <w:sz w:val="28"/>
          <w:szCs w:val="28"/>
          <w:highlight w:val="none"/>
          <w:lang w:val="en-US" w:eastAsia="zh-CN" w:bidi="ar-SA"/>
        </w:rPr>
        <w:t>ZH2026-0612</w:t>
      </w:r>
    </w:p>
    <w:p w14:paraId="2472BAEA">
      <w:pPr>
        <w:pStyle w:val="8"/>
        <w:pageBreakBefore w:val="0"/>
        <w:kinsoku/>
        <w:wordWrap/>
        <w:overflowPunct/>
        <w:topLinePunct w:val="0"/>
        <w:autoSpaceDE/>
        <w:autoSpaceDN/>
        <w:bidi w:val="0"/>
        <w:spacing w:line="360" w:lineRule="auto"/>
        <w:rPr>
          <w:rFonts w:hint="eastAsia" w:cs="Times New Roman"/>
          <w:b/>
          <w:bCs/>
          <w:color w:val="auto"/>
          <w:spacing w:val="0"/>
          <w:kern w:val="44"/>
          <w:sz w:val="32"/>
          <w:szCs w:val="32"/>
          <w:highlight w:val="none"/>
          <w:lang w:val="en-US" w:eastAsia="zh-CN" w:bidi="ar-SA"/>
        </w:rPr>
      </w:pPr>
    </w:p>
    <w:p w14:paraId="7AC441C1">
      <w:pPr>
        <w:pStyle w:val="12"/>
        <w:pageBreakBefore w:val="0"/>
        <w:kinsoku/>
        <w:wordWrap/>
        <w:overflowPunct/>
        <w:topLinePunct w:val="0"/>
        <w:autoSpaceDE/>
        <w:autoSpaceDN/>
        <w:bidi w:val="0"/>
        <w:spacing w:line="360" w:lineRule="auto"/>
        <w:rPr>
          <w:rFonts w:hint="eastAsia"/>
          <w:color w:val="auto"/>
          <w:spacing w:val="0"/>
          <w:highlight w:val="none"/>
          <w:lang w:val="en-US" w:eastAsia="zh-CN"/>
        </w:rPr>
      </w:pPr>
    </w:p>
    <w:p w14:paraId="27A1BB77">
      <w:pPr>
        <w:pStyle w:val="12"/>
        <w:pageBreakBefore w:val="0"/>
        <w:kinsoku/>
        <w:wordWrap/>
        <w:overflowPunct/>
        <w:topLinePunct w:val="0"/>
        <w:autoSpaceDE/>
        <w:autoSpaceDN/>
        <w:bidi w:val="0"/>
        <w:spacing w:line="360" w:lineRule="auto"/>
        <w:rPr>
          <w:rFonts w:hint="eastAsia"/>
          <w:color w:val="auto"/>
          <w:spacing w:val="0"/>
          <w:highlight w:val="none"/>
          <w:lang w:val="en-US" w:eastAsia="zh-CN"/>
        </w:rPr>
      </w:pPr>
    </w:p>
    <w:p w14:paraId="299A5D5A">
      <w:pPr>
        <w:pStyle w:val="12"/>
        <w:pageBreakBefore w:val="0"/>
        <w:kinsoku/>
        <w:wordWrap/>
        <w:overflowPunct/>
        <w:topLinePunct w:val="0"/>
        <w:autoSpaceDE/>
        <w:autoSpaceDN/>
        <w:bidi w:val="0"/>
        <w:spacing w:line="360" w:lineRule="auto"/>
        <w:jc w:val="center"/>
        <w:outlineLvl w:val="0"/>
        <w:rPr>
          <w:rFonts w:hint="eastAsia" w:ascii="宋体" w:hAnsi="宋体" w:cs="宋体"/>
          <w:b/>
          <w:bCs/>
          <w:color w:val="auto"/>
          <w:spacing w:val="0"/>
          <w:sz w:val="44"/>
          <w:szCs w:val="44"/>
          <w:highlight w:val="none"/>
          <w:lang w:val="en-US" w:eastAsia="zh-CN"/>
        </w:rPr>
      </w:pPr>
      <w:r>
        <w:rPr>
          <w:rFonts w:hint="eastAsia" w:ascii="宋体" w:hAnsi="宋体" w:cs="宋体"/>
          <w:b/>
          <w:bCs/>
          <w:color w:val="auto"/>
          <w:spacing w:val="0"/>
          <w:sz w:val="44"/>
          <w:szCs w:val="44"/>
          <w:highlight w:val="none"/>
          <w:lang w:val="en-US" w:eastAsia="zh-CN"/>
        </w:rPr>
        <w:t>陕西省林业调查规划院（陕西省森林资源监测中心）陕西省常见草地植物图鉴项目研究技术服务-陕西省草原和湿地省级技术支撑服务项目</w:t>
      </w:r>
    </w:p>
    <w:p w14:paraId="60A22D92">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6797CFD7">
      <w:pPr>
        <w:pStyle w:val="12"/>
        <w:pageBreakBefore w:val="0"/>
        <w:kinsoku/>
        <w:wordWrap/>
        <w:overflowPunct/>
        <w:topLinePunct w:val="0"/>
        <w:autoSpaceDE/>
        <w:autoSpaceDN/>
        <w:bidi w:val="0"/>
        <w:spacing w:line="360" w:lineRule="auto"/>
        <w:jc w:val="center"/>
        <w:outlineLvl w:val="0"/>
        <w:rPr>
          <w:rFonts w:hint="eastAsia" w:ascii="宋体" w:hAnsi="宋体" w:cs="宋体"/>
          <w:b/>
          <w:bCs/>
          <w:color w:val="auto"/>
          <w:spacing w:val="0"/>
          <w:sz w:val="44"/>
          <w:szCs w:val="44"/>
          <w:highlight w:val="none"/>
          <w:lang w:val="en-US" w:eastAsia="zh-CN"/>
        </w:rPr>
      </w:pPr>
      <w:bookmarkStart w:id="0" w:name="_Toc9381"/>
      <w:bookmarkStart w:id="1" w:name="_Toc10178"/>
      <w:bookmarkStart w:id="2" w:name="_Toc12898"/>
      <w:bookmarkStart w:id="3" w:name="_Toc11869"/>
      <w:r>
        <w:rPr>
          <w:rFonts w:hint="eastAsia" w:ascii="宋体" w:hAnsi="宋体" w:cs="宋体"/>
          <w:b/>
          <w:bCs/>
          <w:color w:val="auto"/>
          <w:spacing w:val="0"/>
          <w:sz w:val="44"/>
          <w:szCs w:val="44"/>
          <w:highlight w:val="none"/>
          <w:lang w:val="en-US" w:eastAsia="zh-CN"/>
        </w:rPr>
        <w:t>竞争性磋商文件</w:t>
      </w:r>
      <w:bookmarkEnd w:id="0"/>
      <w:bookmarkEnd w:id="1"/>
      <w:bookmarkEnd w:id="2"/>
      <w:bookmarkEnd w:id="3"/>
    </w:p>
    <w:p w14:paraId="3809F16A">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576432D4">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0975E41E">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7CE86CEB">
      <w:pPr>
        <w:pStyle w:val="12"/>
        <w:pageBreakBefore w:val="0"/>
        <w:kinsoku/>
        <w:wordWrap/>
        <w:overflowPunct/>
        <w:topLinePunct w:val="0"/>
        <w:autoSpaceDE/>
        <w:autoSpaceDN/>
        <w:bidi w:val="0"/>
        <w:spacing w:line="360" w:lineRule="auto"/>
        <w:jc w:val="both"/>
        <w:rPr>
          <w:rFonts w:hint="default" w:ascii="宋体" w:hAnsi="宋体" w:cs="宋体"/>
          <w:b/>
          <w:bCs/>
          <w:color w:val="auto"/>
          <w:spacing w:val="0"/>
          <w:sz w:val="44"/>
          <w:szCs w:val="44"/>
          <w:highlight w:val="none"/>
          <w:lang w:val="en-US" w:eastAsia="zh-CN"/>
        </w:rPr>
      </w:pPr>
    </w:p>
    <w:p w14:paraId="127DF82E">
      <w:pPr>
        <w:pStyle w:val="12"/>
        <w:pageBreakBefore w:val="0"/>
        <w:kinsoku/>
        <w:wordWrap/>
        <w:overflowPunct/>
        <w:topLinePunct w:val="0"/>
        <w:autoSpaceDE/>
        <w:autoSpaceDN/>
        <w:bidi w:val="0"/>
        <w:spacing w:line="360" w:lineRule="auto"/>
        <w:jc w:val="center"/>
        <w:outlineLvl w:val="0"/>
        <w:rPr>
          <w:rFonts w:hint="eastAsia" w:ascii="宋体" w:hAnsi="宋体" w:cs="宋体"/>
          <w:b/>
          <w:bCs/>
          <w:color w:val="auto"/>
          <w:spacing w:val="0"/>
          <w:sz w:val="28"/>
          <w:szCs w:val="28"/>
          <w:highlight w:val="none"/>
          <w:lang w:val="en-US" w:eastAsia="zh-CN"/>
        </w:rPr>
      </w:pPr>
      <w:bookmarkStart w:id="4" w:name="_Toc8333"/>
      <w:bookmarkStart w:id="5" w:name="_Toc12417"/>
      <w:bookmarkStart w:id="6" w:name="_Toc27789"/>
      <w:bookmarkStart w:id="7" w:name="_Toc1760"/>
      <w:r>
        <w:rPr>
          <w:rFonts w:hint="eastAsia" w:ascii="宋体" w:hAnsi="宋体" w:cs="宋体"/>
          <w:b/>
          <w:bCs/>
          <w:color w:val="auto"/>
          <w:spacing w:val="0"/>
          <w:sz w:val="28"/>
          <w:szCs w:val="28"/>
          <w:highlight w:val="none"/>
          <w:lang w:val="en-US" w:eastAsia="zh-CN"/>
        </w:rPr>
        <w:t>采购代理机构：</w:t>
      </w:r>
      <w:bookmarkEnd w:id="4"/>
      <w:bookmarkEnd w:id="5"/>
      <w:bookmarkEnd w:id="6"/>
      <w:bookmarkEnd w:id="7"/>
      <w:r>
        <w:rPr>
          <w:rFonts w:hint="eastAsia" w:ascii="宋体" w:hAnsi="宋体" w:cs="宋体"/>
          <w:b/>
          <w:bCs/>
          <w:color w:val="auto"/>
          <w:spacing w:val="0"/>
          <w:sz w:val="28"/>
          <w:szCs w:val="28"/>
          <w:highlight w:val="none"/>
          <w:lang w:val="en-US" w:eastAsia="zh-CN"/>
        </w:rPr>
        <w:t>陕西中海招标有限公司</w:t>
      </w:r>
    </w:p>
    <w:p w14:paraId="0F4FD776">
      <w:pPr>
        <w:pStyle w:val="12"/>
        <w:pageBreakBefore w:val="0"/>
        <w:kinsoku/>
        <w:wordWrap/>
        <w:overflowPunct/>
        <w:topLinePunct w:val="0"/>
        <w:autoSpaceDE/>
        <w:autoSpaceDN/>
        <w:bidi w:val="0"/>
        <w:spacing w:line="360" w:lineRule="auto"/>
        <w:jc w:val="center"/>
        <w:outlineLvl w:val="0"/>
        <w:rPr>
          <w:rFonts w:hint="default" w:ascii="Times New Roman" w:hAnsi="Times New Roman" w:eastAsia="宋体" w:cs="Times New Roman"/>
          <w:b/>
          <w:bCs/>
          <w:color w:val="auto"/>
          <w:spacing w:val="0"/>
          <w:kern w:val="44"/>
          <w:sz w:val="32"/>
          <w:szCs w:val="32"/>
          <w:highlight w:val="none"/>
          <w:lang w:val="en-US" w:eastAsia="zh-CN" w:bidi="ar-SA"/>
        </w:rPr>
        <w:sectPr>
          <w:pgSz w:w="11906" w:h="16838"/>
          <w:pgMar w:top="1418" w:right="1418" w:bottom="1418" w:left="1418" w:header="964" w:footer="964" w:gutter="0"/>
          <w:pgBorders>
            <w:top w:val="none" w:sz="0" w:space="0"/>
            <w:left w:val="none" w:sz="0" w:space="0"/>
            <w:bottom w:val="none" w:sz="0" w:space="0"/>
            <w:right w:val="none" w:sz="0" w:space="0"/>
          </w:pgBorders>
          <w:pgNumType w:fmt="numberInDash"/>
          <w:cols w:space="720" w:num="1"/>
          <w:docGrid w:linePitch="312" w:charSpace="0"/>
        </w:sectPr>
      </w:pPr>
      <w:bookmarkStart w:id="8" w:name="_Toc14433"/>
      <w:bookmarkStart w:id="9" w:name="_Toc13371"/>
      <w:bookmarkStart w:id="10" w:name="_Toc17753"/>
      <w:bookmarkStart w:id="11" w:name="_Toc16950"/>
      <w:r>
        <w:rPr>
          <w:rFonts w:hint="eastAsia" w:ascii="宋体" w:hAnsi="宋体" w:cs="宋体"/>
          <w:b/>
          <w:bCs/>
          <w:color w:val="auto"/>
          <w:spacing w:val="0"/>
          <w:sz w:val="28"/>
          <w:szCs w:val="28"/>
          <w:highlight w:val="none"/>
          <w:lang w:val="en-US" w:eastAsia="zh-CN"/>
        </w:rPr>
        <w:t>日期：二〇二六年六月</w:t>
      </w:r>
      <w:bookmarkEnd w:id="8"/>
      <w:bookmarkEnd w:id="9"/>
      <w:bookmarkEnd w:id="10"/>
      <w:bookmarkEnd w:id="11"/>
    </w:p>
    <w:p w14:paraId="6E073304">
      <w:pPr>
        <w:pageBreakBefore w:val="0"/>
        <w:kinsoku/>
        <w:wordWrap/>
        <w:overflowPunct/>
        <w:topLinePunct w:val="0"/>
        <w:autoSpaceDE/>
        <w:autoSpaceDN/>
        <w:bidi w:val="0"/>
        <w:spacing w:line="360" w:lineRule="auto"/>
        <w:rPr>
          <w:color w:val="auto"/>
          <w:spacing w:val="0"/>
          <w:highlight w:val="none"/>
        </w:rPr>
      </w:pPr>
    </w:p>
    <w:p w14:paraId="4D6E8B3F">
      <w:pPr>
        <w:pageBreakBefore w:val="0"/>
        <w:kinsoku/>
        <w:wordWrap/>
        <w:overflowPunct/>
        <w:topLinePunct w:val="0"/>
        <w:autoSpaceDE/>
        <w:autoSpaceDN/>
        <w:bidi w:val="0"/>
        <w:spacing w:before="0" w:beforeLines="0" w:after="0" w:afterLines="0" w:line="360" w:lineRule="auto"/>
        <w:ind w:left="0" w:leftChars="0" w:right="0" w:rightChars="0" w:firstLine="0" w:firstLineChars="0"/>
        <w:jc w:val="center"/>
        <w:rPr>
          <w:rFonts w:ascii="Times New Roman" w:hAnsi="Times New Roman" w:eastAsia="宋体" w:cs="Times New Roman"/>
          <w:color w:val="auto"/>
          <w:kern w:val="2"/>
          <w:sz w:val="28"/>
          <w:szCs w:val="28"/>
          <w:highlight w:val="none"/>
          <w:lang w:val="en-US" w:eastAsia="zh-CN" w:bidi="ar-SA"/>
        </w:rPr>
      </w:pPr>
      <w:r>
        <w:rPr>
          <w:rFonts w:ascii="宋体" w:hAnsi="宋体" w:eastAsia="宋体"/>
          <w:b/>
          <w:bCs/>
          <w:color w:val="auto"/>
          <w:sz w:val="28"/>
          <w:szCs w:val="36"/>
          <w:highlight w:val="none"/>
        </w:rPr>
        <w:t>目</w:t>
      </w:r>
      <w:r>
        <w:rPr>
          <w:rFonts w:hint="eastAsia" w:ascii="宋体" w:hAnsi="宋体"/>
          <w:b/>
          <w:bCs/>
          <w:color w:val="auto"/>
          <w:sz w:val="28"/>
          <w:szCs w:val="36"/>
          <w:highlight w:val="none"/>
          <w:lang w:val="en-US" w:eastAsia="zh-CN"/>
        </w:rPr>
        <w:t xml:space="preserve"> </w:t>
      </w:r>
      <w:r>
        <w:rPr>
          <w:rFonts w:ascii="宋体" w:hAnsi="宋体" w:eastAsia="宋体"/>
          <w:b/>
          <w:bCs/>
          <w:color w:val="auto"/>
          <w:sz w:val="28"/>
          <w:szCs w:val="36"/>
          <w:highlight w:val="none"/>
        </w:rPr>
        <w:t>录</w:t>
      </w: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p>
    <w:p w14:paraId="5DD5092C">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_Toc11249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_Toc11249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BC0824">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_Toc17510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_Toc17510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DC32208">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_Toc14683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第三章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_Toc14683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95EE71">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_Toc6500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 xml:space="preserve">第四章  </w:t>
      </w:r>
      <w:r>
        <w:rPr>
          <w:rFonts w:hint="eastAsia" w:ascii="宋体" w:hAnsi="宋体" w:cs="宋体"/>
          <w:bCs/>
          <w:color w:val="auto"/>
          <w:spacing w:val="0"/>
          <w:kern w:val="44"/>
          <w:sz w:val="28"/>
          <w:szCs w:val="28"/>
          <w:highlight w:val="none"/>
          <w:lang w:val="en-US" w:eastAsia="zh-CN" w:bidi="ar-SA"/>
        </w:rPr>
        <w:t>磋商内容</w:t>
      </w:r>
      <w:r>
        <w:rPr>
          <w:rFonts w:hint="eastAsia" w:ascii="宋体" w:hAnsi="宋体" w:eastAsia="宋体" w:cs="宋体"/>
          <w:bCs/>
          <w:color w:val="auto"/>
          <w:spacing w:val="0"/>
          <w:kern w:val="44"/>
          <w:sz w:val="28"/>
          <w:szCs w:val="28"/>
          <w:highlight w:val="none"/>
          <w:lang w:val="en-US" w:eastAsia="zh-CN" w:bidi="ar-SA"/>
        </w:rPr>
        <w:t>及要求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_Toc6500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817163">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_Toc32384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_Toc32384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7836557">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_Toc6654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第六章  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_Toc6654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700A008">
      <w:pPr>
        <w:pageBreakBefore w:val="0"/>
        <w:kinsoku/>
        <w:wordWrap/>
        <w:overflowPunct/>
        <w:topLinePunct w:val="0"/>
        <w:autoSpaceDE/>
        <w:autoSpaceDN/>
        <w:bidi w:val="0"/>
        <w:spacing w:before="0" w:beforeLines="0" w:after="0" w:afterLines="0" w:line="360" w:lineRule="auto"/>
        <w:ind w:left="0" w:leftChars="0" w:right="0" w:rightChars="0" w:firstLine="0" w:firstLineChars="0"/>
        <w:jc w:val="center"/>
        <w:rPr>
          <w:color w:val="auto"/>
          <w:sz w:val="28"/>
          <w:szCs w:val="28"/>
          <w:highlight w:val="none"/>
        </w:rPr>
      </w:pPr>
      <w:r>
        <w:rPr>
          <w:color w:val="auto"/>
          <w:sz w:val="28"/>
          <w:szCs w:val="28"/>
          <w:highlight w:val="none"/>
        </w:rPr>
        <w:fldChar w:fldCharType="end"/>
      </w:r>
    </w:p>
    <w:p w14:paraId="6C092B04">
      <w:pPr>
        <w:pageBreakBefore w:val="0"/>
        <w:kinsoku/>
        <w:wordWrap/>
        <w:overflowPunct/>
        <w:topLinePunct w:val="0"/>
        <w:autoSpaceDE/>
        <w:autoSpaceDN/>
        <w:bidi w:val="0"/>
        <w:spacing w:line="360" w:lineRule="auto"/>
        <w:rPr>
          <w:rFonts w:hint="eastAsia" w:cs="Times New Roman"/>
          <w:b/>
          <w:bCs/>
          <w:color w:val="auto"/>
          <w:spacing w:val="0"/>
          <w:kern w:val="44"/>
          <w:sz w:val="32"/>
          <w:szCs w:val="32"/>
          <w:highlight w:val="none"/>
          <w:lang w:val="en-US" w:eastAsia="zh-CN" w:bidi="ar-SA"/>
        </w:rPr>
      </w:pPr>
      <w:r>
        <w:rPr>
          <w:rFonts w:hint="eastAsia" w:cs="Times New Roman"/>
          <w:b/>
          <w:bCs/>
          <w:color w:val="auto"/>
          <w:spacing w:val="0"/>
          <w:kern w:val="44"/>
          <w:sz w:val="32"/>
          <w:szCs w:val="32"/>
          <w:highlight w:val="none"/>
          <w:lang w:val="en-US" w:eastAsia="zh-CN" w:bidi="ar-SA"/>
        </w:rPr>
        <w:br w:type="page"/>
      </w:r>
    </w:p>
    <w:p w14:paraId="7FCE8525">
      <w:pPr>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cs="Times New Roman"/>
          <w:b/>
          <w:bCs/>
          <w:color w:val="auto"/>
          <w:spacing w:val="0"/>
          <w:kern w:val="44"/>
          <w:sz w:val="32"/>
          <w:szCs w:val="32"/>
          <w:highlight w:val="none"/>
          <w:lang w:val="en-US" w:eastAsia="zh-CN" w:bidi="ar-SA"/>
        </w:rPr>
      </w:pPr>
      <w:bookmarkStart w:id="12" w:name="_Toc8417"/>
      <w:bookmarkStart w:id="13" w:name="_Toc11249"/>
      <w:r>
        <w:rPr>
          <w:rFonts w:hint="eastAsia" w:ascii="Times New Roman" w:hAnsi="Times New Roman" w:cs="Times New Roman"/>
          <w:b/>
          <w:bCs/>
          <w:color w:val="auto"/>
          <w:spacing w:val="0"/>
          <w:kern w:val="44"/>
          <w:sz w:val="32"/>
          <w:szCs w:val="32"/>
          <w:highlight w:val="none"/>
          <w:lang w:val="en-US" w:eastAsia="zh-CN" w:bidi="ar-SA"/>
        </w:rPr>
        <w:t>第一章  竞争性磋商公告</w:t>
      </w:r>
      <w:bookmarkEnd w:id="12"/>
      <w:bookmarkEnd w:id="13"/>
    </w:p>
    <w:p w14:paraId="6369B514">
      <w:pPr>
        <w:pStyle w:val="32"/>
        <w:spacing w:line="480" w:lineRule="exact"/>
        <w:jc w:val="center"/>
        <w:rPr>
          <w:rFonts w:hint="eastAsia" w:ascii="Times New Roman" w:hAnsi="Times New Roman" w:eastAsia="宋体" w:cs="Times New Roman"/>
          <w:b/>
          <w:bCs/>
          <w:color w:val="auto"/>
          <w:spacing w:val="0"/>
          <w:kern w:val="44"/>
          <w:sz w:val="32"/>
          <w:szCs w:val="32"/>
          <w:highlight w:val="none"/>
          <w:lang w:val="en-US" w:eastAsia="zh-CN" w:bidi="ar-SA"/>
        </w:rPr>
      </w:pPr>
      <w:r>
        <w:rPr>
          <w:rFonts w:hint="eastAsia" w:ascii="Times New Roman" w:hAnsi="Times New Roman" w:eastAsia="宋体" w:cs="Times New Roman"/>
          <w:b/>
          <w:bCs/>
          <w:color w:val="auto"/>
          <w:spacing w:val="0"/>
          <w:kern w:val="44"/>
          <w:sz w:val="32"/>
          <w:szCs w:val="32"/>
          <w:highlight w:val="none"/>
          <w:lang w:val="en-US" w:eastAsia="zh-CN" w:bidi="ar-SA"/>
        </w:rPr>
        <w:t>陕西省林业调查规划院（陕西省森林资源监测中心）陕西省常见草地植物图鉴项目研究技术服务-陕西省草原和湿地省级技术支撑服务项目竞争性磋商公告</w:t>
      </w:r>
    </w:p>
    <w:p w14:paraId="716318FF">
      <w:pPr>
        <w:pStyle w:val="32"/>
        <w:keepNext w:val="0"/>
        <w:keepLines w:val="0"/>
        <w:pageBreakBefore w:val="0"/>
        <w:widowControl/>
        <w:kinsoku/>
        <w:wordWrap/>
        <w:overflowPunct/>
        <w:topLinePunct w:val="0"/>
        <w:autoSpaceDE/>
        <w:autoSpaceDN/>
        <w:bidi w:val="0"/>
        <w:adjustRightInd/>
        <w:snapToGrid/>
        <w:spacing w:line="380" w:lineRule="exact"/>
        <w:textAlignment w:val="auto"/>
        <w:outlineLvl w:val="5"/>
        <w:rPr>
          <w:sz w:val="24"/>
          <w:szCs w:val="24"/>
        </w:rPr>
      </w:pPr>
      <w:r>
        <w:rPr>
          <w:rFonts w:ascii="仿宋_GB2312" w:hAnsi="仿宋_GB2312" w:eastAsia="仿宋_GB2312" w:cs="仿宋_GB2312"/>
          <w:b/>
          <w:sz w:val="24"/>
          <w:szCs w:val="24"/>
        </w:rPr>
        <w:t>项目概况</w:t>
      </w:r>
    </w:p>
    <w:p w14:paraId="61E4DEF1">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陕西省常见草地植物图鉴项目研究技术服务-陕西省草原和湿地省级技术支撑服务项目采购项目的潜在供应商应在西安市莲湖区西关正街英达大厦809室获取采购文件，并于 2026年06月29日 14时00分 （北京时间）前提交响应文件。</w:t>
      </w:r>
    </w:p>
    <w:p w14:paraId="26FFF916">
      <w:pPr>
        <w:pStyle w:val="32"/>
        <w:keepNext w:val="0"/>
        <w:keepLines w:val="0"/>
        <w:pageBreakBefore w:val="0"/>
        <w:widowControl/>
        <w:kinsoku/>
        <w:wordWrap/>
        <w:overflowPunct/>
        <w:topLinePunct w:val="0"/>
        <w:autoSpaceDE/>
        <w:autoSpaceDN/>
        <w:bidi w:val="0"/>
        <w:adjustRightInd/>
        <w:snapToGrid/>
        <w:spacing w:line="380" w:lineRule="exact"/>
        <w:textAlignment w:val="auto"/>
        <w:outlineLvl w:val="3"/>
        <w:rPr>
          <w:sz w:val="24"/>
          <w:szCs w:val="24"/>
        </w:rPr>
      </w:pPr>
      <w:r>
        <w:rPr>
          <w:rFonts w:ascii="仿宋_GB2312" w:hAnsi="仿宋_GB2312" w:eastAsia="仿宋_GB2312" w:cs="仿宋_GB2312"/>
          <w:b/>
          <w:sz w:val="24"/>
          <w:szCs w:val="24"/>
        </w:rPr>
        <w:t>一、项目基本情况</w:t>
      </w:r>
    </w:p>
    <w:p w14:paraId="78B4D8DF">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项目编号：ZH2026-0612</w:t>
      </w:r>
    </w:p>
    <w:p w14:paraId="4CE9BD87">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项目名称：陕西省常见草地植物图鉴项目研究技术服务-陕西省草原和湿地省级技术支撑服务项目</w:t>
      </w:r>
    </w:p>
    <w:p w14:paraId="72CAB3BE">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采购方式：竞争性磋商</w:t>
      </w:r>
    </w:p>
    <w:p w14:paraId="6D129BFB">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预算金额：200,000.00元</w:t>
      </w:r>
    </w:p>
    <w:p w14:paraId="0CEF00DD">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采购需求：</w:t>
      </w:r>
    </w:p>
    <w:p w14:paraId="770BCFA0">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合同包1(陕西省常见草地植物图鉴项目研究技术服务):</w:t>
      </w:r>
    </w:p>
    <w:p w14:paraId="52A9B554">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合同包预算金额：200,000.00元</w:t>
      </w:r>
    </w:p>
    <w:p w14:paraId="5BA1B03E">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合同包最高限价：200,000.00元</w:t>
      </w:r>
    </w:p>
    <w:tbl>
      <w:tblPr>
        <w:tblStyle w:val="16"/>
        <w:tblW w:w="954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91"/>
        <w:gridCol w:w="1591"/>
        <w:gridCol w:w="1591"/>
        <w:gridCol w:w="1591"/>
        <w:gridCol w:w="1591"/>
        <w:gridCol w:w="1593"/>
      </w:tblGrid>
      <w:tr w14:paraId="27D26A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91" w:type="dxa"/>
            <w:vAlign w:val="center"/>
          </w:tcPr>
          <w:p w14:paraId="4EDBD85D">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品目号</w:t>
            </w:r>
          </w:p>
        </w:tc>
        <w:tc>
          <w:tcPr>
            <w:tcW w:w="1591" w:type="dxa"/>
            <w:vAlign w:val="center"/>
          </w:tcPr>
          <w:p w14:paraId="64BC5EAD">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品目名称</w:t>
            </w:r>
          </w:p>
        </w:tc>
        <w:tc>
          <w:tcPr>
            <w:tcW w:w="1591" w:type="dxa"/>
            <w:vAlign w:val="center"/>
          </w:tcPr>
          <w:p w14:paraId="4670ACA7">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采购标的</w:t>
            </w:r>
          </w:p>
        </w:tc>
        <w:tc>
          <w:tcPr>
            <w:tcW w:w="1591" w:type="dxa"/>
            <w:vAlign w:val="center"/>
          </w:tcPr>
          <w:p w14:paraId="47E3786C">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数量（单位）</w:t>
            </w:r>
          </w:p>
        </w:tc>
        <w:tc>
          <w:tcPr>
            <w:tcW w:w="1591" w:type="dxa"/>
            <w:vAlign w:val="center"/>
          </w:tcPr>
          <w:p w14:paraId="11B909D5">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技术规格、参数及要求</w:t>
            </w:r>
          </w:p>
        </w:tc>
        <w:tc>
          <w:tcPr>
            <w:tcW w:w="1593" w:type="dxa"/>
            <w:vAlign w:val="center"/>
          </w:tcPr>
          <w:p w14:paraId="22258E59">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品目预算(元)</w:t>
            </w:r>
          </w:p>
        </w:tc>
      </w:tr>
      <w:tr w14:paraId="5E4859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91" w:type="dxa"/>
            <w:vAlign w:val="center"/>
          </w:tcPr>
          <w:p w14:paraId="27BD8255">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1-1</w:t>
            </w:r>
          </w:p>
        </w:tc>
        <w:tc>
          <w:tcPr>
            <w:tcW w:w="1591" w:type="dxa"/>
            <w:vAlign w:val="center"/>
          </w:tcPr>
          <w:p w14:paraId="63F6338B">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其他专业技术服务</w:t>
            </w:r>
          </w:p>
        </w:tc>
        <w:tc>
          <w:tcPr>
            <w:tcW w:w="1591" w:type="dxa"/>
            <w:vAlign w:val="center"/>
          </w:tcPr>
          <w:p w14:paraId="20910CD7">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陕西省常见草地植物图鉴项目研究技术服务</w:t>
            </w:r>
          </w:p>
        </w:tc>
        <w:tc>
          <w:tcPr>
            <w:tcW w:w="1591" w:type="dxa"/>
            <w:vAlign w:val="center"/>
          </w:tcPr>
          <w:p w14:paraId="5584A71F">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1(项)</w:t>
            </w:r>
          </w:p>
        </w:tc>
        <w:tc>
          <w:tcPr>
            <w:tcW w:w="1591" w:type="dxa"/>
            <w:vAlign w:val="center"/>
          </w:tcPr>
          <w:p w14:paraId="3D367EE2">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详见采购文件</w:t>
            </w:r>
          </w:p>
        </w:tc>
        <w:tc>
          <w:tcPr>
            <w:tcW w:w="1593" w:type="dxa"/>
            <w:vAlign w:val="center"/>
          </w:tcPr>
          <w:p w14:paraId="3A41143A">
            <w:pPr>
              <w:pStyle w:val="32"/>
              <w:keepNext w:val="0"/>
              <w:keepLines w:val="0"/>
              <w:pageBreakBefore w:val="0"/>
              <w:widowControl/>
              <w:kinsoku/>
              <w:wordWrap/>
              <w:overflowPunct/>
              <w:topLinePunct w:val="0"/>
              <w:autoSpaceDE/>
              <w:autoSpaceDN/>
              <w:bidi w:val="0"/>
              <w:adjustRightInd/>
              <w:snapToGrid/>
              <w:spacing w:line="380" w:lineRule="exact"/>
              <w:jc w:val="center"/>
              <w:textAlignment w:val="auto"/>
              <w:rPr>
                <w:sz w:val="24"/>
                <w:szCs w:val="24"/>
              </w:rPr>
            </w:pPr>
            <w:r>
              <w:rPr>
                <w:rFonts w:ascii="仿宋_GB2312" w:hAnsi="仿宋_GB2312" w:eastAsia="仿宋_GB2312" w:cs="仿宋_GB2312"/>
                <w:sz w:val="24"/>
                <w:szCs w:val="24"/>
              </w:rPr>
              <w:t>200,000.00</w:t>
            </w:r>
          </w:p>
        </w:tc>
      </w:tr>
    </w:tbl>
    <w:p w14:paraId="4FB13B2F">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 xml:space="preserve"> 本合同包不接受联合体投标</w:t>
      </w:r>
    </w:p>
    <w:p w14:paraId="17DC8D83">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 xml:space="preserve"> 合同履行期限：验收合格后质保期满</w:t>
      </w:r>
    </w:p>
    <w:p w14:paraId="72B6FBEC">
      <w:pPr>
        <w:pStyle w:val="32"/>
        <w:keepNext w:val="0"/>
        <w:keepLines w:val="0"/>
        <w:pageBreakBefore w:val="0"/>
        <w:widowControl/>
        <w:kinsoku/>
        <w:wordWrap/>
        <w:overflowPunct/>
        <w:topLinePunct w:val="0"/>
        <w:autoSpaceDE/>
        <w:autoSpaceDN/>
        <w:bidi w:val="0"/>
        <w:adjustRightInd/>
        <w:snapToGrid/>
        <w:spacing w:line="380" w:lineRule="exact"/>
        <w:textAlignment w:val="auto"/>
        <w:outlineLvl w:val="3"/>
        <w:rPr>
          <w:sz w:val="24"/>
          <w:szCs w:val="24"/>
        </w:rPr>
      </w:pPr>
      <w:r>
        <w:rPr>
          <w:rFonts w:ascii="仿宋_GB2312" w:hAnsi="仿宋_GB2312" w:eastAsia="仿宋_GB2312" w:cs="仿宋_GB2312"/>
          <w:b/>
          <w:sz w:val="24"/>
          <w:szCs w:val="24"/>
        </w:rPr>
        <w:t>二、申请人的资格要求：</w:t>
      </w:r>
    </w:p>
    <w:p w14:paraId="43262B35">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1.满足《中华人民共和国政府采购法》第二十二条规定;</w:t>
      </w:r>
    </w:p>
    <w:p w14:paraId="2F895612">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2.落实政府采购政策需满足的资格要求：</w:t>
      </w:r>
    </w:p>
    <w:p w14:paraId="29EC39AA">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合同包1(陕西省常见草地植物图鉴项目研究技术服务)落实政府采购政策需满足的资格要求如下:</w:t>
      </w:r>
    </w:p>
    <w:p w14:paraId="10BE8160">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（1）《政府采购促进中小企业发展管理办法》的通知--财库〔2020〕46号；</w:t>
      </w:r>
    </w:p>
    <w:p w14:paraId="7BC1F117">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 xml:space="preserve">（2）财政部司法部关于政府采购支持监狱企业发展有关问题的通知--财库[2014]68号； </w:t>
      </w:r>
    </w:p>
    <w:p w14:paraId="17A70093">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（3）《三部门联合发布关于促进残疾人就业政府采购政策的通知》（财库〔2017〕141号）；</w:t>
      </w:r>
    </w:p>
    <w:p w14:paraId="18857987">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（4）《财政部 发展改革委 生态环境部 市场监管总局关于调整优化节能产品、环境标志产品政府采购执行机制的通知》（财库〔2019〕9号）；</w:t>
      </w:r>
    </w:p>
    <w:p w14:paraId="5365F42E">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（5）《关于运用政府采购政策支持乡村产业振兴的通知》（财库〔2021〕19号）；</w:t>
      </w:r>
    </w:p>
    <w:p w14:paraId="595D1F22">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（6）陕西省财政厅关于印发《陕西省中小企业政府采购信用融资办法》（陕财办采〔2018〕23号）；</w:t>
      </w:r>
    </w:p>
    <w:p w14:paraId="1BAA03F0">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（7）《关于进一步加大政府采购支持中小企业力度的通知》（财库〔2022〕19号）；</w:t>
      </w:r>
    </w:p>
    <w:p w14:paraId="258E4922">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（8）《关于扩大政府采购支持绿色建材促进建筑品质提升政策实施范围的通知》（财库〔2022〕35号）；</w:t>
      </w:r>
    </w:p>
    <w:p w14:paraId="6F5548B2">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（9）《关于推动解决政府采购异常低价问题的通知》财库〔2026〕2号；</w:t>
      </w:r>
    </w:p>
    <w:p w14:paraId="21BF1207">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（10）《国务院办公厅关于在政府采购中实施本国产品标准及相关政策的通知》国办发〔2025〕34号；</w:t>
      </w:r>
    </w:p>
    <w:p w14:paraId="00CA8A5F">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（11） 若享受以上政策优惠的企业，提供相应声明函或品目范围内产品有效认证证书。如有最新颁布的政府采购政策，按最新的文件执行；</w:t>
      </w:r>
    </w:p>
    <w:p w14:paraId="1681F57A">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3.本项目的特定资格要求：</w:t>
      </w:r>
    </w:p>
    <w:p w14:paraId="76D47DED">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合同包1(陕西省常见草地植物图鉴项目研究技术服务)特定资格要求如下:</w:t>
      </w:r>
    </w:p>
    <w:p w14:paraId="0E87E78F">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（1）具有独立承担民事责任能力的法人、其他组织或自然人，并出具合法有效的营业执照或事业单位法人证书等国家规定的相关证明，自然人参与的提供其身份证明。</w:t>
      </w:r>
    </w:p>
    <w:p w14:paraId="74CB2DFC">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1CF4770C">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3）税收缴纳证明：提供2025年1月至今已缴纳至少一个月的依法缴纳税款的相关凭据（时间以税款所属日期为准），凭据应有税务机关或代收机关的公章或业务专用章。依法免税或无须缴纳税款的供应商，应提供相关证明文件。</w:t>
      </w:r>
    </w:p>
    <w:p w14:paraId="37547969">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 xml:space="preserve">（4）社会保障资金缴纳证明：提供2025年1月至今已缴存的至少一个月的社会保障资金缴存单据或社保机构开具的社会保险参保缴费情况证明，依法不需要缴纳社会保障资金的单位应提供相关证明材料。 </w:t>
      </w:r>
    </w:p>
    <w:p w14:paraId="366ADC54">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5）书面声明：参加本次政府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p>
    <w:p w14:paraId="52C8C11D">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 xml:space="preserve">（6）提供具有履行合同所必需的设备和专业技术能力的承诺函。 </w:t>
      </w:r>
    </w:p>
    <w:p w14:paraId="39029097">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（7）法定代表人授权书及被授权人身份证。（法定代表人直接参与磋商只须提交其身份证原件）</w:t>
      </w:r>
    </w:p>
    <w:p w14:paraId="7535DEF9">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（8）提供中小企业声明函。（本项目为非专门面向中、小、微型企业采购项目）</w:t>
      </w:r>
    </w:p>
    <w:p w14:paraId="205A9303">
      <w:pPr>
        <w:pStyle w:val="32"/>
        <w:keepNext w:val="0"/>
        <w:keepLines w:val="0"/>
        <w:pageBreakBefore w:val="0"/>
        <w:widowControl/>
        <w:kinsoku/>
        <w:wordWrap/>
        <w:overflowPunct/>
        <w:topLinePunct w:val="0"/>
        <w:autoSpaceDE/>
        <w:autoSpaceDN/>
        <w:bidi w:val="0"/>
        <w:adjustRightInd/>
        <w:snapToGrid/>
        <w:spacing w:line="380" w:lineRule="exact"/>
        <w:textAlignment w:val="auto"/>
        <w:outlineLvl w:val="3"/>
        <w:rPr>
          <w:sz w:val="24"/>
          <w:szCs w:val="24"/>
        </w:rPr>
      </w:pPr>
      <w:r>
        <w:rPr>
          <w:rFonts w:ascii="仿宋_GB2312" w:hAnsi="仿宋_GB2312" w:eastAsia="仿宋_GB2312" w:cs="仿宋_GB2312"/>
          <w:b/>
          <w:sz w:val="24"/>
          <w:szCs w:val="24"/>
        </w:rPr>
        <w:t>三、获取采购文件</w:t>
      </w:r>
    </w:p>
    <w:p w14:paraId="1531F472">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时间： 2026年06月17日 至 2026年06月24日 ，每天上午 09:00:00 至 12:00:00 ，下午 14:00:00 至 17:00:00 （北京时间）</w:t>
      </w:r>
    </w:p>
    <w:p w14:paraId="5F4A6EFA">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途径：西安市莲湖区西关正街英达大厦809室</w:t>
      </w:r>
    </w:p>
    <w:p w14:paraId="317B29F3">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方式：现场获取</w:t>
      </w:r>
    </w:p>
    <w:p w14:paraId="4721620E">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售价： 500元</w:t>
      </w:r>
    </w:p>
    <w:p w14:paraId="27B93794">
      <w:pPr>
        <w:pStyle w:val="32"/>
        <w:keepNext w:val="0"/>
        <w:keepLines w:val="0"/>
        <w:pageBreakBefore w:val="0"/>
        <w:widowControl/>
        <w:kinsoku/>
        <w:wordWrap/>
        <w:overflowPunct/>
        <w:topLinePunct w:val="0"/>
        <w:autoSpaceDE/>
        <w:autoSpaceDN/>
        <w:bidi w:val="0"/>
        <w:adjustRightInd/>
        <w:snapToGrid/>
        <w:spacing w:line="380" w:lineRule="exact"/>
        <w:textAlignment w:val="auto"/>
        <w:outlineLvl w:val="3"/>
        <w:rPr>
          <w:sz w:val="24"/>
          <w:szCs w:val="24"/>
        </w:rPr>
      </w:pPr>
      <w:r>
        <w:rPr>
          <w:rFonts w:ascii="仿宋_GB2312" w:hAnsi="仿宋_GB2312" w:eastAsia="仿宋_GB2312" w:cs="仿宋_GB2312"/>
          <w:b/>
          <w:sz w:val="24"/>
          <w:szCs w:val="24"/>
        </w:rPr>
        <w:t>四、响应文件提交</w:t>
      </w:r>
    </w:p>
    <w:p w14:paraId="4AB09122">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截止时间： 2026年06月29日 14时00分00秒 （北京时间）</w:t>
      </w:r>
    </w:p>
    <w:p w14:paraId="48B58207">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地点：西安市莲湖区西关正街英达大厦809室</w:t>
      </w:r>
    </w:p>
    <w:p w14:paraId="45EE87B6">
      <w:pPr>
        <w:pStyle w:val="32"/>
        <w:keepNext w:val="0"/>
        <w:keepLines w:val="0"/>
        <w:pageBreakBefore w:val="0"/>
        <w:widowControl/>
        <w:kinsoku/>
        <w:wordWrap/>
        <w:overflowPunct/>
        <w:topLinePunct w:val="0"/>
        <w:autoSpaceDE/>
        <w:autoSpaceDN/>
        <w:bidi w:val="0"/>
        <w:adjustRightInd/>
        <w:snapToGrid/>
        <w:spacing w:line="380" w:lineRule="exact"/>
        <w:textAlignment w:val="auto"/>
        <w:outlineLvl w:val="3"/>
        <w:rPr>
          <w:sz w:val="24"/>
          <w:szCs w:val="24"/>
        </w:rPr>
      </w:pPr>
      <w:r>
        <w:rPr>
          <w:rFonts w:ascii="仿宋_GB2312" w:hAnsi="仿宋_GB2312" w:eastAsia="仿宋_GB2312" w:cs="仿宋_GB2312"/>
          <w:b/>
          <w:sz w:val="24"/>
          <w:szCs w:val="24"/>
        </w:rPr>
        <w:t>五、开启</w:t>
      </w:r>
    </w:p>
    <w:p w14:paraId="059AA1FD">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时间： 2026年06月29日 14时00分00秒 （北京时间）</w:t>
      </w:r>
    </w:p>
    <w:p w14:paraId="501DD835">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地点：西安市莲湖区西关正街英达大厦809室</w:t>
      </w:r>
    </w:p>
    <w:p w14:paraId="5EFBF60E">
      <w:pPr>
        <w:pStyle w:val="32"/>
        <w:keepNext w:val="0"/>
        <w:keepLines w:val="0"/>
        <w:pageBreakBefore w:val="0"/>
        <w:widowControl/>
        <w:kinsoku/>
        <w:wordWrap/>
        <w:overflowPunct/>
        <w:topLinePunct w:val="0"/>
        <w:autoSpaceDE/>
        <w:autoSpaceDN/>
        <w:bidi w:val="0"/>
        <w:adjustRightInd/>
        <w:snapToGrid/>
        <w:spacing w:line="380" w:lineRule="exact"/>
        <w:textAlignment w:val="auto"/>
        <w:outlineLvl w:val="3"/>
        <w:rPr>
          <w:sz w:val="24"/>
          <w:szCs w:val="24"/>
        </w:rPr>
      </w:pPr>
      <w:r>
        <w:rPr>
          <w:rFonts w:ascii="仿宋_GB2312" w:hAnsi="仿宋_GB2312" w:eastAsia="仿宋_GB2312" w:cs="仿宋_GB2312"/>
          <w:b/>
          <w:sz w:val="24"/>
          <w:szCs w:val="24"/>
        </w:rPr>
        <w:t>六、公告期限</w:t>
      </w:r>
    </w:p>
    <w:p w14:paraId="782E03B7">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自本公告发布之日起3个工作日。</w:t>
      </w:r>
    </w:p>
    <w:p w14:paraId="327B9071">
      <w:pPr>
        <w:pStyle w:val="32"/>
        <w:keepNext w:val="0"/>
        <w:keepLines w:val="0"/>
        <w:pageBreakBefore w:val="0"/>
        <w:widowControl/>
        <w:kinsoku/>
        <w:wordWrap/>
        <w:overflowPunct/>
        <w:topLinePunct w:val="0"/>
        <w:autoSpaceDE/>
        <w:autoSpaceDN/>
        <w:bidi w:val="0"/>
        <w:adjustRightInd/>
        <w:snapToGrid/>
        <w:spacing w:line="380" w:lineRule="exact"/>
        <w:textAlignment w:val="auto"/>
        <w:outlineLvl w:val="3"/>
        <w:rPr>
          <w:sz w:val="24"/>
          <w:szCs w:val="24"/>
        </w:rPr>
      </w:pPr>
      <w:r>
        <w:rPr>
          <w:rFonts w:ascii="仿宋_GB2312" w:hAnsi="仿宋_GB2312" w:eastAsia="仿宋_GB2312" w:cs="仿宋_GB2312"/>
          <w:b/>
          <w:sz w:val="24"/>
          <w:szCs w:val="24"/>
        </w:rPr>
        <w:t>七、其他补充事宜</w:t>
      </w:r>
    </w:p>
    <w:p w14:paraId="44D7D726">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color w:val="333333"/>
          <w:sz w:val="24"/>
          <w:szCs w:val="24"/>
          <w:shd w:val="clear" w:fill="FFFFFF"/>
        </w:rPr>
        <w:t>请扫描单位介绍信和经办人身份证加盖公章发送至sxzhzb@163.com邮箱获取竞争性磋商文件，邮件标题命名格式为“联系电话+项目名称”。</w:t>
      </w:r>
    </w:p>
    <w:p w14:paraId="5F2B3F91">
      <w:pPr>
        <w:pStyle w:val="32"/>
        <w:keepNext w:val="0"/>
        <w:keepLines w:val="0"/>
        <w:pageBreakBefore w:val="0"/>
        <w:widowControl/>
        <w:kinsoku/>
        <w:wordWrap/>
        <w:overflowPunct/>
        <w:topLinePunct w:val="0"/>
        <w:autoSpaceDE/>
        <w:autoSpaceDN/>
        <w:bidi w:val="0"/>
        <w:adjustRightInd/>
        <w:snapToGrid/>
        <w:spacing w:line="380" w:lineRule="exact"/>
        <w:textAlignment w:val="auto"/>
        <w:outlineLvl w:val="3"/>
        <w:rPr>
          <w:sz w:val="24"/>
          <w:szCs w:val="24"/>
        </w:rPr>
      </w:pPr>
      <w:r>
        <w:rPr>
          <w:rFonts w:ascii="仿宋_GB2312" w:hAnsi="仿宋_GB2312" w:eastAsia="仿宋_GB2312" w:cs="仿宋_GB2312"/>
          <w:b/>
          <w:sz w:val="24"/>
          <w:szCs w:val="24"/>
        </w:rPr>
        <w:t>八、对本次招标提出询问，请按以下方式联系。</w:t>
      </w:r>
    </w:p>
    <w:p w14:paraId="07254E13">
      <w:pPr>
        <w:pStyle w:val="32"/>
        <w:keepNext w:val="0"/>
        <w:keepLines w:val="0"/>
        <w:pageBreakBefore w:val="0"/>
        <w:widowControl/>
        <w:kinsoku/>
        <w:wordWrap/>
        <w:overflowPunct/>
        <w:topLinePunct w:val="0"/>
        <w:autoSpaceDE/>
        <w:autoSpaceDN/>
        <w:bidi w:val="0"/>
        <w:adjustRightInd/>
        <w:snapToGrid/>
        <w:spacing w:line="380" w:lineRule="exact"/>
        <w:ind w:left="0" w:firstLine="482" w:firstLineChars="200"/>
        <w:textAlignment w:val="auto"/>
        <w:outlineLvl w:val="5"/>
        <w:rPr>
          <w:sz w:val="24"/>
          <w:szCs w:val="24"/>
        </w:rPr>
      </w:pPr>
      <w:r>
        <w:rPr>
          <w:rFonts w:ascii="仿宋_GB2312" w:hAnsi="仿宋_GB2312" w:eastAsia="仿宋_GB2312" w:cs="仿宋_GB2312"/>
          <w:b/>
          <w:sz w:val="24"/>
          <w:szCs w:val="24"/>
        </w:rPr>
        <w:t>1.采购人信息</w:t>
      </w:r>
    </w:p>
    <w:p w14:paraId="7E0B5F91">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名称：陕西省林业调查规划院（陕西省森林资源监测中心）</w:t>
      </w:r>
    </w:p>
    <w:p w14:paraId="73964BAB">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地址：西安市西关正街233号</w:t>
      </w:r>
    </w:p>
    <w:p w14:paraId="74B0FFE9">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联系方式：02988652092</w:t>
      </w:r>
    </w:p>
    <w:p w14:paraId="63F86368">
      <w:pPr>
        <w:pStyle w:val="32"/>
        <w:keepNext w:val="0"/>
        <w:keepLines w:val="0"/>
        <w:pageBreakBefore w:val="0"/>
        <w:widowControl/>
        <w:kinsoku/>
        <w:wordWrap/>
        <w:overflowPunct/>
        <w:topLinePunct w:val="0"/>
        <w:autoSpaceDE/>
        <w:autoSpaceDN/>
        <w:bidi w:val="0"/>
        <w:adjustRightInd/>
        <w:snapToGrid/>
        <w:spacing w:line="380" w:lineRule="exact"/>
        <w:ind w:left="0" w:firstLine="482" w:firstLineChars="200"/>
        <w:textAlignment w:val="auto"/>
        <w:outlineLvl w:val="5"/>
        <w:rPr>
          <w:sz w:val="24"/>
          <w:szCs w:val="24"/>
        </w:rPr>
      </w:pPr>
      <w:r>
        <w:rPr>
          <w:rFonts w:ascii="仿宋_GB2312" w:hAnsi="仿宋_GB2312" w:eastAsia="仿宋_GB2312" w:cs="仿宋_GB2312"/>
          <w:b/>
          <w:sz w:val="24"/>
          <w:szCs w:val="24"/>
        </w:rPr>
        <w:t>2.采购代理机构信息</w:t>
      </w:r>
    </w:p>
    <w:p w14:paraId="1ED322DA">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名称：陕西中海招标有限公司</w:t>
      </w:r>
    </w:p>
    <w:p w14:paraId="2F8A4C17">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地址：西安市莲湖区西关正街58号英达大厦</w:t>
      </w:r>
      <w:r>
        <w:rPr>
          <w:rFonts w:hint="eastAsia" w:ascii="仿宋_GB2312" w:hAnsi="仿宋_GB2312" w:eastAsia="仿宋_GB2312" w:cs="仿宋_GB2312"/>
          <w:sz w:val="24"/>
          <w:szCs w:val="24"/>
          <w:lang w:val="en-US" w:eastAsia="zh-CN"/>
        </w:rPr>
        <w:t>809</w:t>
      </w:r>
      <w:r>
        <w:rPr>
          <w:rFonts w:ascii="仿宋_GB2312" w:hAnsi="仿宋_GB2312" w:eastAsia="仿宋_GB2312" w:cs="仿宋_GB2312"/>
          <w:sz w:val="24"/>
          <w:szCs w:val="24"/>
        </w:rPr>
        <w:t>号</w:t>
      </w:r>
    </w:p>
    <w:p w14:paraId="067F38A7">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联系方式：18602927100</w:t>
      </w:r>
    </w:p>
    <w:p w14:paraId="3068C7A5">
      <w:pPr>
        <w:pStyle w:val="32"/>
        <w:keepNext w:val="0"/>
        <w:keepLines w:val="0"/>
        <w:pageBreakBefore w:val="0"/>
        <w:widowControl/>
        <w:kinsoku/>
        <w:wordWrap/>
        <w:overflowPunct/>
        <w:topLinePunct w:val="0"/>
        <w:autoSpaceDE/>
        <w:autoSpaceDN/>
        <w:bidi w:val="0"/>
        <w:adjustRightInd/>
        <w:snapToGrid/>
        <w:spacing w:line="380" w:lineRule="exact"/>
        <w:ind w:left="0" w:firstLine="482" w:firstLineChars="200"/>
        <w:textAlignment w:val="auto"/>
        <w:outlineLvl w:val="5"/>
        <w:rPr>
          <w:sz w:val="24"/>
          <w:szCs w:val="24"/>
        </w:rPr>
      </w:pPr>
      <w:r>
        <w:rPr>
          <w:rFonts w:ascii="仿宋_GB2312" w:hAnsi="仿宋_GB2312" w:eastAsia="仿宋_GB2312" w:cs="仿宋_GB2312"/>
          <w:b/>
          <w:sz w:val="24"/>
          <w:szCs w:val="24"/>
        </w:rPr>
        <w:t>3.项目联系方式</w:t>
      </w:r>
    </w:p>
    <w:p w14:paraId="1C3F962E">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项目联系人：樊静</w:t>
      </w:r>
    </w:p>
    <w:p w14:paraId="78755325">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textAlignment w:val="auto"/>
        <w:rPr>
          <w:sz w:val="24"/>
          <w:szCs w:val="24"/>
        </w:rPr>
      </w:pPr>
      <w:r>
        <w:rPr>
          <w:rFonts w:ascii="仿宋_GB2312" w:hAnsi="仿宋_GB2312" w:eastAsia="仿宋_GB2312" w:cs="仿宋_GB2312"/>
          <w:sz w:val="24"/>
          <w:szCs w:val="24"/>
        </w:rPr>
        <w:t>电话：18602927100</w:t>
      </w:r>
    </w:p>
    <w:p w14:paraId="60385E3C">
      <w:pPr>
        <w:pStyle w:val="32"/>
        <w:keepNext w:val="0"/>
        <w:keepLines w:val="0"/>
        <w:pageBreakBefore w:val="0"/>
        <w:widowControl/>
        <w:kinsoku/>
        <w:wordWrap/>
        <w:overflowPunct/>
        <w:topLinePunct w:val="0"/>
        <w:autoSpaceDE/>
        <w:autoSpaceDN/>
        <w:bidi w:val="0"/>
        <w:adjustRightInd/>
        <w:snapToGrid/>
        <w:spacing w:line="380" w:lineRule="exact"/>
        <w:ind w:left="0" w:firstLine="480" w:firstLineChars="200"/>
        <w:jc w:val="right"/>
        <w:textAlignment w:val="auto"/>
      </w:pPr>
      <w:r>
        <w:rPr>
          <w:rFonts w:ascii="仿宋_GB2312" w:hAnsi="仿宋_GB2312" w:eastAsia="仿宋_GB2312" w:cs="仿宋_GB2312"/>
          <w:sz w:val="24"/>
          <w:szCs w:val="24"/>
        </w:rPr>
        <w:t>陕西中海招标有限公司</w:t>
      </w:r>
      <w:r>
        <w:br w:type="textWrapping"/>
      </w:r>
    </w:p>
    <w:p w14:paraId="6F36E48D">
      <w:pPr>
        <w:pStyle w:val="32"/>
        <w:rPr>
          <w:rFonts w:hint="eastAsia"/>
          <w:lang w:val="en-US" w:eastAsia="zh-Hans"/>
        </w:rPr>
      </w:pPr>
    </w:p>
    <w:p w14:paraId="267B5A45">
      <w:pPr>
        <w:keepNext w:val="0"/>
        <w:keepLines w:val="0"/>
        <w:pageBreakBefore w:val="0"/>
        <w:widowControl w:val="0"/>
        <w:kinsoku/>
        <w:wordWrap/>
        <w:overflowPunct/>
        <w:topLinePunct w:val="0"/>
        <w:autoSpaceDE/>
        <w:autoSpaceDN/>
        <w:bidi w:val="0"/>
        <w:adjustRightInd/>
        <w:snapToGrid/>
        <w:spacing w:before="139" w:line="360" w:lineRule="auto"/>
        <w:ind w:firstLine="480" w:firstLineChars="200"/>
        <w:textAlignment w:val="auto"/>
        <w:rPr>
          <w:rFonts w:hint="eastAsia"/>
          <w:color w:val="auto"/>
          <w:spacing w:val="0"/>
          <w:sz w:val="24"/>
          <w:szCs w:val="32"/>
          <w:highlight w:val="none"/>
        </w:rPr>
      </w:pPr>
      <w:r>
        <w:rPr>
          <w:rFonts w:hint="eastAsia"/>
          <w:color w:val="auto"/>
          <w:spacing w:val="0"/>
          <w:sz w:val="24"/>
          <w:szCs w:val="32"/>
          <w:highlight w:val="none"/>
        </w:rPr>
        <w:br w:type="page"/>
      </w:r>
    </w:p>
    <w:p w14:paraId="049A2AE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cs="Times New Roman"/>
          <w:b/>
          <w:bCs/>
          <w:color w:val="auto"/>
          <w:spacing w:val="0"/>
          <w:kern w:val="44"/>
          <w:sz w:val="32"/>
          <w:szCs w:val="32"/>
          <w:highlight w:val="none"/>
          <w:lang w:val="en-US" w:eastAsia="zh-CN" w:bidi="ar-SA"/>
        </w:rPr>
      </w:pPr>
      <w:bookmarkStart w:id="14" w:name="_Toc17510"/>
      <w:r>
        <w:rPr>
          <w:rFonts w:hint="eastAsia" w:ascii="Times New Roman" w:hAnsi="Times New Roman" w:cs="Times New Roman"/>
          <w:b/>
          <w:bCs/>
          <w:color w:val="auto"/>
          <w:spacing w:val="0"/>
          <w:kern w:val="44"/>
          <w:sz w:val="32"/>
          <w:szCs w:val="32"/>
          <w:highlight w:val="none"/>
          <w:lang w:val="en-US" w:eastAsia="zh-CN" w:bidi="ar-SA"/>
        </w:rPr>
        <w:t>第二章</w:t>
      </w:r>
      <w:r>
        <w:rPr>
          <w:rFonts w:hint="eastAsia" w:cs="Times New Roman"/>
          <w:b/>
          <w:bCs/>
          <w:color w:val="auto"/>
          <w:spacing w:val="0"/>
          <w:kern w:val="44"/>
          <w:sz w:val="32"/>
          <w:szCs w:val="32"/>
          <w:highlight w:val="none"/>
          <w:lang w:val="en-US" w:eastAsia="zh-CN" w:bidi="ar-SA"/>
        </w:rPr>
        <w:t xml:space="preserve">  </w:t>
      </w:r>
      <w:r>
        <w:rPr>
          <w:rFonts w:hint="eastAsia" w:ascii="Times New Roman" w:hAnsi="Times New Roman" w:cs="Times New Roman"/>
          <w:b/>
          <w:bCs/>
          <w:color w:val="auto"/>
          <w:spacing w:val="0"/>
          <w:kern w:val="44"/>
          <w:sz w:val="32"/>
          <w:szCs w:val="32"/>
          <w:highlight w:val="none"/>
          <w:lang w:val="en-US" w:eastAsia="zh-CN" w:bidi="ar-SA"/>
        </w:rPr>
        <w:t>供应商须知</w:t>
      </w:r>
      <w:bookmarkEnd w:id="14"/>
    </w:p>
    <w:p w14:paraId="3CACE8C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color w:val="auto"/>
          <w:spacing w:val="0"/>
          <w:sz w:val="24"/>
          <w:szCs w:val="32"/>
          <w:highlight w:val="none"/>
          <w:lang w:val="en-US" w:eastAsia="zh-CN"/>
        </w:rPr>
      </w:pPr>
      <w:r>
        <w:rPr>
          <w:rFonts w:hint="eastAsia"/>
          <w:color w:val="auto"/>
          <w:spacing w:val="0"/>
          <w:sz w:val="24"/>
          <w:szCs w:val="32"/>
          <w:highlight w:val="none"/>
          <w:lang w:val="en-US" w:eastAsia="zh-CN"/>
        </w:rPr>
        <w:t>供应商须知前附表</w:t>
      </w:r>
    </w:p>
    <w:tbl>
      <w:tblPr>
        <w:tblStyle w:val="17"/>
        <w:tblW w:w="98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084"/>
        <w:gridCol w:w="6906"/>
      </w:tblGrid>
      <w:tr w14:paraId="1E65C6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7945C7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序号</w:t>
            </w:r>
          </w:p>
        </w:tc>
        <w:tc>
          <w:tcPr>
            <w:tcW w:w="2084" w:type="dxa"/>
            <w:tcBorders>
              <w:tl2br w:val="nil"/>
              <w:tr2bl w:val="nil"/>
            </w:tcBorders>
            <w:vAlign w:val="center"/>
          </w:tcPr>
          <w:p w14:paraId="1E3BF0D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条款名称</w:t>
            </w:r>
          </w:p>
        </w:tc>
        <w:tc>
          <w:tcPr>
            <w:tcW w:w="6906" w:type="dxa"/>
            <w:tcBorders>
              <w:tl2br w:val="nil"/>
              <w:tr2bl w:val="nil"/>
            </w:tcBorders>
            <w:vAlign w:val="center"/>
          </w:tcPr>
          <w:p w14:paraId="49E32B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编列内容</w:t>
            </w:r>
          </w:p>
        </w:tc>
      </w:tr>
      <w:tr w14:paraId="3F1498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2CC53F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w:t>
            </w:r>
          </w:p>
        </w:tc>
        <w:tc>
          <w:tcPr>
            <w:tcW w:w="2084" w:type="dxa"/>
            <w:tcBorders>
              <w:tl2br w:val="nil"/>
              <w:tr2bl w:val="nil"/>
            </w:tcBorders>
            <w:vAlign w:val="center"/>
          </w:tcPr>
          <w:p w14:paraId="47784C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采购人</w:t>
            </w:r>
          </w:p>
        </w:tc>
        <w:tc>
          <w:tcPr>
            <w:tcW w:w="6906" w:type="dxa"/>
            <w:tcBorders>
              <w:tl2br w:val="nil"/>
              <w:tr2bl w:val="nil"/>
            </w:tcBorders>
            <w:vAlign w:val="center"/>
          </w:tcPr>
          <w:p w14:paraId="20B3341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名  称：</w:t>
            </w:r>
            <w:r>
              <w:rPr>
                <w:rFonts w:hint="eastAsia" w:ascii="宋体" w:hAnsi="宋体" w:eastAsia="宋体" w:cs="宋体"/>
                <w:b w:val="0"/>
                <w:bCs w:val="0"/>
                <w:color w:val="auto"/>
                <w:kern w:val="2"/>
                <w:sz w:val="24"/>
                <w:szCs w:val="24"/>
                <w:highlight w:val="none"/>
                <w:vertAlign w:val="baseline"/>
                <w:lang w:val="en-US" w:eastAsia="zh-CN" w:bidi="ar-SA"/>
              </w:rPr>
              <w:t>陕西省林业调查规划院（陕西省森林资源监测中心）</w:t>
            </w:r>
          </w:p>
          <w:p w14:paraId="686445E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地  址：</w:t>
            </w:r>
            <w:r>
              <w:rPr>
                <w:rFonts w:hint="eastAsia" w:ascii="宋体" w:hAnsi="宋体" w:eastAsia="宋体" w:cs="宋体"/>
                <w:b w:val="0"/>
                <w:bCs w:val="0"/>
                <w:color w:val="auto"/>
                <w:kern w:val="2"/>
                <w:sz w:val="24"/>
                <w:szCs w:val="24"/>
                <w:highlight w:val="none"/>
                <w:vertAlign w:val="baseline"/>
                <w:lang w:val="en-US" w:eastAsia="zh-CN" w:bidi="ar-SA"/>
              </w:rPr>
              <w:t>西安市</w:t>
            </w:r>
            <w:r>
              <w:rPr>
                <w:rFonts w:hint="eastAsia" w:ascii="宋体" w:hAnsi="宋体" w:cs="宋体"/>
                <w:b w:val="0"/>
                <w:bCs w:val="0"/>
                <w:color w:val="auto"/>
                <w:kern w:val="2"/>
                <w:sz w:val="24"/>
                <w:szCs w:val="24"/>
                <w:highlight w:val="none"/>
                <w:vertAlign w:val="baseline"/>
                <w:lang w:val="en-US" w:eastAsia="zh-CN" w:bidi="ar-SA"/>
              </w:rPr>
              <w:t>莲湖区</w:t>
            </w:r>
            <w:r>
              <w:rPr>
                <w:rFonts w:hint="eastAsia" w:ascii="宋体" w:hAnsi="宋体" w:eastAsia="宋体" w:cs="宋体"/>
                <w:b w:val="0"/>
                <w:bCs w:val="0"/>
                <w:color w:val="auto"/>
                <w:kern w:val="2"/>
                <w:sz w:val="24"/>
                <w:szCs w:val="24"/>
                <w:highlight w:val="none"/>
                <w:vertAlign w:val="baseline"/>
                <w:lang w:val="en-US" w:eastAsia="zh-CN" w:bidi="ar-SA"/>
              </w:rPr>
              <w:t>西关正街233号</w:t>
            </w:r>
          </w:p>
          <w:p w14:paraId="0C70EDF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联 系 人：王茸仙</w:t>
            </w:r>
          </w:p>
          <w:p w14:paraId="0753B7A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kern w:val="2"/>
                <w:sz w:val="24"/>
                <w:szCs w:val="24"/>
                <w:highlight w:val="none"/>
                <w:vertAlign w:val="baseline"/>
                <w:lang w:val="en-US" w:eastAsia="zh-CN" w:bidi="ar-SA"/>
              </w:rPr>
              <w:t>电    话：13359188726</w:t>
            </w:r>
          </w:p>
        </w:tc>
      </w:tr>
      <w:tr w14:paraId="19C9B5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0EED35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w:t>
            </w:r>
          </w:p>
        </w:tc>
        <w:tc>
          <w:tcPr>
            <w:tcW w:w="2084" w:type="dxa"/>
            <w:tcBorders>
              <w:tl2br w:val="nil"/>
              <w:tr2bl w:val="nil"/>
            </w:tcBorders>
            <w:vAlign w:val="center"/>
          </w:tcPr>
          <w:p w14:paraId="0392B0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采购代理机构</w:t>
            </w:r>
          </w:p>
        </w:tc>
        <w:tc>
          <w:tcPr>
            <w:tcW w:w="6906" w:type="dxa"/>
            <w:tcBorders>
              <w:tl2br w:val="nil"/>
              <w:tr2bl w:val="nil"/>
            </w:tcBorders>
            <w:vAlign w:val="center"/>
          </w:tcPr>
          <w:p w14:paraId="15C3A1A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名  称：</w:t>
            </w:r>
            <w:r>
              <w:rPr>
                <w:rFonts w:hint="eastAsia" w:ascii="宋体" w:hAnsi="宋体" w:eastAsia="宋体" w:cs="宋体"/>
                <w:b w:val="0"/>
                <w:bCs w:val="0"/>
                <w:color w:val="auto"/>
                <w:kern w:val="2"/>
                <w:sz w:val="24"/>
                <w:szCs w:val="24"/>
                <w:highlight w:val="none"/>
                <w:vertAlign w:val="baseline"/>
                <w:lang w:val="en-US" w:eastAsia="zh-CN" w:bidi="ar-SA"/>
              </w:rPr>
              <w:t>陕西中海招标有限公司</w:t>
            </w:r>
          </w:p>
          <w:p w14:paraId="4EC18F5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地  址：</w:t>
            </w:r>
            <w:r>
              <w:rPr>
                <w:rFonts w:hint="eastAsia" w:ascii="宋体" w:hAnsi="宋体" w:cs="宋体"/>
                <w:b w:val="0"/>
                <w:bCs w:val="0"/>
                <w:color w:val="auto"/>
                <w:kern w:val="2"/>
                <w:sz w:val="24"/>
                <w:szCs w:val="24"/>
                <w:highlight w:val="none"/>
                <w:vertAlign w:val="baseline"/>
                <w:lang w:val="en-US" w:eastAsia="zh-CN" w:bidi="ar-SA"/>
              </w:rPr>
              <w:t>西安市莲湖区西关正街58号英达大厦809号</w:t>
            </w:r>
          </w:p>
          <w:p w14:paraId="6B1C0E0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联系人：</w:t>
            </w:r>
            <w:r>
              <w:rPr>
                <w:rFonts w:hint="eastAsia" w:ascii="宋体" w:hAnsi="宋体" w:eastAsia="宋体" w:cs="宋体"/>
                <w:b w:val="0"/>
                <w:bCs w:val="0"/>
                <w:color w:val="auto"/>
                <w:kern w:val="2"/>
                <w:sz w:val="24"/>
                <w:szCs w:val="24"/>
                <w:highlight w:val="none"/>
                <w:vertAlign w:val="baseline"/>
                <w:lang w:val="en-US" w:eastAsia="zh-CN" w:bidi="ar-SA"/>
              </w:rPr>
              <w:t>樊静</w:t>
            </w:r>
          </w:p>
          <w:p w14:paraId="7D613BC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电  话：</w:t>
            </w:r>
            <w:r>
              <w:rPr>
                <w:rFonts w:hint="eastAsia" w:ascii="宋体" w:hAnsi="宋体" w:eastAsia="宋体" w:cs="宋体"/>
                <w:b w:val="0"/>
                <w:bCs w:val="0"/>
                <w:color w:val="auto"/>
                <w:kern w:val="2"/>
                <w:sz w:val="24"/>
                <w:szCs w:val="24"/>
                <w:highlight w:val="none"/>
                <w:vertAlign w:val="baseline"/>
                <w:lang w:val="en-US" w:eastAsia="zh-CN" w:bidi="ar-SA"/>
              </w:rPr>
              <w:t>18602927100</w:t>
            </w:r>
          </w:p>
        </w:tc>
      </w:tr>
      <w:tr w14:paraId="4C8A32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2CA5DEF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3</w:t>
            </w:r>
          </w:p>
        </w:tc>
        <w:tc>
          <w:tcPr>
            <w:tcW w:w="2084" w:type="dxa"/>
            <w:tcBorders>
              <w:tl2br w:val="nil"/>
              <w:tr2bl w:val="nil"/>
            </w:tcBorders>
            <w:vAlign w:val="center"/>
          </w:tcPr>
          <w:p w14:paraId="0EF8CC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项目名称</w:t>
            </w:r>
          </w:p>
        </w:tc>
        <w:tc>
          <w:tcPr>
            <w:tcW w:w="6906" w:type="dxa"/>
            <w:tcBorders>
              <w:tl2br w:val="nil"/>
              <w:tr2bl w:val="nil"/>
            </w:tcBorders>
            <w:vAlign w:val="center"/>
          </w:tcPr>
          <w:p w14:paraId="63FF6FE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color w:val="auto"/>
                <w:spacing w:val="0"/>
                <w:sz w:val="24"/>
                <w:szCs w:val="24"/>
                <w:highlight w:val="none"/>
                <w:lang w:val="en-US" w:eastAsia="zh-CN"/>
              </w:rPr>
              <w:t>陕西省常见草地植物图鉴项目研究技术服务-陕西省草原和湿地省级技术支撑服务项目</w:t>
            </w:r>
          </w:p>
        </w:tc>
      </w:tr>
      <w:tr w14:paraId="39F1E0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710816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4</w:t>
            </w:r>
          </w:p>
        </w:tc>
        <w:tc>
          <w:tcPr>
            <w:tcW w:w="2084" w:type="dxa"/>
            <w:tcBorders>
              <w:tl2br w:val="nil"/>
              <w:tr2bl w:val="nil"/>
            </w:tcBorders>
            <w:vAlign w:val="center"/>
          </w:tcPr>
          <w:p w14:paraId="64C74F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采购预算</w:t>
            </w:r>
          </w:p>
        </w:tc>
        <w:tc>
          <w:tcPr>
            <w:tcW w:w="6906" w:type="dxa"/>
            <w:tcBorders>
              <w:tl2br w:val="nil"/>
              <w:tr2bl w:val="nil"/>
            </w:tcBorders>
            <w:vAlign w:val="center"/>
          </w:tcPr>
          <w:p w14:paraId="57196BA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20万元</w:t>
            </w:r>
          </w:p>
        </w:tc>
      </w:tr>
      <w:tr w14:paraId="6D936C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C5AA3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5</w:t>
            </w:r>
          </w:p>
        </w:tc>
        <w:tc>
          <w:tcPr>
            <w:tcW w:w="2084" w:type="dxa"/>
            <w:tcBorders>
              <w:tl2br w:val="nil"/>
              <w:tr2bl w:val="nil"/>
            </w:tcBorders>
            <w:vAlign w:val="center"/>
          </w:tcPr>
          <w:p w14:paraId="407461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项目规模</w:t>
            </w:r>
          </w:p>
        </w:tc>
        <w:tc>
          <w:tcPr>
            <w:tcW w:w="6906" w:type="dxa"/>
            <w:tcBorders>
              <w:tl2br w:val="nil"/>
              <w:tr2bl w:val="nil"/>
            </w:tcBorders>
            <w:vAlign w:val="center"/>
          </w:tcPr>
          <w:p w14:paraId="38ABA16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结合全省基本草原划定工作方案和技术指南，立足陕西省草地资源分布特征、生态保护管控需求，开展本地化草地资源梳理、成果汇总及图鉴编制工作。依托全省基本草原划定全域调查数据、实地踏勘成果，开展陕西省草地植物资源专项研究，系统梳理全省基本草原划定工作中常见草地植物种类、分布区域、形态特征、生长习性、生态功能及保护价值，完成《陕西省常见草地植物图鉴》编制工作。图鉴需覆盖陕北、关中、陕南不同地域典型草地植物，兼顾草原生态保护、资源监管、科普应用等多重需求，形成图文并茂、数据详实、规范权威的专项图鉴成果。</w:t>
            </w:r>
          </w:p>
        </w:tc>
      </w:tr>
      <w:tr w14:paraId="02AB87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346DB0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6</w:t>
            </w:r>
          </w:p>
        </w:tc>
        <w:tc>
          <w:tcPr>
            <w:tcW w:w="2084" w:type="dxa"/>
            <w:tcBorders>
              <w:tl2br w:val="nil"/>
              <w:tr2bl w:val="nil"/>
            </w:tcBorders>
            <w:vAlign w:val="center"/>
          </w:tcPr>
          <w:p w14:paraId="356FAF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val="en-US" w:eastAsia="zh-CN"/>
              </w:rPr>
              <w:t>服务</w:t>
            </w:r>
            <w:r>
              <w:rPr>
                <w:rFonts w:hint="eastAsia" w:ascii="宋体" w:hAnsi="宋体" w:cs="宋体"/>
                <w:b w:val="0"/>
                <w:bCs w:val="0"/>
                <w:color w:val="auto"/>
                <w:spacing w:val="0"/>
                <w:sz w:val="24"/>
                <w:szCs w:val="24"/>
                <w:highlight w:val="none"/>
                <w:vertAlign w:val="baseline"/>
                <w:lang w:eastAsia="zh-CN"/>
              </w:rPr>
              <w:t>期</w:t>
            </w:r>
          </w:p>
        </w:tc>
        <w:tc>
          <w:tcPr>
            <w:tcW w:w="6906" w:type="dxa"/>
            <w:tcBorders>
              <w:tl2br w:val="nil"/>
              <w:tr2bl w:val="nil"/>
            </w:tcBorders>
            <w:vAlign w:val="center"/>
          </w:tcPr>
          <w:p w14:paraId="638EB23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default" w:ascii="宋体" w:hAnsi="宋体" w:cs="宋体"/>
                <w:b w:val="0"/>
                <w:bCs w:val="0"/>
                <w:color w:val="auto"/>
                <w:spacing w:val="0"/>
                <w:sz w:val="24"/>
                <w:szCs w:val="24"/>
                <w:highlight w:val="none"/>
                <w:vertAlign w:val="baseline"/>
                <w:lang w:val="en-US" w:eastAsia="zh-CN"/>
              </w:rPr>
              <w:t>合同签订后60天</w:t>
            </w:r>
          </w:p>
        </w:tc>
      </w:tr>
      <w:tr w14:paraId="19D8A5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505" w:hRule="atLeast"/>
          <w:jc w:val="center"/>
        </w:trPr>
        <w:tc>
          <w:tcPr>
            <w:tcW w:w="851" w:type="dxa"/>
            <w:tcBorders>
              <w:tl2br w:val="nil"/>
              <w:tr2bl w:val="nil"/>
            </w:tcBorders>
            <w:vAlign w:val="center"/>
          </w:tcPr>
          <w:p w14:paraId="34334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7</w:t>
            </w:r>
          </w:p>
        </w:tc>
        <w:tc>
          <w:tcPr>
            <w:tcW w:w="2084" w:type="dxa"/>
            <w:tcBorders>
              <w:tl2br w:val="nil"/>
              <w:tr2bl w:val="nil"/>
            </w:tcBorders>
            <w:vAlign w:val="center"/>
          </w:tcPr>
          <w:p w14:paraId="7C4D9C8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供应商资格要求</w:t>
            </w:r>
          </w:p>
        </w:tc>
        <w:tc>
          <w:tcPr>
            <w:tcW w:w="6906" w:type="dxa"/>
            <w:tcBorders>
              <w:tl2br w:val="nil"/>
              <w:tr2bl w:val="nil"/>
            </w:tcBorders>
            <w:vAlign w:val="center"/>
          </w:tcPr>
          <w:p w14:paraId="08B6F7C8">
            <w:pPr>
              <w:pStyle w:val="32"/>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1、具有独立承担民事责任能力的法人、其他组织或自然人，并出具合法有效的营业执照或事业单位法人证书等国家规定的相关证明，自然人参与的提供其身份证明； </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3、税收缴纳证明：提供2025年1月至今已缴纳至少一个月的依法缴纳税款的相关凭据（时间以税款所属日期为准），凭据应有税务机关或代收机关的公章或业务专用章。依法免税或无须缴纳税款的供应商，应提供相关证明文件；</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4、社会保障资金缴纳证明：提供2025年1月至今已缴存的至少一个月的社会保障资金缴存单据或社保机构开具的社会保险参保缴费情况证明，依法不需要缴纳社会保障资金的单位应提供相关证明材料；</w:t>
            </w:r>
          </w:p>
          <w:p w14:paraId="7794BCF4">
            <w:pPr>
              <w:pStyle w:val="32"/>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5、书面声明：参加本次政府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 xml:space="preserve">6、提供具有履行合同所必需的设备和专业技术能力的承诺函； </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7、法定代表人授权书及被授权人身份证。（法定代表人直接参与磋商只须提交其身份证原件）；</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8、提供中小企业声明函。（本项目为非专门面向中、小、微型企业采购项目）。</w:t>
            </w:r>
          </w:p>
        </w:tc>
      </w:tr>
      <w:tr w14:paraId="063F1D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791C2BB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8</w:t>
            </w:r>
          </w:p>
        </w:tc>
        <w:tc>
          <w:tcPr>
            <w:tcW w:w="2084" w:type="dxa"/>
            <w:tcBorders>
              <w:tl2br w:val="nil"/>
              <w:tr2bl w:val="nil"/>
            </w:tcBorders>
            <w:vAlign w:val="center"/>
          </w:tcPr>
          <w:p w14:paraId="39C02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磋商保证金</w:t>
            </w:r>
          </w:p>
        </w:tc>
        <w:tc>
          <w:tcPr>
            <w:tcW w:w="6906" w:type="dxa"/>
            <w:tcBorders>
              <w:tl2br w:val="nil"/>
              <w:tr2bl w:val="nil"/>
            </w:tcBorders>
            <w:vAlign w:val="center"/>
          </w:tcPr>
          <w:p w14:paraId="70167C0F">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磋商</w:t>
            </w:r>
            <w:r>
              <w:rPr>
                <w:rFonts w:hint="eastAsia" w:ascii="宋体" w:hAnsi="宋体" w:cs="宋体"/>
                <w:b/>
                <w:bCs/>
                <w:color w:val="auto"/>
                <w:sz w:val="24"/>
                <w:szCs w:val="24"/>
                <w:highlight w:val="none"/>
              </w:rPr>
              <w:t>保证金金额</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人民币</w:t>
            </w:r>
            <w:r>
              <w:rPr>
                <w:rFonts w:hint="eastAsia" w:ascii="宋体" w:hAnsi="宋体" w:cs="宋体"/>
                <w:b/>
                <w:bCs/>
                <w:color w:val="auto"/>
                <w:sz w:val="24"/>
                <w:szCs w:val="24"/>
                <w:highlight w:val="none"/>
                <w:lang w:val="en-US" w:eastAsia="zh-CN"/>
              </w:rPr>
              <w:t>肆仟元整</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40</w:t>
            </w:r>
            <w:r>
              <w:rPr>
                <w:rFonts w:hint="eastAsia" w:ascii="宋体" w:hAnsi="宋体" w:cs="宋体"/>
                <w:b/>
                <w:bCs/>
                <w:color w:val="auto"/>
                <w:sz w:val="24"/>
                <w:szCs w:val="24"/>
                <w:highlight w:val="none"/>
              </w:rPr>
              <w:t>00.00元）</w:t>
            </w:r>
          </w:p>
          <w:p w14:paraId="75CBC114">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采用银行转账、电汇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保函</w:t>
            </w:r>
            <w:r>
              <w:rPr>
                <w:rFonts w:hint="eastAsia" w:ascii="宋体" w:hAnsi="宋体" w:cs="宋体"/>
                <w:color w:val="auto"/>
                <w:sz w:val="24"/>
                <w:szCs w:val="24"/>
                <w:highlight w:val="none"/>
              </w:rPr>
              <w:t>等非现金的形式对公形式交纳</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保证金交纳截止时间为</w:t>
            </w:r>
            <w:r>
              <w:rPr>
                <w:rFonts w:hint="eastAsia" w:ascii="宋体" w:hAnsi="宋体" w:eastAsia="宋体" w:cs="宋体"/>
                <w:b/>
                <w:bCs/>
                <w:color w:val="auto"/>
                <w:sz w:val="24"/>
                <w:szCs w:val="24"/>
                <w:highlight w:val="none"/>
                <w:lang w:eastAsia="zh-CN"/>
              </w:rPr>
              <w:t>2026年06月29日 14时00分00秒（</w:t>
            </w:r>
            <w:r>
              <w:rPr>
                <w:rFonts w:hint="eastAsia" w:ascii="宋体" w:hAnsi="宋体" w:eastAsia="宋体" w:cs="宋体"/>
                <w:b/>
                <w:bCs/>
                <w:color w:val="auto"/>
                <w:sz w:val="24"/>
                <w:szCs w:val="24"/>
                <w:highlight w:val="none"/>
              </w:rPr>
              <w:t>以到账时间为准）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且应在</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前致电代理机构财务部门确认保证金到账情况。（注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保证金须以</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名称汇款）。</w:t>
            </w:r>
          </w:p>
          <w:p w14:paraId="3BBCBE2B">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户  名：陕西中海招标有限公司</w:t>
            </w:r>
          </w:p>
          <w:p w14:paraId="3B2810C6">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开户行：中国银行西安二环世纪星支行营业部</w:t>
            </w:r>
          </w:p>
          <w:p w14:paraId="13D596DE">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行  号：1047 9100 3702</w:t>
            </w:r>
          </w:p>
          <w:p w14:paraId="41EF204E">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账  号：1020 0176 8739</w:t>
            </w:r>
          </w:p>
          <w:p w14:paraId="3B585719">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附  言：</w:t>
            </w:r>
            <w:r>
              <w:rPr>
                <w:rFonts w:hint="eastAsia" w:ascii="宋体" w:hAnsi="宋体" w:cs="宋体"/>
                <w:color w:val="auto"/>
                <w:sz w:val="24"/>
                <w:szCs w:val="24"/>
                <w:highlight w:val="none"/>
                <w:lang w:val="en-US" w:eastAsia="zh-CN"/>
              </w:rPr>
              <w:t>ZH2026-0612磋商</w:t>
            </w:r>
            <w:r>
              <w:rPr>
                <w:rFonts w:hint="eastAsia" w:ascii="宋体" w:hAnsi="宋体" w:cs="宋体"/>
                <w:color w:val="auto"/>
                <w:sz w:val="24"/>
                <w:szCs w:val="24"/>
                <w:highlight w:val="none"/>
              </w:rPr>
              <w:t>保证金</w:t>
            </w:r>
          </w:p>
          <w:p w14:paraId="1858B9B2">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依据规定应通过</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基本户转帐，不收取现金。</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在</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保证金到达我公司账户后，请与我公司财务联系开具收据事宜。</w:t>
            </w:r>
          </w:p>
          <w:p w14:paraId="263BC942">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eastAsia="宋体"/>
                <w:b w:val="0"/>
                <w:bCs w:val="0"/>
                <w:color w:val="auto"/>
                <w:spacing w:val="0"/>
                <w:highlight w:val="none"/>
                <w:lang w:eastAsia="zh-CN"/>
              </w:rPr>
            </w:pPr>
            <w:r>
              <w:rPr>
                <w:rFonts w:hint="eastAsia" w:ascii="宋体" w:hAnsi="宋体" w:cs="宋体"/>
                <w:color w:val="auto"/>
                <w:sz w:val="24"/>
                <w:szCs w:val="24"/>
                <w:highlight w:val="none"/>
              </w:rPr>
              <w:t>联系人：樊女士  联系电话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18602927100</w:t>
            </w:r>
          </w:p>
        </w:tc>
      </w:tr>
      <w:tr w14:paraId="7EBA20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627544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9</w:t>
            </w:r>
          </w:p>
        </w:tc>
        <w:tc>
          <w:tcPr>
            <w:tcW w:w="2084" w:type="dxa"/>
            <w:tcBorders>
              <w:tl2br w:val="nil"/>
              <w:tr2bl w:val="nil"/>
            </w:tcBorders>
            <w:vAlign w:val="center"/>
          </w:tcPr>
          <w:p w14:paraId="6D2A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是否接受联合体</w:t>
            </w:r>
          </w:p>
        </w:tc>
        <w:tc>
          <w:tcPr>
            <w:tcW w:w="6906" w:type="dxa"/>
            <w:tcBorders>
              <w:tl2br w:val="nil"/>
              <w:tr2bl w:val="nil"/>
            </w:tcBorders>
            <w:vAlign w:val="center"/>
          </w:tcPr>
          <w:p w14:paraId="11718C5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不接受</w:t>
            </w:r>
          </w:p>
        </w:tc>
      </w:tr>
      <w:tr w14:paraId="31249C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C63BC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10</w:t>
            </w:r>
          </w:p>
        </w:tc>
        <w:tc>
          <w:tcPr>
            <w:tcW w:w="2084" w:type="dxa"/>
            <w:tcBorders>
              <w:tl2br w:val="nil"/>
              <w:tr2bl w:val="nil"/>
            </w:tcBorders>
            <w:vAlign w:val="center"/>
          </w:tcPr>
          <w:p w14:paraId="7F9ACDB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分包</w:t>
            </w:r>
          </w:p>
        </w:tc>
        <w:tc>
          <w:tcPr>
            <w:tcW w:w="6906" w:type="dxa"/>
            <w:tcBorders>
              <w:tl2br w:val="nil"/>
              <w:tr2bl w:val="nil"/>
            </w:tcBorders>
            <w:vAlign w:val="center"/>
          </w:tcPr>
          <w:p w14:paraId="432EF29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不允许</w:t>
            </w:r>
          </w:p>
        </w:tc>
      </w:tr>
      <w:tr w14:paraId="2810F4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460F5F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11</w:t>
            </w:r>
          </w:p>
        </w:tc>
        <w:tc>
          <w:tcPr>
            <w:tcW w:w="2084" w:type="dxa"/>
            <w:tcBorders>
              <w:tl2br w:val="nil"/>
              <w:tr2bl w:val="nil"/>
            </w:tcBorders>
            <w:vAlign w:val="center"/>
          </w:tcPr>
          <w:p w14:paraId="523888B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踏勘现场</w:t>
            </w:r>
          </w:p>
        </w:tc>
        <w:tc>
          <w:tcPr>
            <w:tcW w:w="6906" w:type="dxa"/>
            <w:tcBorders>
              <w:tl2br w:val="nil"/>
              <w:tr2bl w:val="nil"/>
            </w:tcBorders>
            <w:vAlign w:val="center"/>
          </w:tcPr>
          <w:p w14:paraId="1C4B6F6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不组织</w:t>
            </w:r>
          </w:p>
        </w:tc>
      </w:tr>
      <w:tr w14:paraId="3FE7A9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1C20AA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12</w:t>
            </w:r>
          </w:p>
        </w:tc>
        <w:tc>
          <w:tcPr>
            <w:tcW w:w="2084" w:type="dxa"/>
            <w:tcBorders>
              <w:tl2br w:val="nil"/>
              <w:tr2bl w:val="nil"/>
            </w:tcBorders>
            <w:vAlign w:val="center"/>
          </w:tcPr>
          <w:p w14:paraId="2A98B55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供应商要求澄清的截止时间</w:t>
            </w:r>
          </w:p>
        </w:tc>
        <w:tc>
          <w:tcPr>
            <w:tcW w:w="6906" w:type="dxa"/>
            <w:tcBorders>
              <w:tl2br w:val="nil"/>
              <w:tr2bl w:val="nil"/>
            </w:tcBorders>
            <w:vAlign w:val="center"/>
          </w:tcPr>
          <w:p w14:paraId="20F0DC0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响应文件递交截止时间5日前</w:t>
            </w:r>
          </w:p>
        </w:tc>
      </w:tr>
      <w:tr w14:paraId="38F503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19CF5A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13</w:t>
            </w:r>
          </w:p>
        </w:tc>
        <w:tc>
          <w:tcPr>
            <w:tcW w:w="2084" w:type="dxa"/>
            <w:tcBorders>
              <w:tl2br w:val="nil"/>
              <w:tr2bl w:val="nil"/>
            </w:tcBorders>
            <w:vAlign w:val="center"/>
          </w:tcPr>
          <w:p w14:paraId="37A988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磋商有效期</w:t>
            </w:r>
          </w:p>
        </w:tc>
        <w:tc>
          <w:tcPr>
            <w:tcW w:w="6906" w:type="dxa"/>
            <w:tcBorders>
              <w:tl2br w:val="nil"/>
              <w:tr2bl w:val="nil"/>
            </w:tcBorders>
            <w:vAlign w:val="center"/>
          </w:tcPr>
          <w:p w14:paraId="03894A3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90日历天（从磋商截止之日算起）</w:t>
            </w:r>
          </w:p>
        </w:tc>
      </w:tr>
      <w:tr w14:paraId="0FBD04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851" w:type="dxa"/>
            <w:tcBorders>
              <w:tl2br w:val="nil"/>
              <w:tr2bl w:val="nil"/>
            </w:tcBorders>
            <w:vAlign w:val="center"/>
          </w:tcPr>
          <w:p w14:paraId="5E8890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14</w:t>
            </w:r>
          </w:p>
        </w:tc>
        <w:tc>
          <w:tcPr>
            <w:tcW w:w="2084" w:type="dxa"/>
            <w:tcBorders>
              <w:tl2br w:val="nil"/>
              <w:tr2bl w:val="nil"/>
            </w:tcBorders>
            <w:vAlign w:val="center"/>
          </w:tcPr>
          <w:p w14:paraId="283CE5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近年完成的类似项目情况的时间要求</w:t>
            </w:r>
          </w:p>
        </w:tc>
        <w:tc>
          <w:tcPr>
            <w:tcW w:w="6906" w:type="dxa"/>
            <w:tcBorders>
              <w:tl2br w:val="nil"/>
              <w:tr2bl w:val="nil"/>
            </w:tcBorders>
            <w:vAlign w:val="center"/>
          </w:tcPr>
          <w:p w14:paraId="67CB554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2023年6月1日至提交响应文件截止时间</w:t>
            </w:r>
          </w:p>
        </w:tc>
      </w:tr>
      <w:tr w14:paraId="5B6D77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E8233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15</w:t>
            </w:r>
          </w:p>
        </w:tc>
        <w:tc>
          <w:tcPr>
            <w:tcW w:w="2084" w:type="dxa"/>
            <w:tcBorders>
              <w:tl2br w:val="nil"/>
              <w:tr2bl w:val="nil"/>
            </w:tcBorders>
            <w:vAlign w:val="center"/>
          </w:tcPr>
          <w:p w14:paraId="441168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是否允许递交备选响应方案</w:t>
            </w:r>
          </w:p>
        </w:tc>
        <w:tc>
          <w:tcPr>
            <w:tcW w:w="6906" w:type="dxa"/>
            <w:tcBorders>
              <w:tl2br w:val="nil"/>
              <w:tr2bl w:val="nil"/>
            </w:tcBorders>
            <w:vAlign w:val="center"/>
          </w:tcPr>
          <w:p w14:paraId="20B06E3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不允许</w:t>
            </w:r>
          </w:p>
        </w:tc>
      </w:tr>
      <w:tr w14:paraId="62E877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3800004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16</w:t>
            </w:r>
          </w:p>
        </w:tc>
        <w:tc>
          <w:tcPr>
            <w:tcW w:w="2084" w:type="dxa"/>
            <w:tcBorders>
              <w:tl2br w:val="nil"/>
              <w:tr2bl w:val="nil"/>
            </w:tcBorders>
            <w:vAlign w:val="center"/>
          </w:tcPr>
          <w:p w14:paraId="4C0393F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响应文件份数</w:t>
            </w:r>
          </w:p>
          <w:p w14:paraId="0101C2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要求</w:t>
            </w:r>
          </w:p>
        </w:tc>
        <w:tc>
          <w:tcPr>
            <w:tcW w:w="6906" w:type="dxa"/>
            <w:tcBorders>
              <w:tl2br w:val="nil"/>
              <w:tr2bl w:val="nil"/>
            </w:tcBorders>
            <w:vAlign w:val="center"/>
          </w:tcPr>
          <w:p w14:paraId="056FACA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磋商响应文件</w:t>
            </w:r>
            <w:r>
              <w:rPr>
                <w:rFonts w:hint="eastAsia" w:ascii="宋体" w:hAnsi="宋体" w:cs="宋体"/>
                <w:b/>
                <w:bCs/>
                <w:color w:val="auto"/>
                <w:spacing w:val="0"/>
                <w:sz w:val="24"/>
                <w:szCs w:val="24"/>
                <w:highlight w:val="none"/>
                <w:vertAlign w:val="baseline"/>
                <w:lang w:val="en-US" w:eastAsia="zh-CN"/>
              </w:rPr>
              <w:t>正本壹份</w:t>
            </w:r>
            <w:r>
              <w:rPr>
                <w:rFonts w:hint="eastAsia" w:ascii="宋体" w:hAnsi="宋体" w:cs="宋体"/>
                <w:b w:val="0"/>
                <w:bCs w:val="0"/>
                <w:color w:val="auto"/>
                <w:spacing w:val="0"/>
                <w:sz w:val="24"/>
                <w:szCs w:val="24"/>
                <w:highlight w:val="none"/>
                <w:vertAlign w:val="baseline"/>
                <w:lang w:val="en-US" w:eastAsia="zh-CN"/>
              </w:rPr>
              <w:t>,</w:t>
            </w:r>
            <w:r>
              <w:rPr>
                <w:rFonts w:hint="eastAsia" w:ascii="宋体" w:hAnsi="宋体" w:cs="宋体"/>
                <w:b/>
                <w:bCs/>
                <w:color w:val="auto"/>
                <w:spacing w:val="0"/>
                <w:sz w:val="24"/>
                <w:szCs w:val="24"/>
                <w:highlight w:val="none"/>
                <w:vertAlign w:val="baseline"/>
                <w:lang w:val="en-US" w:eastAsia="zh-CN"/>
              </w:rPr>
              <w:t>副本贰份</w:t>
            </w:r>
            <w:r>
              <w:rPr>
                <w:rFonts w:hint="eastAsia" w:ascii="宋体" w:hAnsi="宋体" w:cs="宋体"/>
                <w:b w:val="0"/>
                <w:bCs w:val="0"/>
                <w:color w:val="auto"/>
                <w:spacing w:val="0"/>
                <w:sz w:val="24"/>
                <w:szCs w:val="24"/>
                <w:highlight w:val="none"/>
                <w:vertAlign w:val="baseline"/>
                <w:lang w:val="en-US" w:eastAsia="zh-CN"/>
              </w:rPr>
              <w:t>；</w:t>
            </w:r>
          </w:p>
          <w:p w14:paraId="7DCA2DB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提交与整套磋商响应文件正本内容一致（签字盖章齐全）的电子文档份数：电子版</w:t>
            </w:r>
            <w:r>
              <w:rPr>
                <w:rFonts w:hint="eastAsia" w:ascii="宋体" w:hAnsi="宋体" w:cs="宋体"/>
                <w:b/>
                <w:bCs/>
                <w:color w:val="auto"/>
                <w:spacing w:val="0"/>
                <w:sz w:val="24"/>
                <w:szCs w:val="24"/>
                <w:highlight w:val="none"/>
                <w:vertAlign w:val="baseline"/>
                <w:lang w:val="en-US" w:eastAsia="zh-CN"/>
              </w:rPr>
              <w:t>U盘壹份</w:t>
            </w:r>
            <w:r>
              <w:rPr>
                <w:rFonts w:hint="eastAsia" w:ascii="宋体" w:hAnsi="宋体" w:cs="宋体"/>
                <w:b w:val="0"/>
                <w:bCs w:val="0"/>
                <w:color w:val="auto"/>
                <w:spacing w:val="0"/>
                <w:sz w:val="24"/>
                <w:szCs w:val="24"/>
                <w:highlight w:val="none"/>
                <w:vertAlign w:val="baseline"/>
                <w:lang w:val="en-US" w:eastAsia="zh-CN"/>
              </w:rPr>
              <w:t>(U盘与正本密封一处)。</w:t>
            </w:r>
          </w:p>
        </w:tc>
      </w:tr>
      <w:tr w14:paraId="6E27A0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84" w:hRule="atLeast"/>
          <w:jc w:val="center"/>
        </w:trPr>
        <w:tc>
          <w:tcPr>
            <w:tcW w:w="851" w:type="dxa"/>
            <w:tcBorders>
              <w:tl2br w:val="nil"/>
              <w:tr2bl w:val="nil"/>
            </w:tcBorders>
            <w:vAlign w:val="center"/>
          </w:tcPr>
          <w:p w14:paraId="4CC8D31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17</w:t>
            </w:r>
          </w:p>
        </w:tc>
        <w:tc>
          <w:tcPr>
            <w:tcW w:w="2084" w:type="dxa"/>
            <w:tcBorders>
              <w:tl2br w:val="nil"/>
              <w:tr2bl w:val="nil"/>
            </w:tcBorders>
            <w:vAlign w:val="center"/>
          </w:tcPr>
          <w:p w14:paraId="52E80FD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磋商响应文件装订要求</w:t>
            </w:r>
          </w:p>
        </w:tc>
        <w:tc>
          <w:tcPr>
            <w:tcW w:w="6906" w:type="dxa"/>
            <w:tcBorders>
              <w:tl2br w:val="nil"/>
              <w:tr2bl w:val="nil"/>
            </w:tcBorders>
            <w:vAlign w:val="center"/>
          </w:tcPr>
          <w:p w14:paraId="09B8F72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正、副本均须用A4纸装订成册(图页可除外)，须按磋商文件第六章“磋商响应文件格式”的排序编制目录并逐页标注页码，不得采用活页夹和硬皮封面装订，正、副本应分开装袋密封。副本可用正本复印，正、副本不一致时以正本为准。</w:t>
            </w:r>
          </w:p>
        </w:tc>
      </w:tr>
      <w:tr w14:paraId="714BB1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98" w:hRule="atLeast"/>
          <w:jc w:val="center"/>
        </w:trPr>
        <w:tc>
          <w:tcPr>
            <w:tcW w:w="851" w:type="dxa"/>
            <w:tcBorders>
              <w:tl2br w:val="nil"/>
              <w:tr2bl w:val="nil"/>
            </w:tcBorders>
            <w:vAlign w:val="center"/>
          </w:tcPr>
          <w:p w14:paraId="091FD5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18</w:t>
            </w:r>
          </w:p>
        </w:tc>
        <w:tc>
          <w:tcPr>
            <w:tcW w:w="2084" w:type="dxa"/>
            <w:tcBorders>
              <w:tl2br w:val="nil"/>
              <w:tr2bl w:val="nil"/>
            </w:tcBorders>
            <w:vAlign w:val="center"/>
          </w:tcPr>
          <w:p w14:paraId="5ECEBB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封套上应载明的信息</w:t>
            </w:r>
          </w:p>
        </w:tc>
        <w:tc>
          <w:tcPr>
            <w:tcW w:w="6906" w:type="dxa"/>
            <w:tcBorders>
              <w:tl2br w:val="nil"/>
              <w:tr2bl w:val="nil"/>
            </w:tcBorders>
            <w:vAlign w:val="center"/>
          </w:tcPr>
          <w:p w14:paraId="30645E2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项目名称：                  项目编号：</w:t>
            </w:r>
          </w:p>
          <w:p w14:paraId="0F3D074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供应商名称：</w:t>
            </w:r>
          </w:p>
          <w:p w14:paraId="09A78B0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供应商地址：</w:t>
            </w:r>
          </w:p>
          <w:p w14:paraId="46873E7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于    年    月    日    时启封</w:t>
            </w:r>
          </w:p>
        </w:tc>
      </w:tr>
      <w:tr w14:paraId="10C342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D19E4A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19</w:t>
            </w:r>
          </w:p>
        </w:tc>
        <w:tc>
          <w:tcPr>
            <w:tcW w:w="2084" w:type="dxa"/>
            <w:tcBorders>
              <w:tl2br w:val="nil"/>
              <w:tr2bl w:val="nil"/>
            </w:tcBorders>
            <w:vAlign w:val="center"/>
          </w:tcPr>
          <w:p w14:paraId="5E487F3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提交响应文件</w:t>
            </w:r>
          </w:p>
          <w:p w14:paraId="3E3E49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截止时间</w:t>
            </w:r>
          </w:p>
        </w:tc>
        <w:tc>
          <w:tcPr>
            <w:tcW w:w="6906" w:type="dxa"/>
            <w:tcBorders>
              <w:tl2br w:val="nil"/>
              <w:tr2bl w:val="nil"/>
            </w:tcBorders>
            <w:vAlign w:val="center"/>
          </w:tcPr>
          <w:p w14:paraId="44812A7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2026年06月29日 14时00分00秒</w:t>
            </w:r>
          </w:p>
        </w:tc>
      </w:tr>
      <w:tr w14:paraId="06BE79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2052656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20</w:t>
            </w:r>
          </w:p>
        </w:tc>
        <w:tc>
          <w:tcPr>
            <w:tcW w:w="2084" w:type="dxa"/>
            <w:tcBorders>
              <w:tl2br w:val="nil"/>
              <w:tr2bl w:val="nil"/>
            </w:tcBorders>
            <w:vAlign w:val="center"/>
          </w:tcPr>
          <w:p w14:paraId="438467E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递交响应文件</w:t>
            </w:r>
          </w:p>
          <w:p w14:paraId="4B8C2E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地点</w:t>
            </w:r>
          </w:p>
        </w:tc>
        <w:tc>
          <w:tcPr>
            <w:tcW w:w="6906" w:type="dxa"/>
            <w:tcBorders>
              <w:tl2br w:val="nil"/>
              <w:tr2bl w:val="nil"/>
            </w:tcBorders>
            <w:vAlign w:val="center"/>
          </w:tcPr>
          <w:p w14:paraId="59F119B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西安市莲湖区西关正街英达大厦809室</w:t>
            </w:r>
          </w:p>
        </w:tc>
      </w:tr>
      <w:tr w14:paraId="3A6110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374E72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21</w:t>
            </w:r>
          </w:p>
        </w:tc>
        <w:tc>
          <w:tcPr>
            <w:tcW w:w="2084" w:type="dxa"/>
            <w:tcBorders>
              <w:tl2br w:val="nil"/>
              <w:tr2bl w:val="nil"/>
            </w:tcBorders>
            <w:vAlign w:val="center"/>
          </w:tcPr>
          <w:p w14:paraId="77DD0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响应文件是否</w:t>
            </w:r>
          </w:p>
          <w:p w14:paraId="115C9B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退还</w:t>
            </w:r>
          </w:p>
        </w:tc>
        <w:tc>
          <w:tcPr>
            <w:tcW w:w="6906" w:type="dxa"/>
            <w:tcBorders>
              <w:tl2br w:val="nil"/>
              <w:tr2bl w:val="nil"/>
            </w:tcBorders>
            <w:vAlign w:val="center"/>
          </w:tcPr>
          <w:p w14:paraId="736FF5B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否</w:t>
            </w:r>
          </w:p>
        </w:tc>
      </w:tr>
      <w:tr w14:paraId="3AD95D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242D62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22</w:t>
            </w:r>
          </w:p>
        </w:tc>
        <w:tc>
          <w:tcPr>
            <w:tcW w:w="2084" w:type="dxa"/>
            <w:tcBorders>
              <w:tl2br w:val="nil"/>
              <w:tr2bl w:val="nil"/>
            </w:tcBorders>
            <w:vAlign w:val="center"/>
          </w:tcPr>
          <w:p w14:paraId="31B129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磋商大会程序</w:t>
            </w:r>
          </w:p>
        </w:tc>
        <w:tc>
          <w:tcPr>
            <w:tcW w:w="6906" w:type="dxa"/>
            <w:tcBorders>
              <w:tl2br w:val="nil"/>
              <w:tr2bl w:val="nil"/>
            </w:tcBorders>
            <w:vAlign w:val="center"/>
          </w:tcPr>
          <w:p w14:paraId="1DDD474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响应文件的密封检查：磋商大会现场集中检查，由供应商和监标人检查响应文件的密封情况。</w:t>
            </w:r>
          </w:p>
          <w:p w14:paraId="044EC8D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开启顺序：随机开启磋商响应文件。</w:t>
            </w:r>
          </w:p>
        </w:tc>
      </w:tr>
      <w:tr w14:paraId="5DAD95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02F78A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23</w:t>
            </w:r>
          </w:p>
        </w:tc>
        <w:tc>
          <w:tcPr>
            <w:tcW w:w="2084" w:type="dxa"/>
            <w:tcBorders>
              <w:tl2br w:val="nil"/>
              <w:tr2bl w:val="nil"/>
            </w:tcBorders>
            <w:vAlign w:val="center"/>
          </w:tcPr>
          <w:p w14:paraId="50B702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竞争性磋商小组（以下简称磋商小组）的组建</w:t>
            </w:r>
          </w:p>
        </w:tc>
        <w:tc>
          <w:tcPr>
            <w:tcW w:w="6906" w:type="dxa"/>
            <w:tcBorders>
              <w:tl2br w:val="nil"/>
              <w:tr2bl w:val="nil"/>
            </w:tcBorders>
            <w:vAlign w:val="center"/>
          </w:tcPr>
          <w:p w14:paraId="143122C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磋商小组构成：3人，其中采购人代表 1人，专家2 人。专家成员依法从陕西省政府采购评审专家库中随机抽取。</w:t>
            </w:r>
          </w:p>
        </w:tc>
      </w:tr>
      <w:tr w14:paraId="1ED903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EFB0F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24</w:t>
            </w:r>
          </w:p>
        </w:tc>
        <w:tc>
          <w:tcPr>
            <w:tcW w:w="2084" w:type="dxa"/>
            <w:tcBorders>
              <w:tl2br w:val="nil"/>
              <w:tr2bl w:val="nil"/>
            </w:tcBorders>
            <w:vAlign w:val="center"/>
          </w:tcPr>
          <w:p w14:paraId="1BD3387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确定成交供应商方式</w:t>
            </w:r>
          </w:p>
        </w:tc>
        <w:tc>
          <w:tcPr>
            <w:tcW w:w="6906" w:type="dxa"/>
            <w:tcBorders>
              <w:tl2br w:val="nil"/>
              <w:tr2bl w:val="nil"/>
            </w:tcBorders>
            <w:vAlign w:val="center"/>
          </w:tcPr>
          <w:p w14:paraId="3389909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由采购人确认成交供应商</w:t>
            </w:r>
          </w:p>
        </w:tc>
      </w:tr>
      <w:tr w14:paraId="0C5637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1428C1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25</w:t>
            </w:r>
          </w:p>
        </w:tc>
        <w:tc>
          <w:tcPr>
            <w:tcW w:w="2084" w:type="dxa"/>
            <w:tcBorders>
              <w:tl2br w:val="nil"/>
              <w:tr2bl w:val="nil"/>
            </w:tcBorders>
            <w:vAlign w:val="center"/>
          </w:tcPr>
          <w:p w14:paraId="11FC06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成交结果公示</w:t>
            </w:r>
          </w:p>
          <w:p w14:paraId="2EFCF8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媒介</w:t>
            </w:r>
          </w:p>
        </w:tc>
        <w:tc>
          <w:tcPr>
            <w:tcW w:w="6906" w:type="dxa"/>
            <w:tcBorders>
              <w:tl2br w:val="nil"/>
              <w:tr2bl w:val="nil"/>
            </w:tcBorders>
            <w:vAlign w:val="center"/>
          </w:tcPr>
          <w:p w14:paraId="788F5E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《陕西省政府采购网》</w:t>
            </w:r>
          </w:p>
        </w:tc>
      </w:tr>
      <w:tr w14:paraId="595865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851" w:type="dxa"/>
            <w:tcBorders>
              <w:tl2br w:val="nil"/>
              <w:tr2bl w:val="nil"/>
            </w:tcBorders>
            <w:vAlign w:val="center"/>
          </w:tcPr>
          <w:p w14:paraId="0292E2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26</w:t>
            </w:r>
          </w:p>
        </w:tc>
        <w:tc>
          <w:tcPr>
            <w:tcW w:w="2084" w:type="dxa"/>
            <w:tcBorders>
              <w:tl2br w:val="nil"/>
              <w:tr2bl w:val="nil"/>
            </w:tcBorders>
            <w:vAlign w:val="center"/>
          </w:tcPr>
          <w:p w14:paraId="41F3CC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代理服务费</w:t>
            </w:r>
          </w:p>
        </w:tc>
        <w:tc>
          <w:tcPr>
            <w:tcW w:w="6906" w:type="dxa"/>
            <w:tcBorders>
              <w:tl2br w:val="nil"/>
              <w:tr2bl w:val="nil"/>
            </w:tcBorders>
            <w:vAlign w:val="center"/>
          </w:tcPr>
          <w:p w14:paraId="6EFB5AC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供应商将代理服务费计入磋商报价但不单独列明，成交单位在领取成交通知书前，须向采购代理机构一次性支付。</w:t>
            </w:r>
          </w:p>
        </w:tc>
      </w:tr>
      <w:tr w14:paraId="7B9C10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692851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27</w:t>
            </w:r>
          </w:p>
        </w:tc>
        <w:tc>
          <w:tcPr>
            <w:tcW w:w="2084" w:type="dxa"/>
            <w:tcBorders>
              <w:tl2br w:val="nil"/>
              <w:tr2bl w:val="nil"/>
            </w:tcBorders>
            <w:vAlign w:val="center"/>
          </w:tcPr>
          <w:p w14:paraId="030AD27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代理服务费的支付方式</w:t>
            </w:r>
          </w:p>
        </w:tc>
        <w:tc>
          <w:tcPr>
            <w:tcW w:w="6906" w:type="dxa"/>
            <w:tcBorders>
              <w:tl2br w:val="nil"/>
              <w:tr2bl w:val="nil"/>
            </w:tcBorders>
            <w:vAlign w:val="center"/>
          </w:tcPr>
          <w:p w14:paraId="2F6BD4F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代理服务费以转账、电汇或现金等形式交纳。</w:t>
            </w:r>
          </w:p>
          <w:p w14:paraId="171284A8">
            <w:pPr>
              <w:pStyle w:val="28"/>
              <w:keepNext w:val="0"/>
              <w:keepLines w:val="0"/>
              <w:pageBreakBefore w:val="0"/>
              <w:widowControl/>
              <w:numPr>
                <w:ilvl w:val="0"/>
                <w:numId w:val="0"/>
              </w:numPr>
              <w:kinsoku/>
              <w:wordWrap/>
              <w:overflowPunct/>
              <w:topLinePunct w:val="0"/>
              <w:autoSpaceDE/>
              <w:autoSpaceDN/>
              <w:bidi w:val="0"/>
              <w:adjustRightInd/>
              <w:snapToGrid/>
              <w:spacing w:before="0" w:line="500" w:lineRule="exact"/>
              <w:ind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户  名：陕西中海招标有限公司</w:t>
            </w:r>
          </w:p>
          <w:p w14:paraId="543B71CB">
            <w:pPr>
              <w:pStyle w:val="28"/>
              <w:keepNext w:val="0"/>
              <w:keepLines w:val="0"/>
              <w:pageBreakBefore w:val="0"/>
              <w:widowControl/>
              <w:numPr>
                <w:ilvl w:val="0"/>
                <w:numId w:val="0"/>
              </w:numPr>
              <w:kinsoku/>
              <w:wordWrap/>
              <w:overflowPunct/>
              <w:topLinePunct w:val="0"/>
              <w:autoSpaceDE/>
              <w:autoSpaceDN/>
              <w:bidi w:val="0"/>
              <w:adjustRightInd/>
              <w:snapToGrid/>
              <w:spacing w:before="0" w:line="500" w:lineRule="exact"/>
              <w:ind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开户行：中国银行西安二环世纪星支行营业部</w:t>
            </w:r>
          </w:p>
          <w:p w14:paraId="7C1DA248">
            <w:pPr>
              <w:pStyle w:val="28"/>
              <w:keepNext w:val="0"/>
              <w:keepLines w:val="0"/>
              <w:pageBreakBefore w:val="0"/>
              <w:widowControl/>
              <w:numPr>
                <w:ilvl w:val="0"/>
                <w:numId w:val="0"/>
              </w:numPr>
              <w:kinsoku/>
              <w:wordWrap/>
              <w:overflowPunct/>
              <w:topLinePunct w:val="0"/>
              <w:autoSpaceDE/>
              <w:autoSpaceDN/>
              <w:bidi w:val="0"/>
              <w:adjustRightInd/>
              <w:snapToGrid/>
              <w:spacing w:before="0" w:line="500" w:lineRule="exact"/>
              <w:ind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行  号：1047 9100 3702</w:t>
            </w:r>
          </w:p>
          <w:p w14:paraId="7EAFB42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kern w:val="2"/>
                <w:sz w:val="24"/>
                <w:szCs w:val="24"/>
                <w:highlight w:val="none"/>
                <w:lang w:val="en-US" w:eastAsia="zh-CN" w:bidi="ar-SA"/>
              </w:rPr>
              <w:t>账  号：1020 0176 8739</w:t>
            </w:r>
          </w:p>
        </w:tc>
      </w:tr>
      <w:tr w14:paraId="7785E5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63D8C8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28</w:t>
            </w:r>
          </w:p>
        </w:tc>
        <w:tc>
          <w:tcPr>
            <w:tcW w:w="2084" w:type="dxa"/>
            <w:tcBorders>
              <w:tl2br w:val="nil"/>
              <w:tr2bl w:val="nil"/>
            </w:tcBorders>
            <w:vAlign w:val="center"/>
          </w:tcPr>
          <w:p w14:paraId="7736B3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bCs/>
                <w:color w:val="auto"/>
                <w:spacing w:val="0"/>
                <w:sz w:val="24"/>
                <w:szCs w:val="24"/>
                <w:highlight w:val="none"/>
                <w:vertAlign w:val="baseline"/>
                <w:lang w:val="en-US" w:eastAsia="zh-CN"/>
              </w:rPr>
            </w:pPr>
            <w:r>
              <w:rPr>
                <w:rFonts w:hint="eastAsia" w:ascii="宋体" w:hAnsi="宋体"/>
                <w:color w:val="auto"/>
                <w:sz w:val="24"/>
                <w:highlight w:val="none"/>
                <w:lang w:val="en-US" w:eastAsia="zh-CN"/>
              </w:rPr>
              <w:t>供应商磋商</w:t>
            </w:r>
            <w:r>
              <w:rPr>
                <w:rFonts w:hint="eastAsia" w:ascii="宋体" w:hAnsi="宋体"/>
                <w:color w:val="auto"/>
                <w:sz w:val="24"/>
                <w:highlight w:val="none"/>
              </w:rPr>
              <w:t>现场须带资料</w:t>
            </w:r>
          </w:p>
        </w:tc>
        <w:tc>
          <w:tcPr>
            <w:tcW w:w="6906" w:type="dxa"/>
            <w:tcBorders>
              <w:tl2br w:val="nil"/>
              <w:tr2bl w:val="nil"/>
            </w:tcBorders>
            <w:vAlign w:val="center"/>
          </w:tcPr>
          <w:p w14:paraId="3E56D2F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bCs/>
                <w:color w:val="auto"/>
                <w:spacing w:val="0"/>
                <w:sz w:val="24"/>
                <w:szCs w:val="24"/>
                <w:highlight w:val="none"/>
                <w:vertAlign w:val="baseline"/>
                <w:lang w:val="en-US" w:eastAsia="zh-CN"/>
              </w:rPr>
            </w:pPr>
            <w:r>
              <w:rPr>
                <w:rFonts w:hint="eastAsia" w:ascii="宋体" w:hAnsi="宋体"/>
                <w:b/>
                <w:color w:val="auto"/>
                <w:sz w:val="24"/>
                <w:highlight w:val="none"/>
              </w:rPr>
              <w:t>核验</w:t>
            </w:r>
            <w:r>
              <w:rPr>
                <w:rFonts w:hint="eastAsia" w:ascii="宋体" w:hAnsi="宋体"/>
                <w:b/>
                <w:color w:val="auto"/>
                <w:sz w:val="24"/>
                <w:highlight w:val="none"/>
                <w:lang w:val="en-US" w:eastAsia="zh-CN"/>
              </w:rPr>
              <w:t>供应商</w:t>
            </w:r>
            <w:r>
              <w:rPr>
                <w:rFonts w:hint="eastAsia" w:ascii="宋体" w:hAnsi="宋体"/>
                <w:b/>
                <w:color w:val="auto"/>
                <w:sz w:val="24"/>
                <w:highlight w:val="none"/>
              </w:rPr>
              <w:t>有关原件：</w:t>
            </w:r>
            <w:r>
              <w:rPr>
                <w:rFonts w:hint="eastAsia" w:ascii="宋体" w:hAnsi="宋体" w:cs="宋体"/>
                <w:color w:val="auto"/>
                <w:sz w:val="24"/>
              </w:rPr>
              <w:t>法人或授权代表到场，携带身份证原件、授权委托书</w:t>
            </w:r>
            <w:r>
              <w:rPr>
                <w:rFonts w:hint="eastAsia" w:ascii="宋体" w:hAnsi="宋体" w:cs="宋体"/>
                <w:color w:val="auto"/>
                <w:sz w:val="24"/>
                <w:lang w:eastAsia="zh-CN"/>
              </w:rPr>
              <w:t>。</w:t>
            </w:r>
            <w:r>
              <w:rPr>
                <w:rFonts w:hint="eastAsia" w:ascii="宋体" w:hAnsi="宋体" w:cs="宋体"/>
                <w:color w:val="auto"/>
                <w:sz w:val="24"/>
                <w:lang w:val="en-US" w:eastAsia="zh-CN"/>
              </w:rPr>
              <w:t>如</w:t>
            </w:r>
            <w:r>
              <w:rPr>
                <w:rFonts w:hint="eastAsia" w:ascii="宋体" w:hAnsi="宋体" w:cs="宋体"/>
                <w:color w:val="auto"/>
                <w:sz w:val="24"/>
              </w:rPr>
              <w:t>供应商代表未能随身携带时，招标人有权启封相应磋商响应文件进行</w:t>
            </w:r>
            <w:r>
              <w:rPr>
                <w:rFonts w:hint="eastAsia" w:ascii="宋体" w:hAnsi="宋体" w:cs="宋体"/>
                <w:color w:val="auto"/>
                <w:sz w:val="24"/>
                <w:lang w:val="en-US" w:eastAsia="zh-CN"/>
              </w:rPr>
              <w:t>身份</w:t>
            </w:r>
            <w:r>
              <w:rPr>
                <w:rFonts w:hint="eastAsia" w:ascii="宋体" w:hAnsi="宋体" w:cs="宋体"/>
                <w:color w:val="auto"/>
                <w:sz w:val="24"/>
              </w:rPr>
              <w:t>核实。</w:t>
            </w:r>
          </w:p>
        </w:tc>
      </w:tr>
    </w:tbl>
    <w:p w14:paraId="25557E89">
      <w:pPr>
        <w:keepNext w:val="0"/>
        <w:keepLines w:val="0"/>
        <w:pageBreakBefore w:val="0"/>
        <w:kinsoku/>
        <w:wordWrap/>
        <w:overflowPunct/>
        <w:topLinePunct w:val="0"/>
        <w:autoSpaceDE/>
        <w:autoSpaceDN/>
        <w:bidi w:val="0"/>
        <w:adjustRightInd/>
        <w:snapToGrid/>
        <w:spacing w:line="360" w:lineRule="auto"/>
        <w:textAlignment w:val="auto"/>
        <w:rPr>
          <w:rFonts w:hint="default"/>
          <w:color w:val="auto"/>
          <w:spacing w:val="0"/>
          <w:highlight w:val="none"/>
          <w:lang w:val="en-US" w:eastAsia="zh-CN"/>
        </w:rPr>
      </w:pPr>
      <w:r>
        <w:rPr>
          <w:rFonts w:hint="default"/>
          <w:color w:val="auto"/>
          <w:spacing w:val="0"/>
          <w:highlight w:val="none"/>
          <w:lang w:val="en-US" w:eastAsia="zh-CN"/>
        </w:rPr>
        <w:br w:type="page"/>
      </w:r>
    </w:p>
    <w:p w14:paraId="63DB1930">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color w:val="auto"/>
          <w:spacing w:val="0"/>
          <w:sz w:val="28"/>
          <w:szCs w:val="28"/>
          <w:highlight w:val="none"/>
        </w:rPr>
      </w:pPr>
      <w:r>
        <w:rPr>
          <w:rFonts w:hint="eastAsia" w:ascii="宋体" w:hAnsi="宋体" w:eastAsia="宋体" w:cs="宋体"/>
          <w:b/>
          <w:bCs/>
          <w:color w:val="auto"/>
          <w:spacing w:val="0"/>
          <w:kern w:val="0"/>
          <w:sz w:val="28"/>
          <w:szCs w:val="28"/>
          <w:highlight w:val="none"/>
          <w:lang w:val="en-US" w:eastAsia="zh-CN" w:bidi="ar"/>
        </w:rPr>
        <w:t xml:space="preserve">一、总 则 </w:t>
      </w:r>
    </w:p>
    <w:p w14:paraId="4440F9AE">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 适用范围 </w:t>
      </w:r>
    </w:p>
    <w:p w14:paraId="48E720E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1.1 本磋商文件仅适用于本次竞争性磋商所叙述的项目采购。 </w:t>
      </w:r>
    </w:p>
    <w:p w14:paraId="251AAF93">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 名词解释 </w:t>
      </w:r>
    </w:p>
    <w:p w14:paraId="1FB9071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auto"/>
          <w:spacing w:val="0"/>
          <w:sz w:val="24"/>
          <w:szCs w:val="24"/>
          <w:highlight w:val="none"/>
          <w:lang w:eastAsia="zh-CN"/>
        </w:rPr>
      </w:pPr>
      <w:r>
        <w:rPr>
          <w:rFonts w:hint="eastAsia" w:ascii="宋体" w:hAnsi="宋体" w:eastAsia="宋体" w:cs="宋体"/>
          <w:color w:val="auto"/>
          <w:spacing w:val="0"/>
          <w:kern w:val="0"/>
          <w:sz w:val="24"/>
          <w:szCs w:val="24"/>
          <w:highlight w:val="none"/>
          <w:lang w:val="en-US" w:eastAsia="zh-CN" w:bidi="ar"/>
        </w:rPr>
        <w:t>2.1 采购人：</w:t>
      </w:r>
      <w:r>
        <w:rPr>
          <w:rFonts w:hint="eastAsia" w:ascii="宋体" w:hAnsi="宋体" w:eastAsia="宋体" w:cs="宋体"/>
          <w:b w:val="0"/>
          <w:bCs w:val="0"/>
          <w:color w:val="auto"/>
          <w:kern w:val="2"/>
          <w:sz w:val="24"/>
          <w:szCs w:val="24"/>
          <w:highlight w:val="none"/>
          <w:vertAlign w:val="baseline"/>
          <w:lang w:val="en-US" w:eastAsia="zh-CN" w:bidi="ar-SA"/>
        </w:rPr>
        <w:t>陕西省林业调查规划院（陕西省森林资源监测中心）</w:t>
      </w:r>
    </w:p>
    <w:p w14:paraId="4DA2FE1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eastAsia="宋体"/>
          <w:color w:val="auto"/>
          <w:spacing w:val="0"/>
          <w:sz w:val="24"/>
          <w:szCs w:val="24"/>
          <w:highlight w:val="none"/>
          <w:lang w:val="en-US" w:eastAsia="zh-CN"/>
        </w:rPr>
      </w:pPr>
      <w:r>
        <w:rPr>
          <w:rFonts w:hint="eastAsia" w:ascii="宋体" w:hAnsi="宋体" w:eastAsia="宋体" w:cs="宋体"/>
          <w:color w:val="auto"/>
          <w:spacing w:val="0"/>
          <w:kern w:val="0"/>
          <w:sz w:val="24"/>
          <w:szCs w:val="24"/>
          <w:highlight w:val="none"/>
          <w:lang w:val="en-US" w:eastAsia="zh-CN" w:bidi="ar"/>
        </w:rPr>
        <w:t>2.2 采购代理机构：</w:t>
      </w:r>
      <w:r>
        <w:rPr>
          <w:rFonts w:hint="eastAsia" w:ascii="宋体" w:hAnsi="宋体" w:eastAsia="宋体" w:cs="宋体"/>
          <w:b w:val="0"/>
          <w:bCs w:val="0"/>
          <w:color w:val="auto"/>
          <w:kern w:val="2"/>
          <w:sz w:val="24"/>
          <w:szCs w:val="24"/>
          <w:highlight w:val="none"/>
          <w:vertAlign w:val="baseline"/>
          <w:lang w:val="en-US" w:eastAsia="zh-CN" w:bidi="ar-SA"/>
        </w:rPr>
        <w:t>陕西中海招标有限公司</w:t>
      </w:r>
    </w:p>
    <w:p w14:paraId="18F8055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2.3 供应商：响应和符合磋商文件规定资格条件和参加磋商的法人或其他组织或自然人。 </w:t>
      </w:r>
    </w:p>
    <w:p w14:paraId="25FFF584">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3. 合格的供应商 </w:t>
      </w:r>
    </w:p>
    <w:p w14:paraId="009840A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 合格的供应商应具备以下条件： </w:t>
      </w:r>
    </w:p>
    <w:p w14:paraId="49166302">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（1）具备且满足“竞争性磋商公告”的要求； </w:t>
      </w:r>
    </w:p>
    <w:p w14:paraId="6A86D01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（2）向采购代理机构购买了磋商文件并登记</w:t>
      </w:r>
      <w:r>
        <w:rPr>
          <w:rFonts w:hint="eastAsia" w:ascii="宋体" w:hAnsi="宋体" w:cs="宋体"/>
          <w:color w:val="auto"/>
          <w:spacing w:val="0"/>
          <w:kern w:val="0"/>
          <w:sz w:val="24"/>
          <w:szCs w:val="24"/>
          <w:highlight w:val="none"/>
          <w:lang w:val="en-US" w:eastAsia="zh-CN" w:bidi="ar"/>
        </w:rPr>
        <w:t>在</w:t>
      </w:r>
      <w:r>
        <w:rPr>
          <w:rFonts w:hint="eastAsia" w:ascii="宋体" w:hAnsi="宋体" w:eastAsia="宋体" w:cs="宋体"/>
          <w:color w:val="auto"/>
          <w:spacing w:val="0"/>
          <w:kern w:val="0"/>
          <w:sz w:val="24"/>
          <w:szCs w:val="24"/>
          <w:highlight w:val="none"/>
          <w:lang w:val="en-US" w:eastAsia="zh-CN" w:bidi="ar"/>
        </w:rPr>
        <w:t xml:space="preserve">案； </w:t>
      </w:r>
    </w:p>
    <w:p w14:paraId="19F352E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（3）向采购代理机构交纳了磋商保证金； </w:t>
      </w:r>
    </w:p>
    <w:p w14:paraId="56CD320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（4）一个供应商只能提交一个磋商</w:t>
      </w:r>
      <w:r>
        <w:rPr>
          <w:rFonts w:hint="eastAsia" w:ascii="宋体" w:hAnsi="宋体" w:cs="宋体"/>
          <w:color w:val="auto"/>
          <w:spacing w:val="0"/>
          <w:kern w:val="0"/>
          <w:sz w:val="24"/>
          <w:szCs w:val="24"/>
          <w:highlight w:val="none"/>
          <w:lang w:val="en-US" w:eastAsia="zh-CN" w:bidi="ar"/>
        </w:rPr>
        <w:t>响应</w:t>
      </w:r>
      <w:r>
        <w:rPr>
          <w:rFonts w:hint="eastAsia" w:ascii="宋体" w:hAnsi="宋体" w:eastAsia="宋体" w:cs="宋体"/>
          <w:color w:val="auto"/>
          <w:spacing w:val="0"/>
          <w:kern w:val="0"/>
          <w:sz w:val="24"/>
          <w:szCs w:val="24"/>
          <w:highlight w:val="none"/>
          <w:lang w:val="en-US" w:eastAsia="zh-CN" w:bidi="ar"/>
        </w:rPr>
        <w:t xml:space="preserve">文件，法定代表人为同一人的两个及两个以上法人，不得同时参加本项目磋商； </w:t>
      </w:r>
    </w:p>
    <w:p w14:paraId="23F4CFB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（5）有隶属关系的两个公司或有控股关系的两个公司不能同时参加同一项目的磋商；</w:t>
      </w:r>
    </w:p>
    <w:p w14:paraId="451795AC">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（6）遵守国家有关的法律、法规和条例； </w:t>
      </w:r>
    </w:p>
    <w:p w14:paraId="4573A83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（7）磋商文件和法律、行政法规规定的其他条件。 </w:t>
      </w:r>
    </w:p>
    <w:p w14:paraId="48F7A621">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4. 磋商费用 </w:t>
      </w:r>
    </w:p>
    <w:p w14:paraId="04D7BE9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不论磋商结果如何，供应商应自行承担所有与准备和参加磋商相关的全部费用。 </w:t>
      </w:r>
    </w:p>
    <w:p w14:paraId="35D7357F">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二、磋商文件 </w:t>
      </w:r>
    </w:p>
    <w:p w14:paraId="781BB24D">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5．磋商文件的构成 </w:t>
      </w:r>
    </w:p>
    <w:p w14:paraId="43EEC63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5.1 本磋商文件包括以下内容： </w:t>
      </w:r>
    </w:p>
    <w:p w14:paraId="060E3F2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（1）竞争性磋商公告； </w:t>
      </w:r>
    </w:p>
    <w:p w14:paraId="2CD7936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（2）供应商须知；</w:t>
      </w:r>
    </w:p>
    <w:p w14:paraId="2D73E5F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w:t>
      </w:r>
      <w:r>
        <w:rPr>
          <w:rFonts w:hint="eastAsia"/>
          <w:color w:val="auto"/>
          <w:spacing w:val="0"/>
          <w:sz w:val="24"/>
          <w:szCs w:val="24"/>
          <w:highlight w:val="none"/>
          <w:lang w:val="en-US" w:eastAsia="zh-CN"/>
        </w:rPr>
        <w:t xml:space="preserve">）评标办法； </w:t>
      </w:r>
    </w:p>
    <w:p w14:paraId="5519F95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color w:val="auto"/>
          <w:spacing w:val="0"/>
          <w:sz w:val="24"/>
          <w:szCs w:val="24"/>
          <w:highlight w:val="none"/>
          <w:lang w:val="en-US" w:eastAsia="zh-CN"/>
        </w:rPr>
        <w:t xml:space="preserve">（4）磋商内容及要求； </w:t>
      </w:r>
    </w:p>
    <w:p w14:paraId="53EF88B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（5）合同主要条款；</w:t>
      </w:r>
    </w:p>
    <w:p w14:paraId="35CB3C5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color w:val="auto"/>
          <w:spacing w:val="0"/>
          <w:sz w:val="24"/>
          <w:szCs w:val="24"/>
          <w:highlight w:val="none"/>
          <w:lang w:val="en-US" w:eastAsia="zh-CN"/>
        </w:rPr>
        <w:t>（6）磋商</w:t>
      </w:r>
      <w:r>
        <w:rPr>
          <w:rFonts w:hint="eastAsia" w:ascii="宋体" w:hAnsi="宋体" w:eastAsia="宋体" w:cs="宋体"/>
          <w:color w:val="auto"/>
          <w:spacing w:val="0"/>
          <w:kern w:val="0"/>
          <w:sz w:val="24"/>
          <w:szCs w:val="24"/>
          <w:highlight w:val="none"/>
          <w:lang w:val="en-US" w:eastAsia="zh-CN" w:bidi="ar"/>
        </w:rPr>
        <w:t xml:space="preserve">响应文件格式。 </w:t>
      </w:r>
    </w:p>
    <w:p w14:paraId="01B43EBE">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5.2 供应商应认真阅读和充分理解磋商文件中所有的事项、格式条款和规范要求。供应商没有对磋商文件做出全面的实质性响应是供应商的风险。没有按照磋商文件要求作出实质性响应的将按无效磋商处理。 </w:t>
      </w:r>
    </w:p>
    <w:p w14:paraId="0D15A0C9">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6. 磋商文件的澄清和修改 </w:t>
      </w:r>
    </w:p>
    <w:p w14:paraId="6036298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6.1 在磋商截止时间前，采购代理机构无论出于何种原因，可以对磋商文件进行澄清或者修改。 </w:t>
      </w:r>
    </w:p>
    <w:p w14:paraId="4E24A6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6.2 采购代理机构对已发出的磋商文件进行必要的澄清或者修改的，应在磋商文件要求提交磋商</w:t>
      </w:r>
      <w:r>
        <w:rPr>
          <w:rFonts w:hint="eastAsia" w:ascii="宋体" w:hAnsi="宋体" w:cs="宋体"/>
          <w:color w:val="auto"/>
          <w:spacing w:val="0"/>
          <w:kern w:val="0"/>
          <w:sz w:val="24"/>
          <w:szCs w:val="24"/>
          <w:highlight w:val="none"/>
          <w:lang w:val="en-US" w:eastAsia="zh-CN" w:bidi="ar"/>
        </w:rPr>
        <w:t>响应</w:t>
      </w:r>
      <w:r>
        <w:rPr>
          <w:rFonts w:hint="eastAsia" w:ascii="宋体" w:hAnsi="宋体" w:eastAsia="宋体" w:cs="宋体"/>
          <w:color w:val="auto"/>
          <w:spacing w:val="0"/>
          <w:kern w:val="0"/>
          <w:sz w:val="24"/>
          <w:szCs w:val="24"/>
          <w:highlight w:val="none"/>
          <w:lang w:val="en-US" w:eastAsia="zh-CN" w:bidi="ar"/>
        </w:rPr>
        <w:t xml:space="preserve">文件截止时间五日前，不足五日应延长至五日。澄清或者修改内容在采购发布媒体上发布更正公告，并以书面形式通知所有磋商文件收受人，且作为磋商文件的组成部分。 </w:t>
      </w:r>
    </w:p>
    <w:p w14:paraId="0053867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w:t>
      </w:r>
      <w:r>
        <w:rPr>
          <w:rFonts w:hint="eastAsia" w:ascii="宋体" w:hAnsi="宋体" w:eastAsia="宋体" w:cs="宋体"/>
          <w:b/>
          <w:bCs/>
          <w:color w:val="auto"/>
          <w:spacing w:val="0"/>
          <w:kern w:val="0"/>
          <w:sz w:val="24"/>
          <w:szCs w:val="24"/>
          <w:highlight w:val="none"/>
          <w:lang w:val="en-US" w:eastAsia="zh-CN" w:bidi="ar"/>
        </w:rPr>
        <w:t>.</w:t>
      </w:r>
      <w:r>
        <w:rPr>
          <w:rFonts w:hint="eastAsia" w:ascii="宋体" w:hAnsi="宋体" w:eastAsia="宋体" w:cs="宋体"/>
          <w:color w:val="auto"/>
          <w:spacing w:val="0"/>
          <w:kern w:val="0"/>
          <w:sz w:val="24"/>
          <w:szCs w:val="24"/>
          <w:highlight w:val="none"/>
          <w:lang w:val="en-US" w:eastAsia="zh-CN" w:bidi="ar"/>
        </w:rPr>
        <w:t xml:space="preserve">3 供应商要求对磋商文件进行澄清的，或认为有必要与采购代理机构进行技术交流的，均应在磋商截止时间5日前按磋商文件中的联系方式，以书面形式通知采购代理机构，采购代理机构以书面形式予以答复，或认为有必要召开答疑会。 </w:t>
      </w:r>
    </w:p>
    <w:p w14:paraId="60D2394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6.4 在磋商截止时间前，采购代理机构可以视采购具体情况，延长磋商时间，并在磋商文件要求提交磋商响应文件的截止时间前，将变更时间以书面形式通知所有购买了磋商文件的供应商，同时在原信息发布媒体上发布变更公告。 </w:t>
      </w:r>
    </w:p>
    <w:p w14:paraId="52FAC3FC">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7. 答疑会和现场勘查 </w:t>
      </w:r>
    </w:p>
    <w:p w14:paraId="3DC2469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不组织。 </w:t>
      </w:r>
    </w:p>
    <w:p w14:paraId="326B695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8．磋商文件的解释权 </w:t>
      </w:r>
    </w:p>
    <w:p w14:paraId="361CDE7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磋商文件的解释权归采购代理机构，如发现磋商文件内容与现行法律法规不相符的情况，以现行法律法规为准。 </w:t>
      </w:r>
    </w:p>
    <w:p w14:paraId="3AFF4749">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三、磋商响应文件 </w:t>
      </w:r>
    </w:p>
    <w:p w14:paraId="17D6834C">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9．供应商资格要求</w:t>
      </w:r>
    </w:p>
    <w:p w14:paraId="330AD56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9.1 供应商应具备下列条件： </w:t>
      </w:r>
    </w:p>
    <w:p w14:paraId="193895B7">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（1）具有独立承担民事责任的能力； </w:t>
      </w:r>
    </w:p>
    <w:p w14:paraId="75DD6D6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（2）具有良好的商业信誉和健全的财务会计制度； </w:t>
      </w:r>
    </w:p>
    <w:p w14:paraId="25F9D06B">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（3）具有履行合同所必须的设备和专业技术能力； </w:t>
      </w:r>
    </w:p>
    <w:p w14:paraId="7F8E25C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w:t>
      </w:r>
      <w:r>
        <w:rPr>
          <w:rFonts w:hint="eastAsia" w:ascii="宋体" w:hAnsi="宋体" w:cs="宋体"/>
          <w:color w:val="auto"/>
          <w:spacing w:val="0"/>
          <w:kern w:val="0"/>
          <w:sz w:val="24"/>
          <w:szCs w:val="24"/>
          <w:highlight w:val="none"/>
          <w:lang w:val="en-US" w:eastAsia="zh-CN" w:bidi="ar"/>
        </w:rPr>
        <w:t>具</w:t>
      </w:r>
      <w:r>
        <w:rPr>
          <w:rFonts w:hint="eastAsia" w:ascii="宋体" w:hAnsi="宋体" w:eastAsia="宋体" w:cs="宋体"/>
          <w:color w:val="auto"/>
          <w:spacing w:val="0"/>
          <w:kern w:val="0"/>
          <w:sz w:val="24"/>
          <w:szCs w:val="24"/>
          <w:highlight w:val="none"/>
          <w:lang w:val="en-US" w:eastAsia="zh-CN" w:bidi="ar"/>
        </w:rPr>
        <w:t xml:space="preserve">有依法交纳税收和社会保障资金的良好记录； </w:t>
      </w:r>
    </w:p>
    <w:p w14:paraId="1A85300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（5）参加本次磋商前3年内，在经营活动中没有重大违法记录；</w:t>
      </w:r>
    </w:p>
    <w:p w14:paraId="3182A4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（6）法律、行政法规规定的其他条件。 </w:t>
      </w:r>
    </w:p>
    <w:p w14:paraId="73B5A5D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1、具有独立承担民事责任能力的法人、其他组织或自然人，并出具合法有效的营业执照或事业单位法人证书等国家规定的相关证明，自然人参与的提供其身份证明； </w:t>
      </w:r>
    </w:p>
    <w:p w14:paraId="49C4E28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4AD5674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3、税收缴纳证明：提供2025年1月至今已缴纳至少一个月的依法缴纳税款的相关凭据（时间以税款所属日期为准），凭据应有税务机关或代收机关的公章或业务专用章。依法免税或无须缴纳税款的供应商，应提供相关证明文件；</w:t>
      </w:r>
    </w:p>
    <w:p w14:paraId="23D5729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4、社会保障资金缴纳证明：提供2025年1月至今已缴存的至少一个月的社会保障资金缴存单据或社保机构开具的社会保险参保缴费情况证明，依法不需要缴纳社会保障资金的单位应提供相关证明材料；</w:t>
      </w:r>
    </w:p>
    <w:p w14:paraId="0DE7C05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5、书面声明：参加本次政府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p>
    <w:p w14:paraId="50531E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6、提供具有履行合同所必需的设备和专业技术能力的承诺函； </w:t>
      </w:r>
    </w:p>
    <w:p w14:paraId="41C9086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7、法定代表人授权书及被授权人身份证。（法定代表人直接参与磋商只须提交其身份证原件）；</w:t>
      </w:r>
    </w:p>
    <w:p w14:paraId="43A9184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8、提供中小企业声明函。（本项目为非专门面向中、小、微型企业采购项目）。</w:t>
      </w:r>
    </w:p>
    <w:p w14:paraId="27BD6146">
      <w:pPr>
        <w:pageBreakBefore w:val="0"/>
        <w:kinsoku/>
        <w:wordWrap/>
        <w:overflowPunct/>
        <w:topLinePunct w:val="0"/>
        <w:autoSpaceDE/>
        <w:autoSpaceDN/>
        <w:bidi w:val="0"/>
        <w:spacing w:line="360" w:lineRule="auto"/>
        <w:ind w:firstLine="482" w:firstLineChars="200"/>
        <w:textAlignment w:val="auto"/>
        <w:outlineLvl w:val="9"/>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注：上述资质文件</w:t>
      </w:r>
      <w:r>
        <w:rPr>
          <w:rFonts w:hint="eastAsia" w:ascii="宋体" w:hAnsi="宋体" w:cs="宋体"/>
          <w:b/>
          <w:bCs/>
          <w:color w:val="auto"/>
          <w:spacing w:val="0"/>
          <w:kern w:val="0"/>
          <w:sz w:val="24"/>
          <w:szCs w:val="24"/>
          <w:highlight w:val="none"/>
          <w:lang w:val="en-US" w:eastAsia="zh-CN" w:bidi="ar"/>
        </w:rPr>
        <w:t>1-7项</w:t>
      </w:r>
      <w:r>
        <w:rPr>
          <w:rFonts w:hint="eastAsia" w:ascii="宋体" w:hAnsi="宋体" w:eastAsia="宋体" w:cs="宋体"/>
          <w:b/>
          <w:bCs/>
          <w:color w:val="auto"/>
          <w:spacing w:val="0"/>
          <w:kern w:val="0"/>
          <w:sz w:val="24"/>
          <w:szCs w:val="24"/>
          <w:highlight w:val="none"/>
          <w:lang w:val="en-US" w:eastAsia="zh-CN" w:bidi="ar"/>
        </w:rPr>
        <w:t>为必备资质，缺少一项或某项达不到磋商文件要求的按无效磋商</w:t>
      </w:r>
      <w:r>
        <w:rPr>
          <w:rFonts w:hint="eastAsia" w:ascii="宋体" w:hAnsi="宋体" w:cs="宋体"/>
          <w:b/>
          <w:bCs/>
          <w:color w:val="auto"/>
          <w:spacing w:val="0"/>
          <w:kern w:val="0"/>
          <w:sz w:val="24"/>
          <w:szCs w:val="24"/>
          <w:highlight w:val="none"/>
          <w:lang w:val="en-US" w:eastAsia="zh-CN" w:bidi="ar"/>
        </w:rPr>
        <w:t>响应</w:t>
      </w:r>
      <w:r>
        <w:rPr>
          <w:rFonts w:hint="eastAsia" w:ascii="宋体" w:hAnsi="宋体" w:eastAsia="宋体" w:cs="宋体"/>
          <w:b/>
          <w:bCs/>
          <w:color w:val="auto"/>
          <w:spacing w:val="0"/>
          <w:kern w:val="0"/>
          <w:sz w:val="24"/>
          <w:szCs w:val="24"/>
          <w:highlight w:val="none"/>
          <w:lang w:val="en-US" w:eastAsia="zh-CN" w:bidi="ar"/>
        </w:rPr>
        <w:t>文件处理。第8项中小企业声明函</w:t>
      </w:r>
      <w:r>
        <w:rPr>
          <w:rFonts w:hint="eastAsia" w:ascii="宋体" w:hAnsi="宋体" w:cs="宋体"/>
          <w:b/>
          <w:bCs/>
          <w:color w:val="auto"/>
          <w:spacing w:val="0"/>
          <w:kern w:val="0"/>
          <w:sz w:val="24"/>
          <w:szCs w:val="24"/>
          <w:highlight w:val="none"/>
          <w:lang w:val="en-US" w:eastAsia="zh-CN" w:bidi="ar"/>
        </w:rPr>
        <w:t>仅作为价格扣除依据，不纳入资格审查否决范围。</w:t>
      </w:r>
    </w:p>
    <w:p w14:paraId="4DA21C8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9.本项目不接受联合体磋商。单位负责人为同一人或者存在控股、管理关系的不同单位不得同时磋商。 </w:t>
      </w:r>
    </w:p>
    <w:p w14:paraId="0815749B">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10.磋商</w:t>
      </w:r>
      <w:r>
        <w:rPr>
          <w:rFonts w:hint="eastAsia" w:ascii="宋体" w:hAnsi="宋体" w:cs="宋体"/>
          <w:b/>
          <w:bCs/>
          <w:color w:val="auto"/>
          <w:spacing w:val="0"/>
          <w:kern w:val="0"/>
          <w:sz w:val="24"/>
          <w:szCs w:val="24"/>
          <w:highlight w:val="none"/>
          <w:lang w:val="en-US" w:eastAsia="zh-CN" w:bidi="ar"/>
        </w:rPr>
        <w:t>响应</w:t>
      </w:r>
      <w:r>
        <w:rPr>
          <w:rFonts w:hint="eastAsia" w:ascii="宋体" w:hAnsi="宋体" w:eastAsia="宋体" w:cs="宋体"/>
          <w:b/>
          <w:bCs/>
          <w:color w:val="auto"/>
          <w:spacing w:val="0"/>
          <w:kern w:val="0"/>
          <w:sz w:val="24"/>
          <w:szCs w:val="24"/>
          <w:highlight w:val="none"/>
          <w:lang w:val="en-US" w:eastAsia="zh-CN" w:bidi="ar"/>
        </w:rPr>
        <w:t xml:space="preserve">文件的语言 </w:t>
      </w:r>
    </w:p>
    <w:p w14:paraId="66CD46E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10.1 供应商提交的磋商响应文件以及供应商与采购代理机构就有关磋商的所有来往书面文件均须使用中文。磋商响应文件中如附有外文资料，必须逐一对应翻译成中文并加盖供应商公章后附在相关外文资料后面，否则，供应商的磋商响应文件将作为无效磋商处理。 </w:t>
      </w:r>
    </w:p>
    <w:p w14:paraId="27B40D3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10.2 翻译的中文资料与外文资料如果出现差异和矛盾时，以中文为准。但不能故意错误翻译，否则，供应商的磋商文件将作为无效磋商处理。 </w:t>
      </w:r>
    </w:p>
    <w:p w14:paraId="7D43689B">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11．计量单位 </w:t>
      </w:r>
    </w:p>
    <w:p w14:paraId="5256E227">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除技术规格及要求中另有规定外，本采购项下的磋商均采用国家法定的计量单位。 </w:t>
      </w:r>
    </w:p>
    <w:p w14:paraId="6D4AD99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12. 磋商货币 </w:t>
      </w:r>
    </w:p>
    <w:p w14:paraId="57AD8F8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本次磋商项目的磋商均以人民币报价。 </w:t>
      </w:r>
    </w:p>
    <w:p w14:paraId="315C641E">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13. 知识产权 </w:t>
      </w:r>
    </w:p>
    <w:p w14:paraId="48E2B97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13.1 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 </w:t>
      </w:r>
    </w:p>
    <w:p w14:paraId="1C8B3B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13.2 采购人享有本项目实施过程中产生的知识成果及知识产权。 </w:t>
      </w:r>
    </w:p>
    <w:p w14:paraId="68A7EFF5">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14．磋商响应文件的组成 </w:t>
      </w:r>
    </w:p>
    <w:p w14:paraId="3786CAF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olor w:val="auto"/>
          <w:highlight w:val="none"/>
        </w:rPr>
      </w:pPr>
      <w:r>
        <w:rPr>
          <w:rFonts w:hint="eastAsia" w:ascii="宋体" w:hAnsi="宋体" w:eastAsia="宋体" w:cs="宋体"/>
          <w:color w:val="auto"/>
          <w:spacing w:val="0"/>
          <w:kern w:val="0"/>
          <w:sz w:val="24"/>
          <w:szCs w:val="24"/>
          <w:highlight w:val="none"/>
          <w:lang w:val="en-US" w:eastAsia="zh-CN" w:bidi="ar"/>
        </w:rPr>
        <w:t>供应商应按照磋商文件的规定和要求编制磋商响应文件。供应商拟在</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后将</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项目的非主体、非关键性工作交由他人完成的，应当在磋商响应文件中载明。供应商编写的磋商响应文件应包括下列部分： </w:t>
      </w:r>
    </w:p>
    <w:p w14:paraId="2CE22311">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b/>
          <w:bCs/>
          <w:color w:val="auto"/>
          <w:spacing w:val="0"/>
          <w:kern w:val="0"/>
          <w:sz w:val="24"/>
          <w:szCs w:val="24"/>
          <w:highlight w:val="none"/>
          <w:lang w:val="en-US" w:eastAsia="zh-CN" w:bidi="ar"/>
        </w:rPr>
        <w:t>14.1 报价部分</w:t>
      </w:r>
    </w:p>
    <w:p w14:paraId="2187EB2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供应商按照磋商文件要求填写“开标一览表”。本次磋商报价要求： </w:t>
      </w:r>
    </w:p>
    <w:p w14:paraId="611751D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14.1.1 供应商报价</w:t>
      </w:r>
      <w:r>
        <w:rPr>
          <w:rFonts w:hint="eastAsia" w:ascii="宋体" w:hAnsi="宋体" w:cs="宋体"/>
          <w:color w:val="auto"/>
          <w:spacing w:val="0"/>
          <w:kern w:val="0"/>
          <w:sz w:val="24"/>
          <w:szCs w:val="24"/>
          <w:highlight w:val="none"/>
          <w:lang w:val="en-US" w:eastAsia="zh-CN" w:bidi="ar"/>
        </w:rPr>
        <w:t>不超过</w:t>
      </w:r>
      <w:r>
        <w:rPr>
          <w:rFonts w:hint="eastAsia" w:ascii="宋体" w:hAnsi="宋体" w:eastAsia="宋体" w:cs="宋体"/>
          <w:color w:val="auto"/>
          <w:spacing w:val="0"/>
          <w:kern w:val="0"/>
          <w:sz w:val="24"/>
          <w:szCs w:val="24"/>
          <w:highlight w:val="none"/>
          <w:lang w:val="en-US" w:eastAsia="zh-CN" w:bidi="ar"/>
        </w:rPr>
        <w:t xml:space="preserve">采购预算，作为不实质性响应磋商文件，按无效磋商处理。供应商的报价是供应商响应本磋商项目要求的全部工作内容的价格体现，包括供应商完成本项目所需的一切费用。 </w:t>
      </w:r>
    </w:p>
    <w:p w14:paraId="4FCA19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14.1.2 供应商只允许有一个报价，并且在合同履行过程中是固定不变的，任何有选择或可调整的报价将不予接受，并按无效磋商处理。 </w:t>
      </w:r>
    </w:p>
    <w:p w14:paraId="4DE5849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14.1.3 供应商不得以低于成本的报价参加磋商。若磋商小组成员认为某个供应商的报价明显低于其他通过</w:t>
      </w:r>
      <w:r>
        <w:rPr>
          <w:rFonts w:hint="eastAsia" w:ascii="宋体" w:hAnsi="宋体" w:cs="宋体"/>
          <w:color w:val="auto"/>
          <w:spacing w:val="0"/>
          <w:kern w:val="0"/>
          <w:sz w:val="24"/>
          <w:szCs w:val="24"/>
          <w:highlight w:val="none"/>
          <w:lang w:val="en-US" w:eastAsia="zh-CN" w:bidi="ar"/>
        </w:rPr>
        <w:t>资格和</w:t>
      </w:r>
      <w:r>
        <w:rPr>
          <w:rFonts w:hint="eastAsia" w:ascii="宋体" w:hAnsi="宋体" w:eastAsia="宋体" w:cs="宋体"/>
          <w:color w:val="auto"/>
          <w:spacing w:val="0"/>
          <w:kern w:val="0"/>
          <w:sz w:val="24"/>
          <w:szCs w:val="24"/>
          <w:highlight w:val="none"/>
          <w:lang w:val="en-US" w:eastAsia="zh-CN" w:bidi="ar"/>
        </w:rPr>
        <w:t>符合性审查的供应商的报价，有可能影响产品质量或者不能诚信履约的，应当要求其在评标现场合理的时间内提供书面说明，必要时提交相关证明材料；供应商不能证明其报价合理性的，磋商小组应将其作为无效磋商处理。</w:t>
      </w:r>
    </w:p>
    <w:p w14:paraId="224E707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pacing w:val="0"/>
          <w:sz w:val="24"/>
          <w:highlight w:val="none"/>
        </w:rPr>
      </w:pPr>
      <w:r>
        <w:rPr>
          <w:rFonts w:hint="eastAsia" w:ascii="宋体" w:hAnsi="宋体" w:cs="宋体"/>
          <w:color w:val="auto"/>
          <w:spacing w:val="0"/>
          <w:kern w:val="0"/>
          <w:sz w:val="24"/>
          <w:szCs w:val="24"/>
          <w:highlight w:val="none"/>
          <w:lang w:val="en-US" w:eastAsia="zh-CN" w:bidi="ar"/>
        </w:rPr>
        <w:t>14.1.4 本项目采取二次报价。</w:t>
      </w:r>
      <w:r>
        <w:rPr>
          <w:rFonts w:hint="eastAsia" w:ascii="宋体" w:hAnsi="宋体"/>
          <w:color w:val="auto"/>
          <w:spacing w:val="0"/>
          <w:sz w:val="24"/>
          <w:highlight w:val="none"/>
        </w:rPr>
        <w:t>二次报价为最终报价，在满足磋商文件所有实质性要求前提下，提交最终报价。如采购需求没有实质性变化，各供应商的报价应逐次降低。</w:t>
      </w:r>
    </w:p>
    <w:p w14:paraId="652515FD">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b/>
          <w:bCs/>
          <w:color w:val="auto"/>
          <w:spacing w:val="0"/>
          <w:kern w:val="0"/>
          <w:sz w:val="24"/>
          <w:szCs w:val="24"/>
          <w:highlight w:val="none"/>
          <w:lang w:val="en-US" w:eastAsia="zh-CN" w:bidi="ar"/>
        </w:rPr>
        <w:t>14.2 技术部分</w:t>
      </w:r>
    </w:p>
    <w:p w14:paraId="0E86C37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供应商按照磋商文件要求做出的技术应答，主要是针对磋商项目的技术指标、参数和技术要求做出的实质性响应和满足，不得出现负偏离，否则作为无效磋商处理。</w:t>
      </w:r>
    </w:p>
    <w:p w14:paraId="4A943078">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b/>
          <w:bCs/>
          <w:color w:val="auto"/>
          <w:spacing w:val="0"/>
          <w:kern w:val="0"/>
          <w:sz w:val="24"/>
          <w:szCs w:val="24"/>
          <w:highlight w:val="none"/>
          <w:lang w:val="en-US" w:eastAsia="zh-CN" w:bidi="ar"/>
        </w:rPr>
        <w:t>14.3 商务部分</w:t>
      </w:r>
    </w:p>
    <w:p w14:paraId="1625504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供应商按照磋商文件要求做出完全响应，提供有关资质证明文件，未能提供相关证明文件或提供的文件不能满足磋商文件要求，作为无效磋商处理。</w:t>
      </w:r>
    </w:p>
    <w:p w14:paraId="75C5003F">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15．磋商保证金 </w:t>
      </w:r>
    </w:p>
    <w:p w14:paraId="37DEC42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15.1 磋商保证金数额见供应商须知前附表。供应商磋商时，必须以人民币提交足额的磋商保证金，并作为其磋商的一部分。  </w:t>
      </w:r>
    </w:p>
    <w:p w14:paraId="15C6220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 磋商保证金的退还 </w:t>
      </w:r>
    </w:p>
    <w:p w14:paraId="3D5B7C2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.1 </w:t>
      </w:r>
      <w:r>
        <w:rPr>
          <w:rFonts w:hint="eastAsia" w:ascii="宋体" w:hAnsi="宋体" w:cs="宋体"/>
          <w:color w:val="auto"/>
          <w:sz w:val="24"/>
          <w:szCs w:val="24"/>
          <w:highlight w:val="none"/>
        </w:rPr>
        <w:t>未</w:t>
      </w:r>
      <w:r>
        <w:rPr>
          <w:rFonts w:hint="eastAsia" w:ascii="宋体" w:hAnsi="宋体" w:cs="宋体"/>
          <w:color w:val="auto"/>
          <w:spacing w:val="0"/>
          <w:kern w:val="0"/>
          <w:sz w:val="24"/>
          <w:szCs w:val="24"/>
          <w:highlight w:val="none"/>
          <w:lang w:val="en-US" w:eastAsia="zh-CN" w:bidi="ar"/>
        </w:rPr>
        <w:t>成交</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保证金，在</w:t>
      </w:r>
      <w:r>
        <w:rPr>
          <w:rFonts w:hint="eastAsia" w:ascii="宋体" w:hAnsi="宋体" w:cs="宋体"/>
          <w:color w:val="auto"/>
          <w:spacing w:val="0"/>
          <w:kern w:val="0"/>
          <w:sz w:val="24"/>
          <w:szCs w:val="24"/>
          <w:highlight w:val="none"/>
          <w:lang w:val="en-US" w:eastAsia="zh-CN" w:bidi="ar"/>
        </w:rPr>
        <w:t>成交</w:t>
      </w:r>
      <w:r>
        <w:rPr>
          <w:rFonts w:hint="eastAsia" w:ascii="宋体" w:hAnsi="宋体" w:cs="宋体"/>
          <w:color w:val="auto"/>
          <w:sz w:val="24"/>
          <w:szCs w:val="24"/>
          <w:highlight w:val="none"/>
        </w:rPr>
        <w:t>通知书发出后5个工作日内无息退还；</w:t>
      </w:r>
      <w:r>
        <w:rPr>
          <w:rFonts w:hint="eastAsia" w:ascii="宋体" w:hAnsi="宋体" w:cs="宋体"/>
          <w:color w:val="auto"/>
          <w:spacing w:val="0"/>
          <w:kern w:val="0"/>
          <w:sz w:val="24"/>
          <w:szCs w:val="24"/>
          <w:highlight w:val="none"/>
          <w:lang w:val="en-US" w:eastAsia="zh-CN" w:bidi="ar"/>
        </w:rPr>
        <w:t>成交</w:t>
      </w:r>
      <w:r>
        <w:rPr>
          <w:rFonts w:hint="eastAsia" w:ascii="宋体" w:hAnsi="宋体" w:cs="宋体"/>
          <w:color w:val="auto"/>
          <w:sz w:val="24"/>
          <w:szCs w:val="24"/>
          <w:highlight w:val="none"/>
          <w:lang w:eastAsia="zh-CN"/>
        </w:rPr>
        <w:t>人</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保证金在合同签订后5个工作日内无息退还</w:t>
      </w:r>
      <w:r>
        <w:rPr>
          <w:rFonts w:hint="eastAsia" w:ascii="宋体" w:hAnsi="宋体" w:eastAsia="宋体" w:cs="宋体"/>
          <w:color w:val="auto"/>
          <w:spacing w:val="0"/>
          <w:kern w:val="0"/>
          <w:sz w:val="24"/>
          <w:szCs w:val="24"/>
          <w:highlight w:val="none"/>
          <w:lang w:val="en-US" w:eastAsia="zh-CN" w:bidi="ar"/>
        </w:rPr>
        <w:t xml:space="preserve">。 </w:t>
      </w:r>
    </w:p>
    <w:p w14:paraId="56FA7F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 下列任何情况发生时，采购代理机构将不予退还供应商交纳的磋商保证金；情节严重的，将其列入不良行为纪录名单，在一至三年内禁止参加采购活动，并予以通报： </w:t>
      </w:r>
    </w:p>
    <w:p w14:paraId="56A5469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（1）供应商在提交磋商响应文件截止时间后撤回磋商响应文件的； </w:t>
      </w:r>
    </w:p>
    <w:p w14:paraId="19DB876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（2）供应商在磋商响应文件中提供虚假材料的； </w:t>
      </w:r>
    </w:p>
    <w:p w14:paraId="72CDF13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（3）除因不可抗力或磋商文件认可的情形以外，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供应商不与采购人签订合同的；</w:t>
      </w:r>
    </w:p>
    <w:p w14:paraId="71B97BB7">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（4）由于</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供应商的原因未能按规定支付磋商代理服务费； </w:t>
      </w:r>
    </w:p>
    <w:p w14:paraId="737CD47F">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（5）供应商与采购人、其他供应商或采购代理机构恶意串通的； </w:t>
      </w:r>
    </w:p>
    <w:p w14:paraId="127D513F">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（6）法律法规规定的其他内容。 </w:t>
      </w:r>
    </w:p>
    <w:p w14:paraId="087544F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 xml:space="preserve"> </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lang w:eastAsia="zh-CN"/>
        </w:rPr>
        <w:t>人</w:t>
      </w:r>
      <w:r>
        <w:rPr>
          <w:rFonts w:hint="eastAsia" w:ascii="宋体" w:hAnsi="宋体" w:cs="宋体"/>
          <w:color w:val="auto"/>
          <w:sz w:val="24"/>
          <w:szCs w:val="24"/>
          <w:highlight w:val="none"/>
        </w:rPr>
        <w:t>在退取投标保证金时，需携带与</w:t>
      </w:r>
      <w:r>
        <w:rPr>
          <w:rFonts w:hint="eastAsia" w:ascii="宋体" w:hAnsi="宋体" w:cs="宋体"/>
          <w:color w:val="auto"/>
          <w:sz w:val="24"/>
          <w:szCs w:val="24"/>
          <w:highlight w:val="none"/>
          <w:lang w:eastAsia="zh-CN"/>
        </w:rPr>
        <w:t>招标人</w:t>
      </w:r>
      <w:r>
        <w:rPr>
          <w:rFonts w:hint="eastAsia" w:ascii="宋体" w:hAnsi="宋体" w:cs="宋体"/>
          <w:color w:val="auto"/>
          <w:sz w:val="24"/>
          <w:szCs w:val="24"/>
          <w:highlight w:val="none"/>
        </w:rPr>
        <w:t>签订的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合同（原件）</w:t>
      </w:r>
      <w:r>
        <w:rPr>
          <w:rFonts w:hint="eastAsia" w:ascii="宋体" w:hAnsi="宋体" w:eastAsia="宋体" w:cs="宋体"/>
          <w:color w:val="auto"/>
          <w:spacing w:val="0"/>
          <w:kern w:val="0"/>
          <w:sz w:val="24"/>
          <w:szCs w:val="24"/>
          <w:highlight w:val="none"/>
          <w:lang w:val="en-US" w:eastAsia="zh-CN" w:bidi="ar"/>
        </w:rPr>
        <w:t xml:space="preserve">。 </w:t>
      </w:r>
    </w:p>
    <w:p w14:paraId="45E8D1DD">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16．磋商有效期 </w:t>
      </w:r>
    </w:p>
    <w:p w14:paraId="0AE500B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16.1 磋商有效期见供应商须知前附表。磋商有效期短于此规定期限的磋商，将按无效磋商处理。 </w:t>
      </w:r>
    </w:p>
    <w:p w14:paraId="5159A27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16.2 特殊情况下，采购代理机构可于磋商有效期满之前要求供应商同意延长有效期，要求与答复均应为书面形式。供应商可以拒绝上述要求，其磋商保证金不被没收。拒绝延长磋商有效期的供应商不得再参与该项目后续采购活动。同意延长磋商有效期的供应商不能修改其磋商响应文件，关于磋商保证金的有关规定在延长的磋商有效期内继续有效。 </w:t>
      </w:r>
    </w:p>
    <w:p w14:paraId="44C2484F">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17．磋商响应文件的制作和签署 </w:t>
      </w:r>
    </w:p>
    <w:p w14:paraId="1AA7261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17.1 磋商响应文件应根据磋商文件的要求制作。供应商应填写全称，同时加盖公章，签署、盖章和内容应完整，如有遗漏，将被视为无效磋商。 </w:t>
      </w:r>
    </w:p>
    <w:p w14:paraId="1A699D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17.2 磋商</w:t>
      </w:r>
      <w:r>
        <w:rPr>
          <w:rFonts w:hint="eastAsia" w:ascii="宋体" w:hAnsi="宋体" w:cs="宋体"/>
          <w:color w:val="auto"/>
          <w:spacing w:val="0"/>
          <w:kern w:val="0"/>
          <w:sz w:val="24"/>
          <w:szCs w:val="24"/>
          <w:highlight w:val="none"/>
          <w:lang w:val="en-US" w:eastAsia="zh-CN" w:bidi="ar"/>
        </w:rPr>
        <w:t>响应</w:t>
      </w:r>
      <w:r>
        <w:rPr>
          <w:rFonts w:hint="eastAsia" w:ascii="宋体" w:hAnsi="宋体" w:eastAsia="宋体" w:cs="宋体"/>
          <w:color w:val="auto"/>
          <w:spacing w:val="0"/>
          <w:kern w:val="0"/>
          <w:sz w:val="24"/>
          <w:szCs w:val="24"/>
          <w:highlight w:val="none"/>
          <w:lang w:val="en-US" w:eastAsia="zh-CN" w:bidi="ar"/>
        </w:rPr>
        <w:t>文件格式。供应商应严格按照磋商文件第</w:t>
      </w:r>
      <w:r>
        <w:rPr>
          <w:rFonts w:hint="eastAsia" w:ascii="宋体" w:hAnsi="宋体" w:cs="宋体"/>
          <w:color w:val="auto"/>
          <w:spacing w:val="0"/>
          <w:kern w:val="0"/>
          <w:sz w:val="24"/>
          <w:szCs w:val="24"/>
          <w:highlight w:val="none"/>
          <w:lang w:val="en-US" w:eastAsia="zh-CN" w:bidi="ar"/>
        </w:rPr>
        <w:t>六</w:t>
      </w:r>
      <w:r>
        <w:rPr>
          <w:rFonts w:hint="eastAsia" w:ascii="宋体" w:hAnsi="宋体" w:eastAsia="宋体" w:cs="宋体"/>
          <w:color w:val="auto"/>
          <w:spacing w:val="0"/>
          <w:kern w:val="0"/>
          <w:sz w:val="24"/>
          <w:szCs w:val="24"/>
          <w:highlight w:val="none"/>
          <w:lang w:val="en-US" w:eastAsia="zh-CN" w:bidi="ar"/>
        </w:rPr>
        <w:t xml:space="preserve">章提供的“磋商响应文件格式”填写相关内容。除明确允许供应商可以自行编写的外，供应商不得以“磋商响应文件格式”规定之外的方式填写相关内容。否则，供应商提供的磋商响应文件将作为无效磋商处理。 </w:t>
      </w:r>
    </w:p>
    <w:p w14:paraId="19655CD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17.3 对于没有格式要求的磋商响应文件由供应商自行编写。 </w:t>
      </w:r>
    </w:p>
    <w:p w14:paraId="1478C47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17.4 供应商应按“磋商须知前附表”准备磋商响应文件正本、副本和相应的电子文件。磋商响应文件的正本和副本应在其封面右上角清楚地标明“正本”或“副本”字样。 若正本和副本有不一致的内容，以正本书面磋商响应文件为准。 </w:t>
      </w:r>
    </w:p>
    <w:p w14:paraId="024CE5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17.5 磋商响应文件的正本和副本均需打印或用不褪色、不变质的墨水书写，并由供应商的法定代表人或其授权代表在规定签章处签字或盖章。</w:t>
      </w:r>
    </w:p>
    <w:p w14:paraId="3F9F4EE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17.6 磋商响应文件的打印和书写应清楚工整，任何行间插字、涂改或增删，必须由供应商的法定代表人（或其授权代表）签字或盖个人印鉴。字迹潦草、表达不清或可能导致非唯一理解的磋商文件可能视为无效磋商。 </w:t>
      </w:r>
    </w:p>
    <w:p w14:paraId="48A1740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17.7 磋商响应文件正本和副本必须装订成册并逐页编码。 </w:t>
      </w:r>
    </w:p>
    <w:p w14:paraId="771F82D4">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17.8 电子文件制作要求</w:t>
      </w:r>
      <w:r>
        <w:rPr>
          <w:rFonts w:hint="eastAsia" w:ascii="宋体" w:hAnsi="宋体" w:cs="宋体"/>
          <w:b/>
          <w:bCs/>
          <w:color w:val="auto"/>
          <w:spacing w:val="0"/>
          <w:kern w:val="0"/>
          <w:sz w:val="24"/>
          <w:szCs w:val="24"/>
          <w:highlight w:val="none"/>
          <w:lang w:val="en-US" w:eastAsia="zh-CN" w:bidi="ar"/>
        </w:rPr>
        <w:t>。</w:t>
      </w:r>
      <w:r>
        <w:rPr>
          <w:rFonts w:hint="eastAsia" w:ascii="宋体" w:hAnsi="宋体" w:eastAsia="宋体" w:cs="宋体"/>
          <w:b/>
          <w:bCs/>
          <w:color w:val="auto"/>
          <w:spacing w:val="0"/>
          <w:kern w:val="0"/>
          <w:sz w:val="24"/>
          <w:szCs w:val="24"/>
          <w:highlight w:val="none"/>
          <w:lang w:val="en-US" w:eastAsia="zh-CN" w:bidi="ar"/>
        </w:rPr>
        <w:t xml:space="preserve">电子文件与纸质正本磋商响应文件的内容应保持一致，具有同等法律效力。 </w:t>
      </w:r>
    </w:p>
    <w:p w14:paraId="692DCB4B">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四、磋商 </w:t>
      </w:r>
    </w:p>
    <w:p w14:paraId="192301E8">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18.磋商内容要求 </w:t>
      </w:r>
    </w:p>
    <w:p w14:paraId="745E598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各供应商应仔细阅读磋商文件中的所有事项、格式、条款和要求，对磋商文件的全部内容及要求作出实质性响应，提交相应资料。 </w:t>
      </w:r>
    </w:p>
    <w:p w14:paraId="64CF64D0">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19、磋商响应文件的密封和标注 </w:t>
      </w:r>
    </w:p>
    <w:p w14:paraId="1E21B2F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19.</w:t>
      </w:r>
      <w:r>
        <w:rPr>
          <w:rFonts w:hint="eastAsia" w:ascii="宋体" w:hAnsi="宋体" w:cs="宋体"/>
          <w:color w:val="auto"/>
          <w:spacing w:val="0"/>
          <w:kern w:val="0"/>
          <w:sz w:val="24"/>
          <w:szCs w:val="24"/>
          <w:highlight w:val="none"/>
          <w:lang w:val="en-US" w:eastAsia="zh-CN" w:bidi="ar"/>
        </w:rPr>
        <w:t>1</w:t>
      </w:r>
      <w:r>
        <w:rPr>
          <w:rFonts w:hint="eastAsia" w:ascii="宋体" w:hAnsi="宋体" w:eastAsia="宋体" w:cs="宋体"/>
          <w:color w:val="auto"/>
          <w:spacing w:val="0"/>
          <w:kern w:val="0"/>
          <w:sz w:val="24"/>
          <w:szCs w:val="24"/>
          <w:highlight w:val="none"/>
          <w:lang w:val="en-US" w:eastAsia="zh-CN" w:bidi="ar"/>
        </w:rPr>
        <w:t xml:space="preserve"> 磋商响应文件正本、所有副本(所有副本密封在一个密封袋内)应分别装袋密封，电子文件放置正本袋内，密封袋上应分别标上“正本”、“副本”字样，并注明</w:t>
      </w:r>
      <w:r>
        <w:rPr>
          <w:rFonts w:hint="eastAsia" w:ascii="宋体" w:hAnsi="宋体" w:cs="宋体"/>
          <w:color w:val="auto"/>
          <w:spacing w:val="0"/>
          <w:kern w:val="0"/>
          <w:sz w:val="24"/>
          <w:szCs w:val="24"/>
          <w:highlight w:val="none"/>
          <w:lang w:val="en-US" w:eastAsia="zh-CN" w:bidi="ar"/>
        </w:rPr>
        <w:t>采购项目名称、项目编号、</w:t>
      </w:r>
      <w:r>
        <w:rPr>
          <w:rFonts w:hint="eastAsia" w:ascii="宋体" w:hAnsi="宋体" w:eastAsia="宋体" w:cs="宋体"/>
          <w:color w:val="auto"/>
          <w:spacing w:val="0"/>
          <w:kern w:val="0"/>
          <w:sz w:val="24"/>
          <w:szCs w:val="24"/>
          <w:highlight w:val="none"/>
          <w:lang w:val="en-US" w:eastAsia="zh-CN" w:bidi="ar"/>
        </w:rPr>
        <w:t>供应商名称、</w:t>
      </w:r>
      <w:r>
        <w:rPr>
          <w:rFonts w:hint="eastAsia" w:ascii="宋体" w:hAnsi="宋体" w:cs="宋体"/>
          <w:color w:val="auto"/>
          <w:spacing w:val="0"/>
          <w:kern w:val="0"/>
          <w:sz w:val="24"/>
          <w:szCs w:val="24"/>
          <w:highlight w:val="none"/>
          <w:lang w:val="en-US" w:eastAsia="zh-CN" w:bidi="ar"/>
        </w:rPr>
        <w:t>供应商地址、</w:t>
      </w: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于（磋商时间）</w:t>
      </w:r>
      <w:r>
        <w:rPr>
          <w:rFonts w:hint="eastAsia" w:ascii="宋体" w:hAnsi="宋体" w:eastAsia="宋体" w:cs="宋体"/>
          <w:color w:val="auto"/>
          <w:spacing w:val="0"/>
          <w:kern w:val="0"/>
          <w:sz w:val="24"/>
          <w:szCs w:val="24"/>
          <w:highlight w:val="none"/>
          <w:lang w:val="en-US" w:eastAsia="zh-CN" w:bidi="ar"/>
        </w:rPr>
        <w:t>启封”</w:t>
      </w:r>
      <w:r>
        <w:rPr>
          <w:rFonts w:hint="eastAsia" w:ascii="宋体" w:hAnsi="宋体" w:cs="宋体"/>
          <w:color w:val="auto"/>
          <w:spacing w:val="0"/>
          <w:kern w:val="0"/>
          <w:sz w:val="24"/>
          <w:szCs w:val="24"/>
          <w:highlight w:val="none"/>
          <w:lang w:val="en-US" w:eastAsia="zh-CN" w:bidi="ar"/>
        </w:rPr>
        <w:t>等</w:t>
      </w:r>
      <w:r>
        <w:rPr>
          <w:rFonts w:hint="eastAsia" w:ascii="宋体" w:hAnsi="宋体" w:eastAsia="宋体" w:cs="宋体"/>
          <w:color w:val="auto"/>
          <w:spacing w:val="0"/>
          <w:kern w:val="0"/>
          <w:sz w:val="24"/>
          <w:szCs w:val="24"/>
          <w:highlight w:val="none"/>
          <w:lang w:val="en-US" w:eastAsia="zh-CN" w:bidi="ar"/>
        </w:rPr>
        <w:t xml:space="preserve">字样。 </w:t>
      </w:r>
    </w:p>
    <w:p w14:paraId="65ACFFB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19.</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 所有外层密封袋的封口处，加封条密封，应粘贴牢固，并加盖密封章（供应商公章及法定代表人私章）。 </w:t>
      </w:r>
    </w:p>
    <w:p w14:paraId="046033D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19.</w:t>
      </w: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 xml:space="preserve"> 未按以上要求进行密封和标注的磋商文件，将按无效磋商处理。 </w:t>
      </w:r>
    </w:p>
    <w:p w14:paraId="1E0E953A">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20.磋商响应文件的递交 </w:t>
      </w:r>
    </w:p>
    <w:p w14:paraId="45B030D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20.1 供应商应在磋商文件规定的磋商截止时间前，将磋商响应文件按供应商须知前附表的规定密封后送达</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地点。磋商截止时间以后送达的磋商响应文件将被拒绝。 </w:t>
      </w:r>
    </w:p>
    <w:p w14:paraId="5BECF52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20.2 本次磋商不接受邮寄的磋商响应文件。 </w:t>
      </w:r>
    </w:p>
    <w:p w14:paraId="16D887A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21.磋商响应文件的修改和撤回 </w:t>
      </w:r>
    </w:p>
    <w:p w14:paraId="74E6783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21.1 供应商在递交了磋商响应文件后，可以修改或撤回其磋商响应文件，但必须在规定的磋商截止时间前，以书面形式通知采购代理机构。 </w:t>
      </w:r>
    </w:p>
    <w:p w14:paraId="3F7020B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21.2 供应商的修改书或撤回通知书，应由其法定代表人或授权代表签署并盖单位公章。修改书应按磋商须知</w:t>
      </w:r>
      <w:r>
        <w:rPr>
          <w:rFonts w:hint="eastAsia" w:ascii="宋体" w:hAnsi="宋体" w:cs="宋体"/>
          <w:color w:val="auto"/>
          <w:spacing w:val="0"/>
          <w:kern w:val="0"/>
          <w:sz w:val="24"/>
          <w:szCs w:val="24"/>
          <w:highlight w:val="none"/>
          <w:lang w:val="en-US" w:eastAsia="zh-CN" w:bidi="ar"/>
        </w:rPr>
        <w:t>前附表</w:t>
      </w:r>
      <w:r>
        <w:rPr>
          <w:rFonts w:hint="eastAsia" w:ascii="宋体" w:hAnsi="宋体" w:eastAsia="宋体" w:cs="宋体"/>
          <w:color w:val="auto"/>
          <w:spacing w:val="0"/>
          <w:kern w:val="0"/>
          <w:sz w:val="24"/>
          <w:szCs w:val="24"/>
          <w:highlight w:val="none"/>
          <w:lang w:val="en-US" w:eastAsia="zh-CN" w:bidi="ar"/>
        </w:rPr>
        <w:t>第</w:t>
      </w:r>
      <w:r>
        <w:rPr>
          <w:rFonts w:hint="eastAsia" w:ascii="宋体" w:hAnsi="宋体" w:cs="宋体"/>
          <w:color w:val="auto"/>
          <w:spacing w:val="0"/>
          <w:kern w:val="0"/>
          <w:sz w:val="24"/>
          <w:szCs w:val="24"/>
          <w:highlight w:val="none"/>
          <w:lang w:val="en-US" w:eastAsia="zh-CN" w:bidi="ar"/>
        </w:rPr>
        <w:t>20、21</w:t>
      </w:r>
      <w:r>
        <w:rPr>
          <w:rFonts w:hint="eastAsia" w:ascii="宋体" w:hAnsi="宋体" w:eastAsia="宋体" w:cs="宋体"/>
          <w:color w:val="auto"/>
          <w:spacing w:val="0"/>
          <w:kern w:val="0"/>
          <w:sz w:val="24"/>
          <w:szCs w:val="24"/>
          <w:highlight w:val="none"/>
          <w:lang w:val="en-US" w:eastAsia="zh-CN" w:bidi="ar"/>
        </w:rPr>
        <w:t xml:space="preserve">条规定进行密封和标注，并在密封袋上标注“磋商响应文件修改”或“磋商响应文件撤回通知”字样，“修改文件”作为磋商响应文件的组成部分；采购代理机构不退还供应商已撤回的磋商响应文件（包括纸质和电子版）。 </w:t>
      </w:r>
    </w:p>
    <w:p w14:paraId="14B0F3C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21.3 在磋商截止时间之后，供应商不得对其递交的磋商响应文件做任何修改或撤回。</w:t>
      </w:r>
    </w:p>
    <w:p w14:paraId="61F99740">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22.磋商纪律要求 </w:t>
      </w:r>
    </w:p>
    <w:p w14:paraId="3E574C1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供应商参加磋商不得有下列情形之一： </w:t>
      </w:r>
    </w:p>
    <w:p w14:paraId="6496705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（1）提供虚假材料谋取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 </w:t>
      </w:r>
    </w:p>
    <w:p w14:paraId="7E6BB37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（2）采取不正当手段诋毁、排挤其他供应商； </w:t>
      </w:r>
    </w:p>
    <w:p w14:paraId="4DEB156C">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（3）与采购</w:t>
      </w:r>
      <w:r>
        <w:rPr>
          <w:rFonts w:hint="eastAsia" w:ascii="宋体" w:hAnsi="宋体" w:cs="宋体"/>
          <w:color w:val="auto"/>
          <w:spacing w:val="0"/>
          <w:kern w:val="0"/>
          <w:sz w:val="24"/>
          <w:szCs w:val="24"/>
          <w:highlight w:val="none"/>
          <w:lang w:val="en-US" w:eastAsia="zh-CN" w:bidi="ar"/>
        </w:rPr>
        <w:t>人、</w:t>
      </w:r>
      <w:r>
        <w:rPr>
          <w:rFonts w:hint="eastAsia" w:ascii="宋体" w:hAnsi="宋体" w:eastAsia="宋体" w:cs="宋体"/>
          <w:color w:val="auto"/>
          <w:spacing w:val="0"/>
          <w:kern w:val="0"/>
          <w:sz w:val="24"/>
          <w:szCs w:val="24"/>
          <w:highlight w:val="none"/>
          <w:lang w:val="en-US" w:eastAsia="zh-CN" w:bidi="ar"/>
        </w:rPr>
        <w:t xml:space="preserve">其他供应商恶意串通； </w:t>
      </w:r>
    </w:p>
    <w:p w14:paraId="56262D9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（4）向采购人、采购代理机构、磋商小组成员行贿或者提供其他不正当利益；</w:t>
      </w:r>
    </w:p>
    <w:p w14:paraId="3F8CA13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（5）在磋商过程中与采购</w:t>
      </w:r>
      <w:r>
        <w:rPr>
          <w:rFonts w:hint="eastAsia" w:ascii="宋体" w:hAnsi="宋体" w:cs="宋体"/>
          <w:color w:val="auto"/>
          <w:spacing w:val="0"/>
          <w:kern w:val="0"/>
          <w:sz w:val="24"/>
          <w:szCs w:val="24"/>
          <w:highlight w:val="none"/>
          <w:lang w:val="en-US" w:eastAsia="zh-CN" w:bidi="ar"/>
        </w:rPr>
        <w:t>人</w:t>
      </w:r>
      <w:r>
        <w:rPr>
          <w:rFonts w:hint="eastAsia" w:ascii="宋体" w:hAnsi="宋体" w:eastAsia="宋体" w:cs="宋体"/>
          <w:color w:val="auto"/>
          <w:spacing w:val="0"/>
          <w:kern w:val="0"/>
          <w:sz w:val="24"/>
          <w:szCs w:val="24"/>
          <w:highlight w:val="none"/>
          <w:lang w:val="en-US" w:eastAsia="zh-CN" w:bidi="ar"/>
        </w:rPr>
        <w:t xml:space="preserve">进行协商谈判； </w:t>
      </w:r>
    </w:p>
    <w:p w14:paraId="3CC54B4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（6）拒绝有关部门的监督检查或者向监督检查部门提供虚假情况。 </w:t>
      </w:r>
    </w:p>
    <w:p w14:paraId="6518465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highlight w:val="none"/>
        </w:rPr>
      </w:pPr>
      <w:r>
        <w:rPr>
          <w:rFonts w:hint="eastAsia" w:ascii="宋体" w:hAnsi="宋体" w:eastAsia="宋体" w:cs="宋体"/>
          <w:color w:val="auto"/>
          <w:spacing w:val="0"/>
          <w:kern w:val="0"/>
          <w:sz w:val="24"/>
          <w:szCs w:val="24"/>
          <w:highlight w:val="none"/>
          <w:lang w:val="en-US" w:eastAsia="zh-CN" w:bidi="ar"/>
        </w:rPr>
        <w:t>有上述情形之一的，属于不合格供应商，其磋商或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资格将被取消。 </w:t>
      </w:r>
    </w:p>
    <w:p w14:paraId="341D4EBE">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五、</w:t>
      </w:r>
      <w:r>
        <w:rPr>
          <w:rFonts w:hint="eastAsia" w:ascii="宋体" w:hAnsi="宋体" w:cs="宋体"/>
          <w:b/>
          <w:bCs/>
          <w:color w:val="auto"/>
          <w:spacing w:val="0"/>
          <w:kern w:val="0"/>
          <w:sz w:val="28"/>
          <w:szCs w:val="28"/>
          <w:highlight w:val="none"/>
          <w:lang w:val="en-US" w:eastAsia="zh-CN" w:bidi="ar"/>
        </w:rPr>
        <w:t>磋商</w:t>
      </w:r>
      <w:r>
        <w:rPr>
          <w:rFonts w:hint="eastAsia" w:ascii="宋体" w:hAnsi="宋体" w:eastAsia="宋体" w:cs="宋体"/>
          <w:b/>
          <w:bCs/>
          <w:color w:val="auto"/>
          <w:spacing w:val="0"/>
          <w:kern w:val="0"/>
          <w:sz w:val="28"/>
          <w:szCs w:val="28"/>
          <w:highlight w:val="none"/>
          <w:lang w:val="en-US" w:eastAsia="zh-CN" w:bidi="ar"/>
        </w:rPr>
        <w:t xml:space="preserve"> </w:t>
      </w:r>
    </w:p>
    <w:p w14:paraId="7AEFC50B">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23.</w:t>
      </w:r>
      <w:r>
        <w:rPr>
          <w:rFonts w:hint="eastAsia" w:ascii="宋体" w:hAnsi="宋体" w:cs="宋体"/>
          <w:b/>
          <w:bCs/>
          <w:color w:val="auto"/>
          <w:spacing w:val="0"/>
          <w:kern w:val="0"/>
          <w:sz w:val="24"/>
          <w:szCs w:val="24"/>
          <w:highlight w:val="none"/>
          <w:lang w:val="en-US" w:eastAsia="zh-CN" w:bidi="ar"/>
        </w:rPr>
        <w:t>磋商</w:t>
      </w:r>
      <w:r>
        <w:rPr>
          <w:rFonts w:hint="eastAsia" w:ascii="宋体" w:hAnsi="宋体" w:eastAsia="宋体" w:cs="宋体"/>
          <w:b/>
          <w:bCs/>
          <w:color w:val="auto"/>
          <w:spacing w:val="0"/>
          <w:kern w:val="0"/>
          <w:sz w:val="24"/>
          <w:szCs w:val="24"/>
          <w:highlight w:val="none"/>
          <w:lang w:val="en-US" w:eastAsia="zh-CN" w:bidi="ar"/>
        </w:rPr>
        <w:t xml:space="preserve">时间和地点 </w:t>
      </w:r>
    </w:p>
    <w:p w14:paraId="3BD10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23.1 采购代理机构在供应商须知前附表中规定的磋商截</w:t>
      </w:r>
      <w:r>
        <w:rPr>
          <w:rFonts w:hint="eastAsia" w:ascii="宋体" w:hAnsi="宋体" w:cs="宋体"/>
          <w:color w:val="auto"/>
          <w:spacing w:val="0"/>
          <w:kern w:val="0"/>
          <w:sz w:val="24"/>
          <w:szCs w:val="24"/>
          <w:highlight w:val="none"/>
          <w:lang w:val="en-US" w:eastAsia="zh-CN" w:bidi="ar"/>
        </w:rPr>
        <w:t>止</w:t>
      </w:r>
      <w:r>
        <w:rPr>
          <w:rFonts w:hint="eastAsia" w:ascii="宋体" w:hAnsi="宋体" w:eastAsia="宋体" w:cs="宋体"/>
          <w:color w:val="auto"/>
          <w:spacing w:val="0"/>
          <w:kern w:val="0"/>
          <w:sz w:val="24"/>
          <w:szCs w:val="24"/>
          <w:highlight w:val="none"/>
          <w:lang w:val="en-US" w:eastAsia="zh-CN" w:bidi="ar"/>
        </w:rPr>
        <w:t>时间和地点组织</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，采购人、供应商须派代表参加并签到以证明其出席。</w:t>
      </w:r>
    </w:p>
    <w:p w14:paraId="6CF2838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23.2</w:t>
      </w:r>
      <w:r>
        <w:rPr>
          <w:rFonts w:hint="eastAsia" w:ascii="宋体" w:hAnsi="宋体" w:cs="宋体"/>
          <w:color w:val="auto"/>
          <w:spacing w:val="0"/>
          <w:kern w:val="0"/>
          <w:sz w:val="24"/>
          <w:szCs w:val="24"/>
          <w:highlight w:val="none"/>
          <w:lang w:val="en-US" w:eastAsia="zh-CN" w:bidi="ar"/>
        </w:rPr>
        <w:t xml:space="preserve"> 磋商</w:t>
      </w:r>
      <w:r>
        <w:rPr>
          <w:rFonts w:hint="eastAsia" w:ascii="宋体" w:hAnsi="宋体" w:eastAsia="宋体" w:cs="宋体"/>
          <w:color w:val="auto"/>
          <w:spacing w:val="0"/>
          <w:kern w:val="0"/>
          <w:sz w:val="24"/>
          <w:szCs w:val="24"/>
          <w:highlight w:val="none"/>
          <w:lang w:val="en-US" w:eastAsia="zh-CN" w:bidi="ar"/>
        </w:rPr>
        <w:t>时，采购代理机构邀请有关</w:t>
      </w:r>
      <w:r>
        <w:rPr>
          <w:rFonts w:hint="eastAsia" w:ascii="宋体" w:hAnsi="宋体" w:cs="宋体"/>
          <w:color w:val="auto"/>
          <w:spacing w:val="0"/>
          <w:kern w:val="0"/>
          <w:sz w:val="24"/>
          <w:szCs w:val="24"/>
          <w:highlight w:val="none"/>
          <w:lang w:val="en-US" w:eastAsia="zh-CN" w:bidi="ar"/>
        </w:rPr>
        <w:t>采购人</w:t>
      </w:r>
      <w:r>
        <w:rPr>
          <w:rFonts w:hint="eastAsia" w:ascii="宋体" w:hAnsi="宋体" w:eastAsia="宋体" w:cs="宋体"/>
          <w:color w:val="auto"/>
          <w:spacing w:val="0"/>
          <w:kern w:val="0"/>
          <w:sz w:val="24"/>
          <w:szCs w:val="24"/>
          <w:highlight w:val="none"/>
          <w:lang w:val="en-US" w:eastAsia="zh-CN" w:bidi="ar"/>
        </w:rPr>
        <w:t>监督</w:t>
      </w:r>
      <w:r>
        <w:rPr>
          <w:rFonts w:hint="eastAsia" w:ascii="宋体" w:hAnsi="宋体" w:cs="宋体"/>
          <w:color w:val="auto"/>
          <w:spacing w:val="0"/>
          <w:kern w:val="0"/>
          <w:sz w:val="24"/>
          <w:szCs w:val="24"/>
          <w:highlight w:val="none"/>
          <w:lang w:val="en-US" w:eastAsia="zh-CN" w:bidi="ar"/>
        </w:rPr>
        <w:t>部门</w:t>
      </w:r>
      <w:r>
        <w:rPr>
          <w:rFonts w:hint="eastAsia" w:ascii="宋体" w:hAnsi="宋体" w:eastAsia="宋体" w:cs="宋体"/>
          <w:color w:val="auto"/>
          <w:spacing w:val="0"/>
          <w:kern w:val="0"/>
          <w:sz w:val="24"/>
          <w:szCs w:val="24"/>
          <w:highlight w:val="none"/>
          <w:lang w:val="en-US" w:eastAsia="zh-CN" w:bidi="ar"/>
        </w:rPr>
        <w:t>对</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进行现场监督。 </w:t>
      </w:r>
    </w:p>
    <w:p w14:paraId="1EAF3326">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24.</w:t>
      </w:r>
      <w:r>
        <w:rPr>
          <w:rFonts w:hint="eastAsia" w:ascii="宋体" w:hAnsi="宋体" w:cs="宋体"/>
          <w:b/>
          <w:bCs/>
          <w:color w:val="auto"/>
          <w:spacing w:val="0"/>
          <w:kern w:val="0"/>
          <w:sz w:val="24"/>
          <w:szCs w:val="24"/>
          <w:highlight w:val="none"/>
          <w:lang w:val="en-US" w:eastAsia="zh-CN" w:bidi="ar"/>
        </w:rPr>
        <w:t>磋商</w:t>
      </w:r>
      <w:r>
        <w:rPr>
          <w:rFonts w:hint="eastAsia" w:ascii="宋体" w:hAnsi="宋体" w:eastAsia="宋体" w:cs="宋体"/>
          <w:b/>
          <w:bCs/>
          <w:color w:val="auto"/>
          <w:spacing w:val="0"/>
          <w:kern w:val="0"/>
          <w:sz w:val="24"/>
          <w:szCs w:val="24"/>
          <w:highlight w:val="none"/>
          <w:lang w:val="en-US" w:eastAsia="zh-CN" w:bidi="ar"/>
        </w:rPr>
        <w:t xml:space="preserve">程序 </w:t>
      </w:r>
    </w:p>
    <w:p w14:paraId="2D1F21B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24.1 </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会议由采购代理机构主持。主持人按照磋商文件规定的</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时间宣布</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，按照规定要求主持</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会。</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将按以下程序进行（但不限于）： </w:t>
      </w:r>
    </w:p>
    <w:p w14:paraId="7D304557">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（1）宣布</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会开始并致辞。 </w:t>
      </w:r>
    </w:p>
    <w:p w14:paraId="06AFDF0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（2）宣布会场纪律和有关注意事项。 </w:t>
      </w:r>
    </w:p>
    <w:p w14:paraId="580897A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（3）宣布参加</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会的现场监督人员和主持人、会议记录等磋商工作人员，根据“响应文件递交登记表”宣布参加磋商的供应商名单。 </w:t>
      </w:r>
    </w:p>
    <w:p w14:paraId="23456F8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（4）宣布检查磋商响应文件的密封情况。由供应商或其推荐的代表与</w:t>
      </w:r>
      <w:r>
        <w:rPr>
          <w:rFonts w:hint="eastAsia" w:ascii="宋体" w:hAnsi="宋体" w:cs="宋体"/>
          <w:color w:val="auto"/>
          <w:spacing w:val="0"/>
          <w:kern w:val="0"/>
          <w:sz w:val="24"/>
          <w:szCs w:val="24"/>
          <w:highlight w:val="none"/>
          <w:lang w:val="en-US" w:eastAsia="zh-CN" w:bidi="ar"/>
        </w:rPr>
        <w:t>监督人员</w:t>
      </w:r>
      <w:r>
        <w:rPr>
          <w:rFonts w:hint="eastAsia" w:ascii="宋体" w:hAnsi="宋体" w:eastAsia="宋体" w:cs="宋体"/>
          <w:color w:val="auto"/>
          <w:spacing w:val="0"/>
          <w:kern w:val="0"/>
          <w:sz w:val="24"/>
          <w:szCs w:val="24"/>
          <w:highlight w:val="none"/>
          <w:lang w:val="en-US" w:eastAsia="zh-CN" w:bidi="ar"/>
        </w:rPr>
        <w:t xml:space="preserve">共同检查磋商响应文件密封情况，经检查无误后，签字确认。 </w:t>
      </w:r>
    </w:p>
    <w:p w14:paraId="5CFAAD0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（5）</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。对磋商响应文件的密封确认无误后，由采购代理机构工作人员按照供应商须知前附表规定的开启顺序当众开启响应文件，公布项目名称、供应商名称等内容，并记录在案</w:t>
      </w:r>
      <w:r>
        <w:rPr>
          <w:rFonts w:hint="eastAsia" w:ascii="宋体" w:hAnsi="宋体" w:cs="宋体"/>
          <w:color w:val="auto"/>
          <w:spacing w:val="0"/>
          <w:kern w:val="0"/>
          <w:sz w:val="24"/>
          <w:szCs w:val="24"/>
          <w:highlight w:val="none"/>
          <w:lang w:val="en-US" w:eastAsia="zh-CN" w:bidi="ar"/>
        </w:rPr>
        <w:t>。</w:t>
      </w:r>
      <w:r>
        <w:rPr>
          <w:rFonts w:hint="eastAsia" w:ascii="宋体" w:hAnsi="宋体" w:eastAsia="宋体" w:cs="宋体"/>
          <w:color w:val="auto"/>
          <w:spacing w:val="0"/>
          <w:kern w:val="0"/>
          <w:sz w:val="24"/>
          <w:szCs w:val="24"/>
          <w:highlight w:val="none"/>
          <w:lang w:val="en-US" w:eastAsia="zh-CN" w:bidi="ar"/>
        </w:rPr>
        <w:t>由</w:t>
      </w:r>
      <w:r>
        <w:rPr>
          <w:rFonts w:hint="eastAsia" w:ascii="宋体" w:hAnsi="宋体" w:cs="宋体"/>
          <w:color w:val="auto"/>
          <w:spacing w:val="0"/>
          <w:kern w:val="0"/>
          <w:sz w:val="24"/>
          <w:szCs w:val="24"/>
          <w:highlight w:val="none"/>
          <w:lang w:val="en-US" w:eastAsia="zh-CN" w:bidi="ar"/>
        </w:rPr>
        <w:t>采购人代表及</w:t>
      </w:r>
      <w:r>
        <w:rPr>
          <w:rFonts w:hint="eastAsia" w:ascii="宋体" w:hAnsi="宋体" w:eastAsia="宋体" w:cs="宋体"/>
          <w:color w:val="auto"/>
          <w:spacing w:val="0"/>
          <w:kern w:val="0"/>
          <w:sz w:val="24"/>
          <w:szCs w:val="24"/>
          <w:highlight w:val="none"/>
          <w:lang w:val="en-US" w:eastAsia="zh-CN" w:bidi="ar"/>
        </w:rPr>
        <w:t>监督</w:t>
      </w:r>
      <w:r>
        <w:rPr>
          <w:rFonts w:hint="eastAsia" w:ascii="宋体" w:hAnsi="宋体" w:cs="宋体"/>
          <w:color w:val="auto"/>
          <w:spacing w:val="0"/>
          <w:kern w:val="0"/>
          <w:sz w:val="24"/>
          <w:szCs w:val="24"/>
          <w:highlight w:val="none"/>
          <w:lang w:val="en-US" w:eastAsia="zh-CN" w:bidi="ar"/>
        </w:rPr>
        <w:t>人员</w:t>
      </w:r>
      <w:r>
        <w:rPr>
          <w:rFonts w:hint="eastAsia" w:ascii="宋体" w:hAnsi="宋体" w:eastAsia="宋体" w:cs="宋体"/>
          <w:color w:val="auto"/>
          <w:spacing w:val="0"/>
          <w:kern w:val="0"/>
          <w:sz w:val="24"/>
          <w:szCs w:val="24"/>
          <w:highlight w:val="none"/>
          <w:lang w:val="en-US" w:eastAsia="zh-CN" w:bidi="ar"/>
        </w:rPr>
        <w:t>签字确认。</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过程由采购代理机构指定专人记录。</w:t>
      </w:r>
    </w:p>
    <w:p w14:paraId="440FB0A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（6）磋商小组集中与各供应商分别进行磋商，并给所有参加磋商供应商平等的磋商机会</w:t>
      </w:r>
    </w:p>
    <w:p w14:paraId="460D274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7</w:t>
      </w:r>
      <w:r>
        <w:rPr>
          <w:rFonts w:hint="eastAsia" w:ascii="宋体" w:hAnsi="宋体" w:eastAsia="宋体" w:cs="宋体"/>
          <w:color w:val="auto"/>
          <w:spacing w:val="0"/>
          <w:kern w:val="0"/>
          <w:sz w:val="24"/>
          <w:szCs w:val="24"/>
          <w:highlight w:val="none"/>
          <w:lang w:val="en-US" w:eastAsia="zh-CN" w:bidi="ar"/>
        </w:rPr>
        <w:t>）宣布</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会结束。 </w:t>
      </w:r>
    </w:p>
    <w:p w14:paraId="0A01B86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highlight w:val="none"/>
        </w:rPr>
      </w:pPr>
      <w:r>
        <w:rPr>
          <w:rFonts w:hint="eastAsia" w:ascii="宋体" w:hAnsi="宋体" w:eastAsia="宋体" w:cs="宋体"/>
          <w:color w:val="auto"/>
          <w:spacing w:val="0"/>
          <w:kern w:val="0"/>
          <w:sz w:val="24"/>
          <w:szCs w:val="24"/>
          <w:highlight w:val="none"/>
          <w:lang w:val="en-US" w:eastAsia="zh-CN" w:bidi="ar"/>
        </w:rPr>
        <w:t>24.2 采购代理机构对</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过程进行文字记录，并存档备查。 </w:t>
      </w:r>
    </w:p>
    <w:p w14:paraId="5F7A5185">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六、评标 </w:t>
      </w:r>
    </w:p>
    <w:p w14:paraId="1F09FED0">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25.磋商小组 </w:t>
      </w:r>
    </w:p>
    <w:p w14:paraId="26A9F24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25.1 </w:t>
      </w:r>
      <w:r>
        <w:rPr>
          <w:rFonts w:hint="eastAsia" w:ascii="宋体" w:hAnsi="宋体" w:eastAsia="宋体" w:cs="宋体"/>
          <w:color w:val="auto"/>
          <w:spacing w:val="0"/>
          <w:sz w:val="24"/>
          <w:szCs w:val="24"/>
          <w:highlight w:val="none"/>
        </w:rPr>
        <w:t>磋商小组由采购人代表和评审专家组成，采购人代表和评审专家人数见供应商须知前附表</w:t>
      </w:r>
      <w:r>
        <w:rPr>
          <w:rFonts w:hint="eastAsia" w:ascii="宋体" w:hAnsi="宋体" w:eastAsia="宋体" w:cs="宋体"/>
          <w:color w:val="auto"/>
          <w:spacing w:val="0"/>
          <w:kern w:val="0"/>
          <w:sz w:val="24"/>
          <w:szCs w:val="24"/>
          <w:highlight w:val="none"/>
          <w:lang w:val="en-US" w:eastAsia="zh-CN" w:bidi="ar"/>
        </w:rPr>
        <w:t>。磋商小组于</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前在专家库中随机抽取。 </w:t>
      </w:r>
    </w:p>
    <w:p w14:paraId="383BA9E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25.2 </w:t>
      </w:r>
      <w:r>
        <w:rPr>
          <w:rFonts w:hint="eastAsia" w:ascii="宋体" w:hAnsi="宋体" w:eastAsia="宋体" w:cs="宋体"/>
          <w:color w:val="auto"/>
          <w:spacing w:val="0"/>
          <w:sz w:val="24"/>
          <w:szCs w:val="24"/>
          <w:highlight w:val="none"/>
        </w:rPr>
        <w:t>磋商小组</w:t>
      </w:r>
      <w:r>
        <w:rPr>
          <w:rFonts w:hint="eastAsia" w:ascii="宋体" w:hAnsi="宋体" w:eastAsia="宋体" w:cs="宋体"/>
          <w:color w:val="auto"/>
          <w:spacing w:val="0"/>
          <w:kern w:val="0"/>
          <w:sz w:val="24"/>
          <w:szCs w:val="24"/>
          <w:highlight w:val="none"/>
          <w:lang w:val="en-US" w:eastAsia="zh-CN" w:bidi="ar"/>
        </w:rPr>
        <w:t xml:space="preserve">成员到位后，推荐一名评审专家担任组长，并由评审组长负责组织该项目评审工作。 </w:t>
      </w:r>
    </w:p>
    <w:p w14:paraId="64118A0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25.3 磋商小组成员有下列情形之一的，应当回避： </w:t>
      </w:r>
    </w:p>
    <w:p w14:paraId="45F5E6DB">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（1）参加采购活动前3年内与供应商存在劳动关系；</w:t>
      </w:r>
    </w:p>
    <w:p w14:paraId="18E88496">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（2）参加采购活动前3年内担任供应商的董事、监事</w:t>
      </w:r>
      <w:r>
        <w:rPr>
          <w:rFonts w:hint="eastAsia" w:ascii="宋体" w:hAnsi="宋体" w:cs="宋体"/>
          <w:color w:val="auto"/>
          <w:spacing w:val="0"/>
          <w:sz w:val="24"/>
          <w:szCs w:val="24"/>
          <w:highlight w:val="none"/>
          <w:lang w:eastAsia="zh-CN"/>
        </w:rPr>
        <w:t>；</w:t>
      </w:r>
    </w:p>
    <w:p w14:paraId="4E12C5EE">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（3）参加采购活动前3年内是供应商的控</w:t>
      </w:r>
      <w:r>
        <w:rPr>
          <w:rFonts w:hint="eastAsia" w:ascii="宋体" w:hAnsi="宋体" w:cs="宋体"/>
          <w:color w:val="auto"/>
          <w:spacing w:val="0"/>
          <w:sz w:val="24"/>
          <w:szCs w:val="24"/>
          <w:highlight w:val="none"/>
          <w:lang w:eastAsia="zh-CN"/>
        </w:rPr>
        <w:t>股</w:t>
      </w:r>
      <w:r>
        <w:rPr>
          <w:rFonts w:hint="eastAsia" w:ascii="宋体" w:hAnsi="宋体" w:eastAsia="宋体" w:cs="宋体"/>
          <w:color w:val="auto"/>
          <w:spacing w:val="0"/>
          <w:sz w:val="24"/>
          <w:szCs w:val="24"/>
          <w:highlight w:val="none"/>
        </w:rPr>
        <w:t>股东或者实际</w:t>
      </w:r>
      <w:r>
        <w:rPr>
          <w:rFonts w:hint="eastAsia" w:ascii="宋体" w:hAnsi="宋体" w:cs="宋体"/>
          <w:color w:val="auto"/>
          <w:spacing w:val="0"/>
          <w:sz w:val="24"/>
          <w:szCs w:val="24"/>
          <w:highlight w:val="none"/>
          <w:lang w:eastAsia="zh-CN"/>
        </w:rPr>
        <w:t>控</w:t>
      </w:r>
      <w:r>
        <w:rPr>
          <w:rFonts w:hint="eastAsia" w:ascii="宋体" w:hAnsi="宋体" w:eastAsia="宋体" w:cs="宋体"/>
          <w:color w:val="auto"/>
          <w:spacing w:val="0"/>
          <w:sz w:val="24"/>
          <w:szCs w:val="24"/>
          <w:highlight w:val="none"/>
        </w:rPr>
        <w:t>制人；</w:t>
      </w:r>
    </w:p>
    <w:p w14:paraId="332F252A">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（4）与供应商的法定代表人或者负责人有夫妻、直系血亲、三代以内旁系血亲或者近姻关系；</w:t>
      </w:r>
    </w:p>
    <w:p w14:paraId="7A8A85F4">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（5）曾因在招标、评标以及其他与招标投标有关活动中从事违法行为而受过行政处罚或刑事处罚的</w:t>
      </w:r>
      <w:r>
        <w:rPr>
          <w:rFonts w:hint="eastAsia" w:ascii="宋体" w:hAnsi="宋体" w:cs="宋体"/>
          <w:color w:val="auto"/>
          <w:spacing w:val="0"/>
          <w:sz w:val="24"/>
          <w:szCs w:val="24"/>
          <w:highlight w:val="none"/>
          <w:lang w:eastAsia="zh-CN"/>
        </w:rPr>
        <w:t>；</w:t>
      </w:r>
    </w:p>
    <w:p w14:paraId="561AC51C">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sz w:val="24"/>
          <w:szCs w:val="24"/>
          <w:highlight w:val="none"/>
        </w:rPr>
        <w:t>（6）与供应商有其他可能影响政府采购活动公平、公正进行的关系。</w:t>
      </w:r>
      <w:r>
        <w:rPr>
          <w:rFonts w:hint="eastAsia" w:ascii="宋体" w:hAnsi="宋体" w:eastAsia="宋体" w:cs="宋体"/>
          <w:color w:val="auto"/>
          <w:spacing w:val="0"/>
          <w:kern w:val="0"/>
          <w:sz w:val="24"/>
          <w:szCs w:val="24"/>
          <w:highlight w:val="none"/>
          <w:lang w:val="en-US" w:eastAsia="zh-CN" w:bidi="ar"/>
        </w:rPr>
        <w:t xml:space="preserve"> </w:t>
      </w:r>
    </w:p>
    <w:p w14:paraId="40853580">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26.评标原则 </w:t>
      </w:r>
    </w:p>
    <w:p w14:paraId="7DDD541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26.1 评标原则应遵循公平、公正、科学和择优的原则。</w:t>
      </w:r>
    </w:p>
    <w:p w14:paraId="07F42AE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26.2 磋商小组有权对整个磋商过程中出现的一切问题，根据《中华人民共和国政府采购法》、《中华人民共和国政府采购法实施条例》、《政府采购竞争性磋商采购方式管理暂行办法》以及《财政部关于政府采购争性磋商采购方式管理暂行办法</w:t>
      </w:r>
      <w:r>
        <w:rPr>
          <w:rFonts w:hint="eastAsia" w:ascii="宋体" w:hAnsi="宋体" w:cs="宋体"/>
          <w:color w:val="auto"/>
          <w:spacing w:val="0"/>
          <w:kern w:val="0"/>
          <w:sz w:val="24"/>
          <w:szCs w:val="24"/>
          <w:highlight w:val="none"/>
          <w:lang w:val="en-US" w:eastAsia="zh-CN" w:bidi="ar"/>
        </w:rPr>
        <w:t>有关问题的补充通知</w:t>
      </w:r>
      <w:r>
        <w:rPr>
          <w:rFonts w:hint="eastAsia" w:ascii="宋体" w:hAnsi="宋体" w:eastAsia="宋体" w:cs="宋体"/>
          <w:color w:val="auto"/>
          <w:spacing w:val="0"/>
          <w:kern w:val="0"/>
          <w:sz w:val="24"/>
          <w:szCs w:val="24"/>
          <w:highlight w:val="none"/>
          <w:lang w:val="en-US" w:eastAsia="zh-CN" w:bidi="ar"/>
        </w:rPr>
        <w:t xml:space="preserve">》等相关规定进行处理。 </w:t>
      </w:r>
    </w:p>
    <w:p w14:paraId="57E712AD">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27. 评标 </w:t>
      </w:r>
    </w:p>
    <w:p w14:paraId="0D66BFB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27.1 磋商小组严格按照磋商文件规定的评标方法及标准对各磋商响应文件进行评审。 </w:t>
      </w:r>
    </w:p>
    <w:p w14:paraId="27A548E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27.2 磋商小组独立履行下列职责： </w:t>
      </w:r>
    </w:p>
    <w:p w14:paraId="676FD5F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（1）审查磋商响应文件是否符合磋商文件要求，并作出评价； </w:t>
      </w:r>
    </w:p>
    <w:p w14:paraId="1C2CE4A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（2）要求供应商对磋商响应文件有关事项作出解释或者澄清； </w:t>
      </w:r>
    </w:p>
    <w:p w14:paraId="38BDF71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（3）推荐</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候选供应商名单，或者受采购人委托按照事先确定的办法直接确定</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供应商； </w:t>
      </w:r>
    </w:p>
    <w:p w14:paraId="7A804B7B">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（4）向采购人或者有关部门报告非法干预评标工作的行为。 </w:t>
      </w:r>
    </w:p>
    <w:p w14:paraId="2260254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27.3 评标过程严格保密 </w:t>
      </w:r>
    </w:p>
    <w:p w14:paraId="215B0F3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后，直至授予</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人合同为止，凡属于对磋商响应文件的审查、澄清、评价和比较的有关资料以及</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候选人的推荐情况，与评标有关的其他任何情况均严格保密；</w:t>
      </w:r>
    </w:p>
    <w:p w14:paraId="669962D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（2）供应商对磋商小组的评标过程或合同授予决定施加影响的任何行为都可能导致其磋商被拒绝。 </w:t>
      </w:r>
    </w:p>
    <w:p w14:paraId="67E9B42D">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七、定标 </w:t>
      </w:r>
    </w:p>
    <w:p w14:paraId="7F762423">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default" w:ascii="宋体" w:hAnsi="宋体" w:eastAsia="宋体" w:cs="宋体"/>
          <w:b/>
          <w:bCs/>
          <w:color w:val="auto"/>
          <w:spacing w:val="0"/>
          <w:kern w:val="2"/>
          <w:sz w:val="24"/>
          <w:szCs w:val="24"/>
          <w:highlight w:val="none"/>
          <w:lang w:val="en-US" w:eastAsia="zh-CN" w:bidi="ar-SA"/>
        </w:rPr>
      </w:pPr>
      <w:r>
        <w:rPr>
          <w:rFonts w:hint="eastAsia" w:ascii="宋体" w:hAnsi="宋体" w:cs="宋体"/>
          <w:b/>
          <w:bCs/>
          <w:color w:val="auto"/>
          <w:spacing w:val="0"/>
          <w:kern w:val="2"/>
          <w:sz w:val="24"/>
          <w:szCs w:val="24"/>
          <w:highlight w:val="none"/>
          <w:lang w:val="en-US" w:eastAsia="zh-CN" w:bidi="ar-SA"/>
        </w:rPr>
        <w:t>28、定标</w:t>
      </w:r>
    </w:p>
    <w:p w14:paraId="57107F85">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28.1 确定成交供应商方式</w:t>
      </w:r>
    </w:p>
    <w:p w14:paraId="7E4DFBD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采购人应当自收到评审报告之日起</w:t>
      </w:r>
      <w:r>
        <w:rPr>
          <w:rFonts w:hint="eastAsia" w:ascii="宋体" w:hAnsi="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个工作日内，从评审报告提出的成交候选供应商中，按照得分排序由高到低的原则确定成交供应商。</w:t>
      </w:r>
    </w:p>
    <w:p w14:paraId="7D311956">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28.2 成交公告</w:t>
      </w:r>
    </w:p>
    <w:p w14:paraId="2710A5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pacing w:val="0"/>
          <w:sz w:val="24"/>
          <w:szCs w:val="24"/>
          <w:highlight w:val="none"/>
        </w:rPr>
      </w:pPr>
      <w:r>
        <w:rPr>
          <w:rFonts w:hint="eastAsia" w:ascii="宋体" w:hAnsi="宋体"/>
          <w:color w:val="auto"/>
          <w:spacing w:val="0"/>
          <w:sz w:val="24"/>
          <w:szCs w:val="24"/>
          <w:highlight w:val="none"/>
        </w:rPr>
        <w:t xml:space="preserve"> （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47741B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bCs/>
          <w:color w:val="auto"/>
          <w:spacing w:val="0"/>
          <w:kern w:val="44"/>
          <w:sz w:val="24"/>
          <w:szCs w:val="24"/>
          <w:highlight w:val="none"/>
          <w:lang w:val="en-US" w:eastAsia="zh-CN" w:bidi="ar-SA"/>
        </w:rPr>
      </w:pPr>
      <w:r>
        <w:rPr>
          <w:rFonts w:hint="eastAsia" w:ascii="宋体" w:hAnsi="宋体"/>
          <w:color w:val="auto"/>
          <w:spacing w:val="0"/>
          <w:sz w:val="24"/>
          <w:szCs w:val="24"/>
          <w:highlight w:val="none"/>
        </w:rPr>
        <w:t xml:space="preserve"> （2）采购代理机构收到采购人“成交复函”后，二个工作日内在</w:t>
      </w:r>
      <w:r>
        <w:rPr>
          <w:rFonts w:hint="eastAsia" w:ascii="宋体" w:hAnsi="宋体"/>
          <w:color w:val="auto"/>
          <w:spacing w:val="0"/>
          <w:sz w:val="24"/>
          <w:szCs w:val="24"/>
          <w:highlight w:val="none"/>
          <w:lang w:val="en-US" w:eastAsia="zh-CN"/>
        </w:rPr>
        <w:t>《陕西采购与招标网》</w:t>
      </w:r>
      <w:r>
        <w:rPr>
          <w:rFonts w:hint="eastAsia" w:ascii="宋体" w:hAnsi="宋体"/>
          <w:color w:val="auto"/>
          <w:spacing w:val="0"/>
          <w:sz w:val="24"/>
          <w:szCs w:val="24"/>
          <w:highlight w:val="none"/>
        </w:rPr>
        <w:t>上发布公告，公示期无异议后，向成交供应商发出“成交通知书”。</w:t>
      </w:r>
    </w:p>
    <w:p w14:paraId="2699AAC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28.3</w:t>
      </w:r>
      <w:r>
        <w:rPr>
          <w:rFonts w:hint="eastAsia" w:ascii="宋体" w:hAnsi="宋体" w:cs="宋体"/>
          <w:b/>
          <w:bCs/>
          <w:color w:val="auto"/>
          <w:spacing w:val="0"/>
          <w:kern w:val="2"/>
          <w:sz w:val="24"/>
          <w:szCs w:val="24"/>
          <w:highlight w:val="none"/>
          <w:lang w:val="en-US" w:eastAsia="zh-CN" w:bidi="ar-SA"/>
        </w:rPr>
        <w:t xml:space="preserve"> </w:t>
      </w:r>
      <w:r>
        <w:rPr>
          <w:rFonts w:hint="eastAsia" w:ascii="宋体" w:hAnsi="宋体" w:eastAsia="宋体" w:cs="宋体"/>
          <w:b/>
          <w:bCs/>
          <w:color w:val="auto"/>
          <w:spacing w:val="0"/>
          <w:kern w:val="2"/>
          <w:sz w:val="24"/>
          <w:szCs w:val="24"/>
          <w:highlight w:val="none"/>
          <w:lang w:val="en-US" w:eastAsia="zh-CN" w:bidi="ar-SA"/>
        </w:rPr>
        <w:t>成交结果质疑</w:t>
      </w:r>
    </w:p>
    <w:p w14:paraId="79A849D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供应商认为成交结果使自己的权益受到损害的，可以在知道或者应知其权益受到损害之日起7个工作日内，以书面形式一次性向采购人、采购代理机构提出质疑。</w:t>
      </w:r>
    </w:p>
    <w:p w14:paraId="439A4089">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28.4</w:t>
      </w:r>
      <w:r>
        <w:rPr>
          <w:rFonts w:hint="eastAsia" w:ascii="宋体" w:hAnsi="宋体" w:cs="宋体"/>
          <w:b/>
          <w:bCs/>
          <w:color w:val="auto"/>
          <w:spacing w:val="0"/>
          <w:kern w:val="2"/>
          <w:sz w:val="24"/>
          <w:szCs w:val="24"/>
          <w:highlight w:val="none"/>
          <w:lang w:val="en-US" w:eastAsia="zh-CN" w:bidi="ar-SA"/>
        </w:rPr>
        <w:t xml:space="preserve"> </w:t>
      </w:r>
      <w:r>
        <w:rPr>
          <w:rFonts w:hint="eastAsia" w:ascii="宋体" w:hAnsi="宋体" w:eastAsia="宋体" w:cs="宋体"/>
          <w:b/>
          <w:bCs/>
          <w:color w:val="auto"/>
          <w:spacing w:val="0"/>
          <w:kern w:val="2"/>
          <w:sz w:val="24"/>
          <w:szCs w:val="24"/>
          <w:highlight w:val="none"/>
          <w:lang w:val="en-US" w:eastAsia="zh-CN" w:bidi="ar-SA"/>
        </w:rPr>
        <w:t>成交供应商履约能力审查</w:t>
      </w:r>
    </w:p>
    <w:p w14:paraId="61EB251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成交供应商的经营、财务状况发生较大变化或存在违法行为，采购人认为可能影响其履约能力的，将在发出成交通知书前提请原磋商小组按照磋商文件规定的标准和方法进行审查确认。</w:t>
      </w:r>
    </w:p>
    <w:p w14:paraId="21EC540A">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28.5 成交通知</w:t>
      </w:r>
    </w:p>
    <w:p w14:paraId="5BF0BCF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在公告成交结果的同时，采购人以书面形式向成交供应商发出成交通知书，同时将成交结果通知其他参加磋商的供应商。</w:t>
      </w:r>
    </w:p>
    <w:p w14:paraId="094180E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成交通知书发出后，采购人不得违法改变成交结果，成交供应商无正当理由不得放弃。</w:t>
      </w:r>
    </w:p>
    <w:p w14:paraId="526D3527">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cs="宋体"/>
          <w:b/>
          <w:bCs/>
          <w:color w:val="auto"/>
          <w:spacing w:val="0"/>
          <w:kern w:val="2"/>
          <w:sz w:val="24"/>
          <w:szCs w:val="24"/>
          <w:highlight w:val="none"/>
          <w:lang w:val="en-US" w:eastAsia="zh-CN" w:bidi="ar-SA"/>
        </w:rPr>
        <w:t>28</w:t>
      </w:r>
      <w:r>
        <w:rPr>
          <w:rFonts w:hint="eastAsia" w:ascii="宋体" w:hAnsi="宋体" w:eastAsia="宋体" w:cs="宋体"/>
          <w:b/>
          <w:bCs/>
          <w:color w:val="auto"/>
          <w:spacing w:val="0"/>
          <w:kern w:val="2"/>
          <w:sz w:val="24"/>
          <w:szCs w:val="24"/>
          <w:highlight w:val="none"/>
          <w:lang w:val="en-US" w:eastAsia="zh-CN" w:bidi="ar-SA"/>
        </w:rPr>
        <w:t>.</w:t>
      </w:r>
      <w:r>
        <w:rPr>
          <w:rFonts w:hint="eastAsia" w:ascii="宋体" w:hAnsi="宋体" w:cs="宋体"/>
          <w:b/>
          <w:bCs/>
          <w:color w:val="auto"/>
          <w:spacing w:val="0"/>
          <w:kern w:val="2"/>
          <w:sz w:val="24"/>
          <w:szCs w:val="24"/>
          <w:highlight w:val="none"/>
          <w:lang w:val="en-US" w:eastAsia="zh-CN" w:bidi="ar-SA"/>
        </w:rPr>
        <w:t xml:space="preserve">6 </w:t>
      </w:r>
      <w:r>
        <w:rPr>
          <w:rFonts w:hint="eastAsia" w:ascii="宋体" w:hAnsi="宋体" w:eastAsia="宋体" w:cs="宋体"/>
          <w:b/>
          <w:bCs/>
          <w:color w:val="auto"/>
          <w:spacing w:val="0"/>
          <w:kern w:val="2"/>
          <w:sz w:val="24"/>
          <w:szCs w:val="24"/>
          <w:highlight w:val="none"/>
          <w:lang w:val="en-US" w:eastAsia="zh-CN" w:bidi="ar-SA"/>
        </w:rPr>
        <w:t>签订合同</w:t>
      </w:r>
    </w:p>
    <w:p w14:paraId="41151C8B">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.1</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采购人应当自成交通知书发出之日起</w:t>
      </w:r>
      <w:r>
        <w:rPr>
          <w:rFonts w:hint="eastAsia" w:ascii="宋体" w:hAnsi="宋体" w:cs="宋体"/>
          <w:color w:val="auto"/>
          <w:spacing w:val="0"/>
          <w:sz w:val="24"/>
          <w:szCs w:val="24"/>
          <w:highlight w:val="none"/>
          <w:lang w:val="en-US" w:eastAsia="zh-CN"/>
        </w:rPr>
        <w:t>25</w:t>
      </w:r>
      <w:r>
        <w:rPr>
          <w:rFonts w:hint="eastAsia" w:ascii="宋体" w:hAnsi="宋体" w:eastAsia="宋体" w:cs="宋体"/>
          <w:color w:val="auto"/>
          <w:spacing w:val="0"/>
          <w:sz w:val="24"/>
          <w:szCs w:val="24"/>
          <w:highlight w:val="none"/>
        </w:rPr>
        <w:t>日内，按照磋商文件和成交供应商响应文件的规定，与成交供应商签订书面合同。所签订的合同不得对磋商文件确定的事项和成交供应商响应文件作实质性修改。</w:t>
      </w:r>
    </w:p>
    <w:p w14:paraId="1107BAA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采购人不得向成交供应商提出任何不合理的要求作为签订合同的条件。</w:t>
      </w:r>
    </w:p>
    <w:p w14:paraId="49A517E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.2</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成交供应商无正当理由拒签合同的，采购人取消其成交资格。</w:t>
      </w:r>
    </w:p>
    <w:p w14:paraId="56488C51">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.3</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发出成交通知书后，采购人无正当理由拒签合同的，给成交供应商造成损失的，应当赔偿损失。</w:t>
      </w:r>
    </w:p>
    <w:p w14:paraId="75E42D6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.4</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成交供应商拒绝签订合同的，采购人可以确定其他供应商作为成交供应商并签订合同，也可以重新开展采购活动。拒绝签订合同的成交供应商不得参加对该项目重新开展的采购活动。</w:t>
      </w:r>
    </w:p>
    <w:p w14:paraId="11FD9594">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.5</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联合体成交的，联合体各方应当共同与采购人签订合同，就成交项目向采购人承担连带责任。</w:t>
      </w:r>
    </w:p>
    <w:p w14:paraId="09EEDFC4">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八、代理服务费 </w:t>
      </w:r>
    </w:p>
    <w:p w14:paraId="2297EB38">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2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29. </w:t>
      </w:r>
      <w:r>
        <w:rPr>
          <w:rFonts w:hint="eastAsia" w:ascii="宋体" w:hAnsi="宋体" w:eastAsia="宋体" w:cs="宋体"/>
          <w:b/>
          <w:bCs/>
          <w:color w:val="auto"/>
          <w:spacing w:val="20"/>
          <w:kern w:val="0"/>
          <w:sz w:val="24"/>
          <w:szCs w:val="24"/>
          <w:highlight w:val="none"/>
          <w:lang w:val="en-US" w:eastAsia="zh-CN" w:bidi="ar"/>
        </w:rPr>
        <w:t xml:space="preserve">代理服务费的数额及交纳方式 </w:t>
      </w:r>
    </w:p>
    <w:p w14:paraId="29376CB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29.1 </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供应商在领取《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通知书》之前，应向采购代理机构交纳代理服务费。</w:t>
      </w:r>
    </w:p>
    <w:p w14:paraId="2D8D50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pacing w:val="0"/>
          <w:kern w:val="0"/>
          <w:sz w:val="24"/>
          <w:szCs w:val="24"/>
          <w:highlight w:val="none"/>
          <w:lang w:val="en-US" w:eastAsia="zh-CN" w:bidi="ar"/>
        </w:rPr>
        <w:t xml:space="preserve">29.2 </w:t>
      </w:r>
      <w:r>
        <w:rPr>
          <w:rFonts w:hint="eastAsia" w:ascii="宋体" w:hAnsi="宋体" w:eastAsia="宋体" w:cs="宋体"/>
          <w:b w:val="0"/>
          <w:bCs w:val="0"/>
          <w:color w:val="auto"/>
          <w:sz w:val="24"/>
          <w:szCs w:val="24"/>
          <w:highlight w:val="none"/>
          <w:lang w:eastAsia="zh-CN"/>
        </w:rPr>
        <w:t>招标代理服务费的计算方法：以成交金额为基数，参照国家计委颁布《招标代理服务收费管理暂行办法》（计价格[2002]1980号）和国家发展改革委员会办公厅颁发的《关于招标代理服务收费有关问题的通知》（发改办价格[2003]857号）文件规定执行。</w:t>
      </w:r>
    </w:p>
    <w:p w14:paraId="50EAE03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29.3 代理服务费以转账、电汇或现金等形式交纳。不得用磋商保证金冲抵。 </w:t>
      </w:r>
    </w:p>
    <w:p w14:paraId="519963E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29.4 </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供应商未按 29.1 条款规定交纳磋商代理服务费的，采购代理机构</w:t>
      </w:r>
      <w:r>
        <w:rPr>
          <w:rFonts w:hint="eastAsia" w:ascii="宋体" w:hAnsi="宋体" w:cs="宋体"/>
          <w:color w:val="auto"/>
          <w:spacing w:val="0"/>
          <w:kern w:val="0"/>
          <w:sz w:val="24"/>
          <w:szCs w:val="24"/>
          <w:highlight w:val="none"/>
          <w:lang w:val="en-US" w:eastAsia="zh-CN" w:bidi="ar"/>
        </w:rPr>
        <w:t>有权不予退还</w:t>
      </w:r>
      <w:r>
        <w:rPr>
          <w:rFonts w:hint="eastAsia" w:ascii="宋体" w:hAnsi="宋体" w:eastAsia="宋体" w:cs="宋体"/>
          <w:color w:val="auto"/>
          <w:spacing w:val="0"/>
          <w:kern w:val="0"/>
          <w:sz w:val="24"/>
          <w:szCs w:val="24"/>
          <w:highlight w:val="none"/>
          <w:lang w:val="en-US" w:eastAsia="zh-CN" w:bidi="ar"/>
        </w:rPr>
        <w:t xml:space="preserve">其磋商保证金。 </w:t>
      </w:r>
    </w:p>
    <w:p w14:paraId="54E4C1C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29.5 </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单位服务费交纳信息 </w:t>
      </w:r>
    </w:p>
    <w:p w14:paraId="0E00BBC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outlineLvl w:val="1"/>
        <w:rPr>
          <w:rFonts w:hint="eastAsia" w:ascii="宋体" w:hAnsi="宋体" w:eastAsia="宋体" w:cs="宋体"/>
          <w:b w:val="0"/>
          <w:bCs w:val="0"/>
          <w:color w:val="auto"/>
          <w:spacing w:val="0"/>
          <w:kern w:val="0"/>
          <w:sz w:val="24"/>
          <w:szCs w:val="24"/>
          <w:highlight w:val="none"/>
          <w:lang w:val="en-US" w:eastAsia="zh-CN" w:bidi="ar"/>
        </w:rPr>
      </w:pPr>
      <w:r>
        <w:rPr>
          <w:rFonts w:hint="eastAsia" w:ascii="宋体" w:hAnsi="宋体" w:eastAsia="宋体" w:cs="宋体"/>
          <w:b w:val="0"/>
          <w:bCs w:val="0"/>
          <w:color w:val="auto"/>
          <w:spacing w:val="0"/>
          <w:kern w:val="0"/>
          <w:sz w:val="24"/>
          <w:szCs w:val="24"/>
          <w:highlight w:val="none"/>
          <w:lang w:val="en-US" w:eastAsia="zh-CN" w:bidi="ar"/>
        </w:rPr>
        <w:t>户  名：陕西中海招标有限公司</w:t>
      </w:r>
    </w:p>
    <w:p w14:paraId="082A6B5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outlineLvl w:val="1"/>
        <w:rPr>
          <w:rFonts w:hint="eastAsia" w:ascii="宋体" w:hAnsi="宋体" w:eastAsia="宋体" w:cs="宋体"/>
          <w:b w:val="0"/>
          <w:bCs w:val="0"/>
          <w:color w:val="auto"/>
          <w:spacing w:val="0"/>
          <w:kern w:val="0"/>
          <w:sz w:val="24"/>
          <w:szCs w:val="24"/>
          <w:highlight w:val="none"/>
          <w:lang w:val="en-US" w:eastAsia="zh-CN" w:bidi="ar"/>
        </w:rPr>
      </w:pPr>
      <w:r>
        <w:rPr>
          <w:rFonts w:hint="eastAsia" w:ascii="宋体" w:hAnsi="宋体" w:eastAsia="宋体" w:cs="宋体"/>
          <w:b w:val="0"/>
          <w:bCs w:val="0"/>
          <w:color w:val="auto"/>
          <w:spacing w:val="0"/>
          <w:kern w:val="0"/>
          <w:sz w:val="24"/>
          <w:szCs w:val="24"/>
          <w:highlight w:val="none"/>
          <w:lang w:val="en-US" w:eastAsia="zh-CN" w:bidi="ar"/>
        </w:rPr>
        <w:t>开户行：中国银行西安二环世纪星支行营业部</w:t>
      </w:r>
    </w:p>
    <w:p w14:paraId="2DF3D8FC">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outlineLvl w:val="1"/>
        <w:rPr>
          <w:rFonts w:hint="eastAsia" w:ascii="宋体" w:hAnsi="宋体" w:eastAsia="宋体" w:cs="宋体"/>
          <w:b w:val="0"/>
          <w:bCs w:val="0"/>
          <w:color w:val="auto"/>
          <w:spacing w:val="0"/>
          <w:kern w:val="0"/>
          <w:sz w:val="24"/>
          <w:szCs w:val="24"/>
          <w:highlight w:val="none"/>
          <w:lang w:val="en-US" w:eastAsia="zh-CN" w:bidi="ar"/>
        </w:rPr>
      </w:pPr>
      <w:r>
        <w:rPr>
          <w:rFonts w:hint="eastAsia" w:ascii="宋体" w:hAnsi="宋体" w:eastAsia="宋体" w:cs="宋体"/>
          <w:b w:val="0"/>
          <w:bCs w:val="0"/>
          <w:color w:val="auto"/>
          <w:spacing w:val="0"/>
          <w:kern w:val="0"/>
          <w:sz w:val="24"/>
          <w:szCs w:val="24"/>
          <w:highlight w:val="none"/>
          <w:lang w:val="en-US" w:eastAsia="zh-CN" w:bidi="ar"/>
        </w:rPr>
        <w:t>行  号：1047 9100 3702</w:t>
      </w:r>
    </w:p>
    <w:p w14:paraId="5FD0D89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outlineLvl w:val="1"/>
        <w:rPr>
          <w:rFonts w:hint="eastAsia" w:ascii="宋体" w:hAnsi="宋体" w:eastAsia="宋体" w:cs="宋体"/>
          <w:b w:val="0"/>
          <w:bCs w:val="0"/>
          <w:color w:val="auto"/>
          <w:spacing w:val="0"/>
          <w:kern w:val="0"/>
          <w:sz w:val="24"/>
          <w:szCs w:val="24"/>
          <w:highlight w:val="none"/>
          <w:lang w:val="en-US" w:eastAsia="zh-CN" w:bidi="ar"/>
        </w:rPr>
      </w:pPr>
      <w:r>
        <w:rPr>
          <w:rFonts w:hint="eastAsia" w:ascii="宋体" w:hAnsi="宋体" w:eastAsia="宋体" w:cs="宋体"/>
          <w:b w:val="0"/>
          <w:bCs w:val="0"/>
          <w:color w:val="auto"/>
          <w:spacing w:val="0"/>
          <w:kern w:val="0"/>
          <w:sz w:val="24"/>
          <w:szCs w:val="24"/>
          <w:highlight w:val="none"/>
          <w:lang w:val="en-US" w:eastAsia="zh-CN" w:bidi="ar"/>
        </w:rPr>
        <w:t>账  号：1020 0176 8739</w:t>
      </w:r>
    </w:p>
    <w:p w14:paraId="6509333E">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九、质疑与投诉 </w:t>
      </w:r>
    </w:p>
    <w:p w14:paraId="0D1C3C1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30. 质疑 </w:t>
      </w:r>
    </w:p>
    <w:p w14:paraId="5D4B918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30.1 质疑与投诉事宜依据《中华人民共和国政府采购法》、《中华人民共和国财政部令（第 20 号）》、《政府采购法实施条例（国务院第 658 号令）》及《陕财办采资（2016）53 号》规定执行。</w:t>
      </w:r>
    </w:p>
    <w:p w14:paraId="3AB622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30.2 出现供应商认为采购文件、采购过程和</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成交结果使自己的权益受到损害的，可以在知道或者应知其权益受到损害之日起七个工作日内，以书面形式向采购人提出质疑。供应商应知其权益受到损害之日，是指：对可以质疑的采购文件提出质疑的，为收到采购文件之日或者采购文件公告期限届满之日；对采购过程提出质疑的，为各采购程序环节结束之日；对</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或者成交结果提出质疑的，为</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或者成交结果公告期限届满之日。 </w:t>
      </w:r>
    </w:p>
    <w:p w14:paraId="1448A9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30.3 采购人或者采购代理机构应当在3个工作日内对供应商依法提出的询问作出答复。供应商提出的询问或者质疑超出采购人对采购代理机构委托授权范围的，采购代理机构应当告知供应商向采购人提出。</w:t>
      </w:r>
      <w:r>
        <w:rPr>
          <w:rFonts w:hint="eastAsia" w:ascii="宋体" w:hAnsi="宋体" w:cs="宋体"/>
          <w:color w:val="auto"/>
          <w:spacing w:val="0"/>
          <w:kern w:val="0"/>
          <w:sz w:val="24"/>
          <w:szCs w:val="24"/>
          <w:highlight w:val="none"/>
          <w:lang w:val="en-US" w:eastAsia="zh-CN" w:bidi="ar"/>
        </w:rPr>
        <w:t>磋商小组</w:t>
      </w:r>
      <w:r>
        <w:rPr>
          <w:rFonts w:hint="eastAsia" w:ascii="宋体" w:hAnsi="宋体" w:eastAsia="宋体" w:cs="宋体"/>
          <w:color w:val="auto"/>
          <w:spacing w:val="0"/>
          <w:kern w:val="0"/>
          <w:sz w:val="24"/>
          <w:szCs w:val="24"/>
          <w:highlight w:val="none"/>
          <w:lang w:val="en-US" w:eastAsia="zh-CN" w:bidi="ar"/>
        </w:rPr>
        <w:t xml:space="preserve">应当配合采购人或者采购代理机构答复供应商的询问和质疑。 </w:t>
      </w:r>
    </w:p>
    <w:p w14:paraId="042E1F60">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30.4 出现供应商认为采购文件、采购过程、</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和成交结果使自己的合法权益受到损害的，应当首先依法向采购人、采购代理机构提出质疑。 </w:t>
      </w:r>
    </w:p>
    <w:p w14:paraId="141AF6E2">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30.</w:t>
      </w: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eastAsia="宋体" w:cs="宋体"/>
          <w:color w:val="auto"/>
          <w:kern w:val="2"/>
          <w:sz w:val="24"/>
          <w:szCs w:val="24"/>
          <w:highlight w:val="none"/>
          <w:lang w:val="en-US" w:eastAsia="zh-CN" w:bidi="ar-SA"/>
        </w:rPr>
        <w:t>接收质疑函的方式：书面形式</w:t>
      </w:r>
    </w:p>
    <w:p w14:paraId="4E2D6358">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1200" w:firstLineChars="5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联系部门：</w:t>
      </w:r>
      <w:r>
        <w:rPr>
          <w:rFonts w:hint="eastAsia" w:ascii="宋体" w:hAnsi="宋体" w:eastAsia="宋体" w:cs="宋体"/>
          <w:b w:val="0"/>
          <w:bCs w:val="0"/>
          <w:color w:val="auto"/>
          <w:kern w:val="2"/>
          <w:sz w:val="24"/>
          <w:szCs w:val="24"/>
          <w:highlight w:val="none"/>
          <w:lang w:val="en-US" w:eastAsia="zh-CN" w:bidi="ar-SA"/>
        </w:rPr>
        <w:t>陕西中海招标有限公司</w:t>
      </w:r>
    </w:p>
    <w:p w14:paraId="13BDB386">
      <w:pPr>
        <w:keepNext w:val="0"/>
        <w:keepLines w:val="0"/>
        <w:pageBreakBefore w:val="0"/>
        <w:kinsoku/>
        <w:wordWrap/>
        <w:overflowPunct/>
        <w:topLinePunct w:val="0"/>
        <w:autoSpaceDE/>
        <w:autoSpaceDN/>
        <w:bidi w:val="0"/>
        <w:adjustRightInd/>
        <w:snapToGrid/>
        <w:spacing w:line="360" w:lineRule="auto"/>
        <w:ind w:firstLine="1200" w:firstLineChars="5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系</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人：</w:t>
      </w:r>
      <w:r>
        <w:rPr>
          <w:rFonts w:hint="eastAsia" w:ascii="宋体" w:hAnsi="宋体" w:eastAsia="宋体" w:cs="宋体"/>
          <w:b w:val="0"/>
          <w:bCs w:val="0"/>
          <w:color w:val="auto"/>
          <w:kern w:val="2"/>
          <w:sz w:val="24"/>
          <w:szCs w:val="24"/>
          <w:highlight w:val="none"/>
          <w:vertAlign w:val="baseline"/>
          <w:lang w:val="en-US" w:eastAsia="zh-CN" w:bidi="ar-SA"/>
        </w:rPr>
        <w:t>樊静</w:t>
      </w:r>
    </w:p>
    <w:p w14:paraId="6845D546">
      <w:pPr>
        <w:keepNext w:val="0"/>
        <w:keepLines w:val="0"/>
        <w:pageBreakBefore w:val="0"/>
        <w:kinsoku/>
        <w:wordWrap/>
        <w:overflowPunct/>
        <w:topLinePunct w:val="0"/>
        <w:autoSpaceDE/>
        <w:autoSpaceDN/>
        <w:bidi w:val="0"/>
        <w:adjustRightInd/>
        <w:snapToGrid/>
        <w:spacing w:line="360" w:lineRule="auto"/>
        <w:ind w:firstLine="1200" w:firstLineChars="5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联系电话：</w:t>
      </w:r>
      <w:r>
        <w:rPr>
          <w:rFonts w:hint="eastAsia" w:ascii="宋体" w:hAnsi="宋体" w:eastAsia="宋体" w:cs="宋体"/>
          <w:b w:val="0"/>
          <w:bCs w:val="0"/>
          <w:color w:val="auto"/>
          <w:kern w:val="2"/>
          <w:sz w:val="24"/>
          <w:szCs w:val="24"/>
          <w:highlight w:val="none"/>
          <w:vertAlign w:val="baseline"/>
          <w:lang w:val="en-US" w:eastAsia="zh-CN" w:bidi="ar-SA"/>
        </w:rPr>
        <w:t>18602927100</w:t>
      </w:r>
    </w:p>
    <w:p w14:paraId="2219D607">
      <w:pPr>
        <w:keepNext w:val="0"/>
        <w:keepLines w:val="0"/>
        <w:pageBreakBefore w:val="0"/>
        <w:kinsoku/>
        <w:wordWrap/>
        <w:overflowPunct/>
        <w:topLinePunct w:val="0"/>
        <w:autoSpaceDE/>
        <w:autoSpaceDN/>
        <w:bidi w:val="0"/>
        <w:adjustRightInd/>
        <w:snapToGrid/>
        <w:spacing w:line="360" w:lineRule="auto"/>
        <w:ind w:firstLine="1200" w:firstLineChars="500"/>
        <w:textAlignment w:val="auto"/>
        <w:rPr>
          <w:color w:val="auto"/>
          <w:spacing w:val="0"/>
          <w:sz w:val="24"/>
          <w:szCs w:val="24"/>
          <w:highlight w:val="none"/>
        </w:rPr>
      </w:pPr>
      <w:r>
        <w:rPr>
          <w:rFonts w:hint="eastAsia" w:ascii="宋体" w:hAnsi="宋体" w:eastAsia="宋体" w:cs="宋体"/>
          <w:color w:val="auto"/>
          <w:kern w:val="2"/>
          <w:sz w:val="24"/>
          <w:szCs w:val="24"/>
          <w:highlight w:val="none"/>
          <w:lang w:val="en-US" w:eastAsia="zh-CN" w:bidi="ar-SA"/>
        </w:rPr>
        <w:t>通讯地址：</w:t>
      </w:r>
      <w:r>
        <w:rPr>
          <w:rFonts w:hint="eastAsia" w:ascii="宋体" w:hAnsi="宋体" w:cs="宋体"/>
          <w:color w:val="auto"/>
          <w:spacing w:val="0"/>
          <w:sz w:val="24"/>
          <w:szCs w:val="24"/>
          <w:highlight w:val="none"/>
          <w:lang w:val="en-US" w:eastAsia="zh-CN"/>
        </w:rPr>
        <w:t>陕西省西安市莲湖区陕西省西安市莲湖区西关正街58号英达大厦1幢10810号</w:t>
      </w:r>
    </w:p>
    <w:p w14:paraId="1604BEBD">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31.关于质疑函的提交：</w:t>
      </w:r>
    </w:p>
    <w:p w14:paraId="689CF0E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31.1 一</w:t>
      </w:r>
      <w:r>
        <w:rPr>
          <w:rFonts w:hint="eastAsia" w:ascii="宋体" w:hAnsi="宋体" w:cs="宋体"/>
          <w:color w:val="auto"/>
          <w:spacing w:val="0"/>
          <w:kern w:val="0"/>
          <w:sz w:val="24"/>
          <w:szCs w:val="24"/>
          <w:highlight w:val="none"/>
          <w:lang w:val="en-US" w:eastAsia="zh-CN" w:bidi="ar"/>
        </w:rPr>
        <w:t>份</w:t>
      </w:r>
      <w:r>
        <w:rPr>
          <w:rFonts w:hint="eastAsia" w:ascii="宋体" w:hAnsi="宋体" w:eastAsia="宋体" w:cs="宋体"/>
          <w:color w:val="auto"/>
          <w:spacing w:val="0"/>
          <w:kern w:val="0"/>
          <w:sz w:val="24"/>
          <w:szCs w:val="24"/>
          <w:highlight w:val="none"/>
          <w:lang w:val="en-US" w:eastAsia="zh-CN" w:bidi="ar"/>
        </w:rPr>
        <w:t xml:space="preserve">质疑函只能针对一个项目提出质疑，质疑人需要对两个（含）以上项目提出质疑的，应当分别提交质疑函。根据“谁主张、谁举证”的原则，质疑事项必要的证据材料应当由质疑人提供。 </w:t>
      </w:r>
    </w:p>
    <w:p w14:paraId="3154437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31.2 质疑函必须由法定代表人签署本人姓名（或印盖本人姓名章）并加盖单位公章，不得加盖合同专用章等各种形式的专用章。质疑函由参加采购项目的授权代表签署本人姓名（或印盖本人姓名章）的，应当同时提供法定代表人允许其办理质疑事项的特别授权。 </w:t>
      </w:r>
    </w:p>
    <w:p w14:paraId="6E6C6A9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31.3 采购代理机构于收到质疑函后一个工作日内对质疑函的形式进行审查，符合条件的质疑，予以受理并向质疑人发出质疑签收单。收到质疑函原件并向质疑人发出质疑签收单之日，为质疑正式受理之日。质疑处理工作在受理质疑事项后七个工作日内完成。对于供应商依法提出的询问事项，应当在三个工作日内作出答复 </w:t>
      </w:r>
    </w:p>
    <w:p w14:paraId="3DED1A9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31.4 质疑受理时采购项目评审工作已经完成的,质疑事项由采购项目的原评审委员会进行复核，质疑受理时尚未成立评审委员会的，应当从专家库中随机抽取专家组建评审委员会进行复核。 </w:t>
      </w:r>
    </w:p>
    <w:p w14:paraId="3F6918F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31.5 质疑处理过程中，质疑人要求撤回质疑的，应当以书面方式提交质疑撤销函，由法定代表人签署本人姓名（或印盖本人姓名章）并加盖单位公章。采购代理机构收到质疑撤销函后，上报有关监督部门视具体情况决定是否终止质疑处理工作。 </w:t>
      </w:r>
    </w:p>
    <w:p w14:paraId="24BD827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31.6 供应商进行虚假和恶意质疑的，采购代理机构将提请有关部门将其列入不良记录名单，在一至三年内禁止其参加政府采购活动，并在相关媒体上公布处理决定。</w:t>
      </w:r>
    </w:p>
    <w:p w14:paraId="3CA473FA">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32.投诉 </w:t>
      </w:r>
    </w:p>
    <w:p w14:paraId="029A610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供应商和其他利害关系人认为本次采购活动违反法律、法规和规章规定的，有权向有关监督机构投诉。</w:t>
      </w:r>
    </w:p>
    <w:p w14:paraId="7C84424D">
      <w:pPr>
        <w:pageBreakBefore w:val="0"/>
        <w:kinsoku/>
        <w:wordWrap/>
        <w:overflowPunct/>
        <w:topLinePunct w:val="0"/>
        <w:autoSpaceDE/>
        <w:autoSpaceDN/>
        <w:bidi w:val="0"/>
        <w:spacing w:line="360" w:lineRule="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br w:type="page"/>
      </w:r>
    </w:p>
    <w:p w14:paraId="62E6D6A3">
      <w:pPr>
        <w:pageBreakBefore w:val="0"/>
        <w:kinsoku/>
        <w:wordWrap/>
        <w:overflowPunct/>
        <w:topLinePunct w:val="0"/>
        <w:autoSpaceDE/>
        <w:autoSpaceDN/>
        <w:bidi w:val="0"/>
        <w:spacing w:line="360" w:lineRule="auto"/>
        <w:jc w:val="center"/>
        <w:textAlignment w:val="auto"/>
        <w:outlineLvl w:val="0"/>
        <w:rPr>
          <w:rFonts w:hint="eastAsia" w:ascii="Times New Roman" w:hAnsi="Times New Roman" w:cs="Times New Roman"/>
          <w:b/>
          <w:bCs/>
          <w:color w:val="auto"/>
          <w:spacing w:val="0"/>
          <w:kern w:val="44"/>
          <w:sz w:val="32"/>
          <w:szCs w:val="32"/>
          <w:highlight w:val="none"/>
          <w:lang w:val="en-US" w:eastAsia="zh-CN" w:bidi="ar-SA"/>
        </w:rPr>
      </w:pPr>
      <w:bookmarkStart w:id="15" w:name="_Toc14683"/>
      <w:r>
        <w:rPr>
          <w:rFonts w:hint="eastAsia" w:ascii="Times New Roman" w:hAnsi="Times New Roman" w:cs="Times New Roman"/>
          <w:b/>
          <w:bCs/>
          <w:color w:val="auto"/>
          <w:spacing w:val="0"/>
          <w:kern w:val="44"/>
          <w:sz w:val="32"/>
          <w:szCs w:val="32"/>
          <w:highlight w:val="none"/>
          <w:lang w:val="en-US" w:eastAsia="zh-CN" w:bidi="ar-SA"/>
        </w:rPr>
        <w:t>第三章</w:t>
      </w:r>
      <w:r>
        <w:rPr>
          <w:rFonts w:hint="eastAsia" w:cs="Times New Roman"/>
          <w:b/>
          <w:bCs/>
          <w:color w:val="auto"/>
          <w:spacing w:val="0"/>
          <w:kern w:val="44"/>
          <w:sz w:val="32"/>
          <w:szCs w:val="32"/>
          <w:highlight w:val="none"/>
          <w:lang w:val="en-US" w:eastAsia="zh-CN" w:bidi="ar-SA"/>
        </w:rPr>
        <w:t xml:space="preserve">  </w:t>
      </w:r>
      <w:r>
        <w:rPr>
          <w:rFonts w:hint="eastAsia" w:ascii="Times New Roman" w:hAnsi="Times New Roman" w:cs="Times New Roman"/>
          <w:b/>
          <w:bCs/>
          <w:color w:val="auto"/>
          <w:spacing w:val="0"/>
          <w:kern w:val="44"/>
          <w:sz w:val="32"/>
          <w:szCs w:val="32"/>
          <w:highlight w:val="none"/>
          <w:lang w:val="en-US" w:eastAsia="zh-CN" w:bidi="ar-SA"/>
        </w:rPr>
        <w:t>评标办法</w:t>
      </w:r>
      <w:bookmarkEnd w:id="15"/>
    </w:p>
    <w:p w14:paraId="4AEC531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根据《中华人民共和国政府采购法》、《中华人民共和国政府采购法实施条例》、《政府采购竞争性磋商采购方式管理暂行办法》以及《财政部关于政府采购争性磋商采购方式管理暂行办法有关问题的补充通知》等法律规章，结合采购项目特点制定本评标办法。 </w:t>
      </w:r>
    </w:p>
    <w:p w14:paraId="4EF6A491">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一、评标程序 </w:t>
      </w:r>
    </w:p>
    <w:p w14:paraId="34DA1C1F">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1.本采购项目评标按照下列工作程序进行： </w:t>
      </w:r>
    </w:p>
    <w:p w14:paraId="244CC29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（1）磋商响应文件初审； </w:t>
      </w:r>
    </w:p>
    <w:p w14:paraId="5AD72AE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（2）澄清有关问题； </w:t>
      </w:r>
    </w:p>
    <w:p w14:paraId="1106F67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（3）比较与评价； </w:t>
      </w:r>
    </w:p>
    <w:p w14:paraId="70FFC2A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（4）推荐</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供应商名单； </w:t>
      </w:r>
    </w:p>
    <w:p w14:paraId="7253F02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（5）编写评标报告。 </w:t>
      </w:r>
    </w:p>
    <w:p w14:paraId="3397827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 .磋商响应文件初审 </w:t>
      </w:r>
    </w:p>
    <w:p w14:paraId="398B68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2.1 磋商响应文件资格性审查，包括资质审查及有效性审查；即对供应商的资质及磋商响应文件资格证明文件、磋商保证金交纳情况有效性进行审查，以确保供应商是否具备相应资格；符合性审查，即对磋商响应文件的完整性和对磋商文件的响应程度进行审查，以确定是否对磋商文件实在性内容作出响应。 </w:t>
      </w:r>
    </w:p>
    <w:p w14:paraId="6EA9789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2.2 在资格性、符合性检查时，磋商响应文件被认定无效磋商的，不得进入后续评标环节。</w:t>
      </w:r>
    </w:p>
    <w:p w14:paraId="59CADCA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 磋商响应文件的澄清 </w:t>
      </w:r>
    </w:p>
    <w:p w14:paraId="7644EB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 为有助于磋商响应文件的审查、比较和评价，磋商小组可要求供应商对其磋商响应文件中非实质性的有关问题进行澄清、说明或者补正。有关澄清、说明或者补正的要求和答复应以书面（含电传、传真）形式提交，并由其法定代表人（或授权代表人）签字。供应商的澄清、说明或者补正不得超出磋商文件的范围或者改变磋商响应文件的实质性内容。 </w:t>
      </w:r>
    </w:p>
    <w:p w14:paraId="2ECD5CC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 磋商响应文件比较与评价 </w:t>
      </w:r>
    </w:p>
    <w:p w14:paraId="56D30BF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kern w:val="0"/>
          <w:sz w:val="24"/>
          <w:szCs w:val="24"/>
          <w:highlight w:val="none"/>
          <w:lang w:val="en-US" w:eastAsia="zh-CN" w:bidi="ar"/>
        </w:rPr>
        <w:t>4.1 以磋商文件为依据，对磋商响应文件分别从磋商报价、</w:t>
      </w:r>
      <w:r>
        <w:rPr>
          <w:rFonts w:hint="eastAsia" w:ascii="宋体" w:hAnsi="宋体" w:cs="宋体"/>
          <w:color w:val="auto"/>
          <w:kern w:val="0"/>
          <w:sz w:val="24"/>
          <w:szCs w:val="24"/>
          <w:highlight w:val="none"/>
          <w:lang w:val="en-US" w:eastAsia="zh-CN" w:bidi="ar"/>
        </w:rPr>
        <w:t>服务方案</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质量保证、服务承诺及业绩</w:t>
      </w:r>
      <w:r>
        <w:rPr>
          <w:rFonts w:hint="eastAsia" w:ascii="宋体" w:hAnsi="宋体" w:eastAsia="宋体" w:cs="宋体"/>
          <w:color w:val="auto"/>
          <w:spacing w:val="0"/>
          <w:kern w:val="0"/>
          <w:sz w:val="24"/>
          <w:szCs w:val="24"/>
          <w:highlight w:val="none"/>
          <w:lang w:val="en-US" w:eastAsia="zh-CN" w:bidi="ar"/>
        </w:rPr>
        <w:t xml:space="preserve">进行比较和评价，并按照百分制进行综合赋分。 </w:t>
      </w:r>
    </w:p>
    <w:p w14:paraId="018C7A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4.2 磋商小组认定实质性响应磋商文件的磋商是磋商响应文件与磋商文件要求的全部条款、条件和规格相符，没有实质性负偏离。磋商小组决定磋商响应文件的响应性依据磋商响应文件本身的内容，而不寻求外部的证据。 </w:t>
      </w:r>
    </w:p>
    <w:p w14:paraId="072F71D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4.3 如果磋商响应文件没有实质性响应磋商文件的要求，磋商小组将予以拒绝。磋商供应商不得通过修正或撤消不合要求的偏离或保留从而使其磋商成为实质性响应的磋商。</w:t>
      </w:r>
    </w:p>
    <w:p w14:paraId="1EA7CE8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4.4 磋商小组只对确定为实质性响应磋商文件要求的磋商文件，根据磋商文件的要求采用相同的评标程序、评分办法及标准进行评价和比较。</w:t>
      </w:r>
    </w:p>
    <w:p w14:paraId="194F9622">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二、定标及定标程序 </w:t>
      </w:r>
    </w:p>
    <w:p w14:paraId="2C6140F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（见第二章第 28 条） </w:t>
      </w:r>
    </w:p>
    <w:p w14:paraId="0C01CB97">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三、评标方法 </w:t>
      </w:r>
    </w:p>
    <w:p w14:paraId="4FB20EE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pacing w:val="0"/>
          <w:sz w:val="24"/>
          <w:highlight w:val="none"/>
        </w:rPr>
      </w:pPr>
      <w:r>
        <w:rPr>
          <w:rFonts w:hint="eastAsia" w:ascii="宋体" w:hAnsi="宋体" w:eastAsia="宋体" w:cs="宋体"/>
          <w:color w:val="auto"/>
          <w:spacing w:val="0"/>
          <w:kern w:val="0"/>
          <w:sz w:val="24"/>
          <w:szCs w:val="24"/>
          <w:highlight w:val="none"/>
          <w:lang w:val="en-US" w:eastAsia="zh-CN" w:bidi="ar"/>
        </w:rPr>
        <w:t>1. 本采购项目评标方法采用综合评分法。</w:t>
      </w:r>
      <w:r>
        <w:rPr>
          <w:rFonts w:hint="eastAsia" w:ascii="宋体" w:hAnsi="宋体"/>
          <w:color w:val="auto"/>
          <w:spacing w:val="0"/>
          <w:sz w:val="24"/>
          <w:highlight w:val="none"/>
        </w:rPr>
        <w:t>二次报价为最终报价，在满足磋商文件所有实质性要求前提下，提交最终报价。如采购需求没有实质性变化，各供应商的报价应逐次降低。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6906258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 磋商响应文件中如果出现计算错误，可按以下原则进行修正： </w:t>
      </w:r>
    </w:p>
    <w:p w14:paraId="1411667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（1）磋商响应文件中的大写金额与小写金额不一致的，以大写金额为准； </w:t>
      </w:r>
    </w:p>
    <w:p w14:paraId="3A58287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（2）磋商响应文件中的总价金额与按单价计算的汇总金额不一致的，以单价计算的汇总金额为准； </w:t>
      </w:r>
    </w:p>
    <w:p w14:paraId="2A29B6A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（3）磋商响应文件中的单价金额有明显小数点错误的，以总价为准，并修改单价； </w:t>
      </w:r>
    </w:p>
    <w:p w14:paraId="4439C9C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（4）磋商响应文件中图表与文字表述不一致的，以文字表述为准； </w:t>
      </w:r>
    </w:p>
    <w:p w14:paraId="1D44255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（5）磋商响应文件正本与副本不一致的，以正本为准； </w:t>
      </w:r>
    </w:p>
    <w:p w14:paraId="00BB7AB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（6）对不同文字文本磋商响应文件的解释发生异议的，以中文文本为准。 </w:t>
      </w:r>
    </w:p>
    <w:p w14:paraId="5330634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按上述修正错误的方法调整的磋商报价应对供应商具有约束力。如果磋商供应商不接受修正后的价格，其磋商将被拒绝。 </w:t>
      </w:r>
    </w:p>
    <w:p w14:paraId="3D1C674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 磋商响应文件中，若某项有不合理报价（或零报价、漏报价）的，经磋商小组评审后，此项得分为零，不参与磋商报价分值的计算。</w:t>
      </w:r>
    </w:p>
    <w:p w14:paraId="68B1E34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 评委打分超过得分界限或未按本办法赋分时，该评委的打分，按废票处理。 </w:t>
      </w:r>
    </w:p>
    <w:p w14:paraId="05C5D3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 评标过程中，各种数字的计算结果，均保留两位小数，第三位“四舍五入”，但计算百分数时应精确到千分位，万分位“四舍五入”。 </w:t>
      </w:r>
    </w:p>
    <w:p w14:paraId="69D3229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 针对本项目材料提供相同品牌且通过资格审查、符合性审查的不同供应商，按一家供应商计算，评审后得分最高的供应商获得</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人推荐资格；评审得分相同的，磋商报价低的供应商获得</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人推荐资格. </w:t>
      </w:r>
    </w:p>
    <w:p w14:paraId="5C7986C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7. 评标过程中，若出现本评标办法以外的特殊情况时，将暂停评标，待磋商小组商榷后，再进行评定。 </w:t>
      </w:r>
    </w:p>
    <w:p w14:paraId="186A6E2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8.评标过程中，若出现合格供应商只有2家的，采购活动可以继续进行；少于 2 家时，采购人应当终止采购活动，发布项目终止采购公告并说明原因，重新开展采购活动。 </w:t>
      </w:r>
    </w:p>
    <w:p w14:paraId="63098E4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9. 排名第一的候选人，主动放弃</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，或因不可抗力不能履行合同，或被查实存在影响</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结果的违法行为等情形，已不再符合</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条件的，采购人可以按照磋商小组提出的</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候选人名单排序依次确定其他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候选人为</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人。 </w:t>
      </w:r>
    </w:p>
    <w:p w14:paraId="55E25E4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10. 主观评分偏离核查：本项目主观评分项总分30分，适用陕财办采函[2026]10号规定。对同一供应商主观项评分偏离15%以上的，磋商小组应当进行核查。核查程序：由评分偏离最大的评审专家说明打分理由，磋商小组讨论确认后记录在评审报告中。</w:t>
      </w:r>
    </w:p>
    <w:p w14:paraId="7AB3B02C">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四、评标细则及标准（综合评分法） </w:t>
      </w:r>
    </w:p>
    <w:p w14:paraId="067DF0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 本次综合评分的主要因素是：</w:t>
      </w:r>
      <w:r>
        <w:rPr>
          <w:rFonts w:hint="eastAsia" w:ascii="宋体" w:hAnsi="宋体" w:cs="宋体"/>
          <w:color w:val="auto"/>
          <w:spacing w:val="0"/>
          <w:kern w:val="0"/>
          <w:sz w:val="24"/>
          <w:szCs w:val="24"/>
          <w:highlight w:val="none"/>
          <w:lang w:val="en-US" w:eastAsia="zh-CN" w:bidi="ar"/>
        </w:rPr>
        <w:t>商务部分</w:t>
      </w: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技术部分</w:t>
      </w:r>
      <w:r>
        <w:rPr>
          <w:rFonts w:hint="eastAsia" w:ascii="宋体" w:hAnsi="宋体" w:eastAsia="宋体" w:cs="宋体"/>
          <w:color w:val="auto"/>
          <w:spacing w:val="0"/>
          <w:kern w:val="0"/>
          <w:sz w:val="24"/>
          <w:szCs w:val="24"/>
          <w:highlight w:val="none"/>
          <w:lang w:val="en-US" w:eastAsia="zh-CN" w:bidi="ar"/>
        </w:rPr>
        <w:t xml:space="preserve">。 </w:t>
      </w:r>
    </w:p>
    <w:p w14:paraId="1F523E5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 除价格因素外，磋商小组成员应依据磋商文件规定的评分标准和方法独立对其他因素进行比较打分。 </w:t>
      </w:r>
    </w:p>
    <w:p w14:paraId="568DC6B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 xml:space="preserve">. 资格性审查： </w:t>
      </w:r>
    </w:p>
    <w:p w14:paraId="0D0AEB2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.1 资质审查：由</w:t>
      </w:r>
      <w:r>
        <w:rPr>
          <w:rFonts w:hint="eastAsia" w:ascii="宋体" w:hAnsi="宋体" w:cs="宋体"/>
          <w:color w:val="auto"/>
          <w:spacing w:val="0"/>
          <w:kern w:val="0"/>
          <w:sz w:val="24"/>
          <w:szCs w:val="24"/>
          <w:highlight w:val="none"/>
          <w:lang w:val="en-US" w:eastAsia="zh-CN" w:bidi="ar"/>
        </w:rPr>
        <w:t>采购人或采购代理机构</w:t>
      </w:r>
      <w:r>
        <w:rPr>
          <w:rFonts w:hint="eastAsia" w:ascii="宋体" w:hAnsi="宋体" w:eastAsia="宋体" w:cs="宋体"/>
          <w:color w:val="auto"/>
          <w:spacing w:val="0"/>
          <w:kern w:val="0"/>
          <w:sz w:val="24"/>
          <w:szCs w:val="24"/>
          <w:highlight w:val="none"/>
          <w:lang w:val="en-US" w:eastAsia="zh-CN" w:bidi="ar"/>
        </w:rPr>
        <w:t xml:space="preserve">对各供应商提交的资质进行审查，缺其中一项或某项达不到磋商文件要求，均按无效文件处理； </w:t>
      </w:r>
    </w:p>
    <w:p w14:paraId="358166E2">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.2 资质有效性评审：磋商文件中的资质证明文件为必备资质，</w:t>
      </w:r>
      <w:r>
        <w:rPr>
          <w:rFonts w:hint="eastAsia" w:ascii="宋体" w:hAnsi="宋体" w:cs="宋体"/>
          <w:color w:val="auto"/>
          <w:spacing w:val="0"/>
          <w:kern w:val="0"/>
          <w:sz w:val="24"/>
          <w:szCs w:val="24"/>
          <w:highlight w:val="none"/>
          <w:lang w:val="en-US" w:eastAsia="zh-CN" w:bidi="ar"/>
        </w:rPr>
        <w:t>评审专家</w:t>
      </w:r>
      <w:r>
        <w:rPr>
          <w:rFonts w:hint="eastAsia" w:ascii="宋体" w:hAnsi="宋体" w:eastAsia="宋体" w:cs="宋体"/>
          <w:color w:val="auto"/>
          <w:spacing w:val="0"/>
          <w:kern w:val="0"/>
          <w:sz w:val="24"/>
          <w:szCs w:val="24"/>
          <w:highlight w:val="none"/>
          <w:lang w:val="en-US" w:eastAsia="zh-CN" w:bidi="ar"/>
        </w:rPr>
        <w:t xml:space="preserve">对各供应商磋商响应文件中的资质证明文件进行审查，缺其中一项或某项达不到磋商文件要求，均按无效文件处理。 </w:t>
      </w:r>
    </w:p>
    <w:p w14:paraId="3E53C1B2">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有效评审的内容： </w:t>
      </w:r>
    </w:p>
    <w:p w14:paraId="10E83BB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1、具有独立承担民事责任能力的法人、其他组织或自然人，并出具合法有效的营业执照或事业单位法人证书等国家规定的相关证明，自然人参与的提供其身份证明； </w:t>
      </w:r>
    </w:p>
    <w:p w14:paraId="265460D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25FCE68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3、税收缴纳证明：提供2025年1月至今已缴纳至少一个月的依法缴纳税款的相关凭据（时间以税款所属日期为准），凭据应有税务机关或代收机关的公章或业务专用章。依法免税或无须缴纳税款的供应商，应提供相关证明文件；</w:t>
      </w:r>
    </w:p>
    <w:p w14:paraId="548E631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4、社会保障资金缴纳证明：提供2025年1月至今已缴存的至少一个月的社会保障资金缴存单据或社保机构开具的社会保险参保缴费情况证明，依法不需要缴纳社会保障资金的单位应提供相关证明材料；</w:t>
      </w:r>
    </w:p>
    <w:p w14:paraId="23BCA1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5、书面声明：参加本次政府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p>
    <w:p w14:paraId="7200748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6、提供具有履行合同所必需的设备和专业技术能力的承诺函； </w:t>
      </w:r>
    </w:p>
    <w:p w14:paraId="654955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7、法定代表人授权书及被授权人身份证。（法定代表人直接参与磋商只须提交其身份证原件）；</w:t>
      </w:r>
    </w:p>
    <w:p w14:paraId="0CDEA4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8、提供中小企业声明函。（本项目为非专门面向中、小、微型企业采购项目）。</w:t>
      </w:r>
    </w:p>
    <w:p w14:paraId="6E20F448">
      <w:pPr>
        <w:pageBreakBefore w:val="0"/>
        <w:kinsoku/>
        <w:wordWrap/>
        <w:overflowPunct/>
        <w:topLinePunct w:val="0"/>
        <w:autoSpaceDE/>
        <w:autoSpaceDN/>
        <w:bidi w:val="0"/>
        <w:spacing w:line="360" w:lineRule="auto"/>
        <w:ind w:firstLine="482" w:firstLineChars="200"/>
        <w:textAlignment w:val="auto"/>
        <w:outlineLvl w:val="9"/>
        <w:rPr>
          <w:rFonts w:hint="default"/>
          <w:color w:val="auto"/>
          <w:spacing w:val="0"/>
          <w:sz w:val="24"/>
          <w:szCs w:val="24"/>
          <w:highlight w:val="none"/>
          <w:lang w:val="en-US" w:eastAsia="zh-CN"/>
        </w:rPr>
      </w:pPr>
      <w:r>
        <w:rPr>
          <w:rFonts w:hint="eastAsia" w:ascii="宋体" w:hAnsi="宋体" w:eastAsia="宋体" w:cs="宋体"/>
          <w:b/>
          <w:bCs/>
          <w:color w:val="auto"/>
          <w:spacing w:val="0"/>
          <w:kern w:val="0"/>
          <w:sz w:val="24"/>
          <w:szCs w:val="24"/>
          <w:highlight w:val="none"/>
          <w:lang w:val="en-US" w:eastAsia="zh-CN" w:bidi="ar"/>
        </w:rPr>
        <w:t>注：上述资质文件</w:t>
      </w:r>
      <w:r>
        <w:rPr>
          <w:rFonts w:hint="eastAsia" w:ascii="宋体" w:hAnsi="宋体" w:cs="宋体"/>
          <w:b/>
          <w:bCs/>
          <w:color w:val="auto"/>
          <w:spacing w:val="0"/>
          <w:kern w:val="0"/>
          <w:sz w:val="24"/>
          <w:szCs w:val="24"/>
          <w:highlight w:val="none"/>
          <w:lang w:val="en-US" w:eastAsia="zh-CN" w:bidi="ar"/>
        </w:rPr>
        <w:t>1-7项</w:t>
      </w:r>
      <w:r>
        <w:rPr>
          <w:rFonts w:hint="eastAsia" w:ascii="宋体" w:hAnsi="宋体" w:eastAsia="宋体" w:cs="宋体"/>
          <w:b/>
          <w:bCs/>
          <w:color w:val="auto"/>
          <w:spacing w:val="0"/>
          <w:kern w:val="0"/>
          <w:sz w:val="24"/>
          <w:szCs w:val="24"/>
          <w:highlight w:val="none"/>
          <w:lang w:val="en-US" w:eastAsia="zh-CN" w:bidi="ar"/>
        </w:rPr>
        <w:t>为必备资质，缺少一项或某项达不到磋商文件要求的按无效磋商</w:t>
      </w:r>
      <w:r>
        <w:rPr>
          <w:rFonts w:hint="eastAsia" w:ascii="宋体" w:hAnsi="宋体" w:cs="宋体"/>
          <w:b/>
          <w:bCs/>
          <w:color w:val="auto"/>
          <w:spacing w:val="0"/>
          <w:kern w:val="0"/>
          <w:sz w:val="24"/>
          <w:szCs w:val="24"/>
          <w:highlight w:val="none"/>
          <w:lang w:val="en-US" w:eastAsia="zh-CN" w:bidi="ar"/>
        </w:rPr>
        <w:t>响应</w:t>
      </w:r>
      <w:r>
        <w:rPr>
          <w:rFonts w:hint="eastAsia" w:ascii="宋体" w:hAnsi="宋体" w:eastAsia="宋体" w:cs="宋体"/>
          <w:b/>
          <w:bCs/>
          <w:color w:val="auto"/>
          <w:spacing w:val="0"/>
          <w:kern w:val="0"/>
          <w:sz w:val="24"/>
          <w:szCs w:val="24"/>
          <w:highlight w:val="none"/>
          <w:lang w:val="en-US" w:eastAsia="zh-CN" w:bidi="ar"/>
        </w:rPr>
        <w:t>文件处理。第8项中小企业声明函</w:t>
      </w:r>
      <w:r>
        <w:rPr>
          <w:rFonts w:hint="eastAsia" w:ascii="宋体" w:hAnsi="宋体" w:cs="宋体"/>
          <w:b/>
          <w:bCs/>
          <w:color w:val="auto"/>
          <w:spacing w:val="0"/>
          <w:kern w:val="0"/>
          <w:sz w:val="24"/>
          <w:szCs w:val="24"/>
          <w:highlight w:val="none"/>
          <w:lang w:val="en-US" w:eastAsia="zh-CN" w:bidi="ar"/>
        </w:rPr>
        <w:t>仅作为价格扣除依据，不纳入资格审查否决范围。</w:t>
      </w:r>
    </w:p>
    <w:p w14:paraId="7F26883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cs="宋体"/>
          <w:color w:val="auto"/>
          <w:spacing w:val="0"/>
          <w:kern w:val="0"/>
          <w:sz w:val="24"/>
          <w:szCs w:val="24"/>
          <w:highlight w:val="none"/>
          <w:lang w:val="en-US" w:eastAsia="zh-CN" w:bidi="ar"/>
        </w:rPr>
        <w:t>4</w:t>
      </w:r>
      <w:r>
        <w:rPr>
          <w:rFonts w:hint="eastAsia" w:ascii="宋体" w:hAnsi="宋体" w:eastAsia="宋体" w:cs="宋体"/>
          <w:color w:val="auto"/>
          <w:spacing w:val="0"/>
          <w:kern w:val="0"/>
          <w:sz w:val="24"/>
          <w:szCs w:val="24"/>
          <w:highlight w:val="none"/>
          <w:lang w:val="en-US" w:eastAsia="zh-CN" w:bidi="ar"/>
        </w:rPr>
        <w:t>. 符合性评审：主要对供应商磋商响应文件进行商务和技术符合性的审定。出现下列情形之一者，其磋商响应文件按无效文件处理：</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658"/>
        <w:gridCol w:w="5155"/>
      </w:tblGrid>
      <w:tr w14:paraId="346814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67025576">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pacing w:val="0"/>
                <w:sz w:val="24"/>
                <w:szCs w:val="24"/>
                <w:highlight w:val="none"/>
                <w:vertAlign w:val="baseline"/>
                <w:lang w:eastAsia="zh-CN"/>
              </w:rPr>
            </w:pPr>
            <w:r>
              <w:rPr>
                <w:rFonts w:hint="eastAsia" w:ascii="宋体" w:hAnsi="宋体" w:eastAsia="宋体" w:cs="宋体"/>
                <w:b/>
                <w:bCs/>
                <w:color w:val="auto"/>
                <w:spacing w:val="0"/>
                <w:kern w:val="0"/>
                <w:sz w:val="24"/>
                <w:szCs w:val="24"/>
                <w:highlight w:val="none"/>
                <w:lang w:val="en-US" w:eastAsia="zh-CN" w:bidi="ar"/>
              </w:rPr>
              <w:br w:type="page"/>
            </w:r>
            <w:r>
              <w:rPr>
                <w:rFonts w:hint="eastAsia" w:ascii="宋体" w:hAnsi="宋体" w:eastAsia="宋体" w:cs="宋体"/>
                <w:b/>
                <w:bCs/>
                <w:color w:val="auto"/>
                <w:spacing w:val="0"/>
                <w:sz w:val="24"/>
                <w:szCs w:val="24"/>
                <w:highlight w:val="none"/>
                <w:vertAlign w:val="baseline"/>
                <w:lang w:eastAsia="zh-CN"/>
              </w:rPr>
              <w:t>序号</w:t>
            </w:r>
          </w:p>
        </w:tc>
        <w:tc>
          <w:tcPr>
            <w:tcW w:w="2658" w:type="dxa"/>
            <w:tcBorders>
              <w:tl2br w:val="nil"/>
              <w:tr2bl w:val="nil"/>
            </w:tcBorders>
            <w:vAlign w:val="center"/>
          </w:tcPr>
          <w:p w14:paraId="3432CDB6">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pacing w:val="0"/>
                <w:sz w:val="24"/>
                <w:szCs w:val="24"/>
                <w:highlight w:val="none"/>
                <w:vertAlign w:val="baseline"/>
                <w:lang w:eastAsia="zh-CN"/>
              </w:rPr>
            </w:pPr>
            <w:r>
              <w:rPr>
                <w:rFonts w:hint="eastAsia" w:ascii="宋体" w:hAnsi="宋体" w:eastAsia="宋体" w:cs="宋体"/>
                <w:b/>
                <w:bCs/>
                <w:color w:val="auto"/>
                <w:spacing w:val="0"/>
                <w:sz w:val="24"/>
                <w:szCs w:val="24"/>
                <w:highlight w:val="none"/>
                <w:vertAlign w:val="baseline"/>
                <w:lang w:val="en-US" w:eastAsia="zh-CN"/>
              </w:rPr>
              <w:t>评审项目</w:t>
            </w:r>
          </w:p>
        </w:tc>
        <w:tc>
          <w:tcPr>
            <w:tcW w:w="5155" w:type="dxa"/>
            <w:tcBorders>
              <w:tl2br w:val="nil"/>
              <w:tr2bl w:val="nil"/>
            </w:tcBorders>
            <w:vAlign w:val="center"/>
          </w:tcPr>
          <w:p w14:paraId="44DC1D96">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pacing w:val="0"/>
                <w:sz w:val="24"/>
                <w:szCs w:val="24"/>
                <w:highlight w:val="none"/>
                <w:vertAlign w:val="baseline"/>
                <w:lang w:eastAsia="zh-CN"/>
              </w:rPr>
            </w:pPr>
            <w:r>
              <w:rPr>
                <w:rFonts w:hint="eastAsia" w:ascii="宋体" w:hAnsi="宋体" w:eastAsia="宋体" w:cs="宋体"/>
                <w:b/>
                <w:bCs/>
                <w:color w:val="auto"/>
                <w:spacing w:val="0"/>
                <w:sz w:val="24"/>
                <w:szCs w:val="24"/>
                <w:highlight w:val="none"/>
                <w:vertAlign w:val="baseline"/>
                <w:lang w:val="en-US" w:eastAsia="zh-CN"/>
              </w:rPr>
              <w:t>评审标准</w:t>
            </w:r>
          </w:p>
        </w:tc>
      </w:tr>
      <w:tr w14:paraId="3A8EE8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292B1F9F">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1</w:t>
            </w:r>
          </w:p>
        </w:tc>
        <w:tc>
          <w:tcPr>
            <w:tcW w:w="2658" w:type="dxa"/>
            <w:tcBorders>
              <w:tl2br w:val="nil"/>
              <w:tr2bl w:val="nil"/>
            </w:tcBorders>
            <w:vAlign w:val="center"/>
          </w:tcPr>
          <w:p w14:paraId="73843B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磋商响应文件格式及签署盖章</w:t>
            </w:r>
          </w:p>
        </w:tc>
        <w:tc>
          <w:tcPr>
            <w:tcW w:w="5155" w:type="dxa"/>
            <w:tcBorders>
              <w:tl2br w:val="nil"/>
              <w:tr2bl w:val="nil"/>
            </w:tcBorders>
            <w:vAlign w:val="center"/>
          </w:tcPr>
          <w:p w14:paraId="26C030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eastAsia="zh-CN"/>
              </w:rPr>
              <w:t>是否按磋商文件要求的数量、语言、计量单位、报价货币及签字盖章</w:t>
            </w:r>
          </w:p>
        </w:tc>
      </w:tr>
      <w:tr w14:paraId="400431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709" w:type="dxa"/>
            <w:tcBorders>
              <w:tl2br w:val="nil"/>
              <w:tr2bl w:val="nil"/>
            </w:tcBorders>
            <w:vAlign w:val="center"/>
          </w:tcPr>
          <w:p w14:paraId="603574EE">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2</w:t>
            </w:r>
          </w:p>
        </w:tc>
        <w:tc>
          <w:tcPr>
            <w:tcW w:w="2658" w:type="dxa"/>
            <w:tcBorders>
              <w:tl2br w:val="nil"/>
              <w:tr2bl w:val="nil"/>
            </w:tcBorders>
            <w:vAlign w:val="center"/>
          </w:tcPr>
          <w:p w14:paraId="2DACE0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报价唯一且合理</w:t>
            </w:r>
          </w:p>
        </w:tc>
        <w:tc>
          <w:tcPr>
            <w:tcW w:w="5155" w:type="dxa"/>
            <w:tcBorders>
              <w:tl2br w:val="nil"/>
              <w:tr2bl w:val="nil"/>
            </w:tcBorders>
            <w:vAlign w:val="center"/>
          </w:tcPr>
          <w:p w14:paraId="3B2DF8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只能有一个有效报价，不得提交选择性报价，且报价不</w:t>
            </w:r>
            <w:r>
              <w:rPr>
                <w:rFonts w:hint="eastAsia" w:ascii="宋体" w:hAnsi="宋体" w:cs="宋体"/>
                <w:b w:val="0"/>
                <w:bCs w:val="0"/>
                <w:color w:val="auto"/>
                <w:spacing w:val="0"/>
                <w:sz w:val="24"/>
                <w:szCs w:val="24"/>
                <w:highlight w:val="none"/>
                <w:vertAlign w:val="baseline"/>
                <w:lang w:val="en-US" w:eastAsia="zh-CN"/>
              </w:rPr>
              <w:t>超过</w:t>
            </w:r>
            <w:r>
              <w:rPr>
                <w:rFonts w:hint="eastAsia" w:ascii="宋体" w:hAnsi="宋体" w:eastAsia="宋体" w:cs="宋体"/>
                <w:b w:val="0"/>
                <w:bCs w:val="0"/>
                <w:color w:val="auto"/>
                <w:spacing w:val="0"/>
                <w:sz w:val="24"/>
                <w:szCs w:val="24"/>
                <w:highlight w:val="none"/>
                <w:vertAlign w:val="baseline"/>
                <w:lang w:val="en-US" w:eastAsia="zh-CN"/>
              </w:rPr>
              <w:t>采购预算</w:t>
            </w:r>
            <w:r>
              <w:rPr>
                <w:rFonts w:hint="eastAsia" w:ascii="宋体" w:hAnsi="宋体" w:cs="宋体"/>
                <w:b w:val="0"/>
                <w:bCs w:val="0"/>
                <w:color w:val="auto"/>
                <w:spacing w:val="0"/>
                <w:sz w:val="24"/>
                <w:szCs w:val="24"/>
                <w:highlight w:val="none"/>
                <w:vertAlign w:val="baseline"/>
                <w:lang w:val="en-US" w:eastAsia="zh-CN"/>
              </w:rPr>
              <w:t>；</w:t>
            </w:r>
            <w:r>
              <w:rPr>
                <w:rFonts w:hint="eastAsia" w:ascii="宋体" w:hAnsi="宋体" w:eastAsia="宋体" w:cs="宋体"/>
                <w:b w:val="0"/>
                <w:bCs w:val="0"/>
                <w:color w:val="auto"/>
                <w:spacing w:val="0"/>
                <w:sz w:val="24"/>
                <w:szCs w:val="24"/>
                <w:highlight w:val="none"/>
                <w:vertAlign w:val="baseline"/>
                <w:lang w:val="en-US" w:eastAsia="zh-CN"/>
              </w:rPr>
              <w:t>投标报价明显低于成本价</w:t>
            </w:r>
            <w:r>
              <w:rPr>
                <w:rFonts w:hint="eastAsia" w:ascii="宋体" w:hAnsi="宋体" w:cs="宋体"/>
                <w:b w:val="0"/>
                <w:bCs w:val="0"/>
                <w:color w:val="auto"/>
                <w:spacing w:val="0"/>
                <w:sz w:val="24"/>
                <w:szCs w:val="24"/>
                <w:highlight w:val="none"/>
                <w:vertAlign w:val="baseline"/>
                <w:lang w:val="en-US" w:eastAsia="zh-CN"/>
              </w:rPr>
              <w:t>且不能</w:t>
            </w:r>
            <w:r>
              <w:rPr>
                <w:rFonts w:hint="eastAsia" w:ascii="宋体" w:hAnsi="宋体" w:eastAsia="宋体" w:cs="宋体"/>
                <w:b w:val="0"/>
                <w:bCs w:val="0"/>
                <w:color w:val="auto"/>
                <w:spacing w:val="0"/>
                <w:sz w:val="24"/>
                <w:szCs w:val="24"/>
                <w:highlight w:val="none"/>
                <w:vertAlign w:val="baseline"/>
                <w:lang w:val="en-US" w:eastAsia="zh-CN"/>
              </w:rPr>
              <w:t>合理说明</w:t>
            </w:r>
            <w:r>
              <w:rPr>
                <w:rFonts w:hint="eastAsia" w:ascii="宋体" w:hAnsi="宋体" w:cs="宋体"/>
                <w:b w:val="0"/>
                <w:bCs w:val="0"/>
                <w:color w:val="auto"/>
                <w:spacing w:val="0"/>
                <w:sz w:val="24"/>
                <w:szCs w:val="24"/>
                <w:highlight w:val="none"/>
                <w:vertAlign w:val="baseline"/>
                <w:lang w:val="en-US" w:eastAsia="zh-CN"/>
              </w:rPr>
              <w:t>的，按无效处理。</w:t>
            </w:r>
          </w:p>
        </w:tc>
      </w:tr>
      <w:tr w14:paraId="114F95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6178C5AA">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3</w:t>
            </w:r>
          </w:p>
        </w:tc>
        <w:tc>
          <w:tcPr>
            <w:tcW w:w="2658" w:type="dxa"/>
            <w:tcBorders>
              <w:tl2br w:val="nil"/>
              <w:tr2bl w:val="nil"/>
            </w:tcBorders>
            <w:vAlign w:val="center"/>
          </w:tcPr>
          <w:p w14:paraId="600805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磋商保证金</w:t>
            </w:r>
          </w:p>
        </w:tc>
        <w:tc>
          <w:tcPr>
            <w:tcW w:w="5155" w:type="dxa"/>
            <w:tcBorders>
              <w:tl2br w:val="nil"/>
              <w:tr2bl w:val="nil"/>
            </w:tcBorders>
            <w:vAlign w:val="center"/>
          </w:tcPr>
          <w:p w14:paraId="2AE4BC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按要求提供</w:t>
            </w:r>
            <w:r>
              <w:rPr>
                <w:rFonts w:hint="eastAsia" w:ascii="宋体" w:hAnsi="宋体" w:cs="宋体"/>
                <w:b w:val="0"/>
                <w:bCs w:val="0"/>
                <w:color w:val="auto"/>
                <w:spacing w:val="0"/>
                <w:sz w:val="24"/>
                <w:szCs w:val="24"/>
                <w:highlight w:val="none"/>
                <w:vertAlign w:val="baseline"/>
                <w:lang w:val="en-US" w:eastAsia="zh-CN"/>
              </w:rPr>
              <w:t>磋商保证金</w:t>
            </w:r>
          </w:p>
        </w:tc>
      </w:tr>
      <w:tr w14:paraId="6C6A42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2ECF3792">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4</w:t>
            </w:r>
          </w:p>
        </w:tc>
        <w:tc>
          <w:tcPr>
            <w:tcW w:w="2658" w:type="dxa"/>
            <w:tcBorders>
              <w:tl2br w:val="nil"/>
              <w:tr2bl w:val="nil"/>
            </w:tcBorders>
            <w:vAlign w:val="center"/>
          </w:tcPr>
          <w:p w14:paraId="519500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磋商响应文件内容及对磋商文件响应程度</w:t>
            </w:r>
          </w:p>
        </w:tc>
        <w:tc>
          <w:tcPr>
            <w:tcW w:w="5155" w:type="dxa"/>
            <w:tcBorders>
              <w:tl2br w:val="nil"/>
              <w:tr2bl w:val="nil"/>
            </w:tcBorders>
            <w:vAlign w:val="center"/>
          </w:tcPr>
          <w:p w14:paraId="741E5E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磋商响应文件内容齐全、无遗漏；要求全面响应，不能有任何采购人不能接受的附加条件</w:t>
            </w:r>
          </w:p>
        </w:tc>
      </w:tr>
      <w:tr w14:paraId="4CFD84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647DFB9A">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5</w:t>
            </w:r>
          </w:p>
        </w:tc>
        <w:tc>
          <w:tcPr>
            <w:tcW w:w="2658" w:type="dxa"/>
            <w:tcBorders>
              <w:tl2br w:val="nil"/>
              <w:tr2bl w:val="nil"/>
            </w:tcBorders>
            <w:vAlign w:val="center"/>
          </w:tcPr>
          <w:p w14:paraId="7C3964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磋商有效期</w:t>
            </w:r>
          </w:p>
        </w:tc>
        <w:tc>
          <w:tcPr>
            <w:tcW w:w="5155" w:type="dxa"/>
            <w:tcBorders>
              <w:tl2br w:val="nil"/>
              <w:tr2bl w:val="nil"/>
            </w:tcBorders>
            <w:vAlign w:val="center"/>
          </w:tcPr>
          <w:p w14:paraId="0C37FC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应满足磋商文件中的规定</w:t>
            </w:r>
          </w:p>
        </w:tc>
      </w:tr>
      <w:tr w14:paraId="040ED0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4E9E2EC7">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6</w:t>
            </w:r>
          </w:p>
        </w:tc>
        <w:tc>
          <w:tcPr>
            <w:tcW w:w="2658" w:type="dxa"/>
            <w:tcBorders>
              <w:tl2br w:val="nil"/>
              <w:tr2bl w:val="nil"/>
            </w:tcBorders>
            <w:vAlign w:val="center"/>
          </w:tcPr>
          <w:p w14:paraId="1B0F4E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其他</w:t>
            </w:r>
          </w:p>
        </w:tc>
        <w:tc>
          <w:tcPr>
            <w:tcW w:w="5155" w:type="dxa"/>
            <w:tcBorders>
              <w:tl2br w:val="nil"/>
              <w:tr2bl w:val="nil"/>
            </w:tcBorders>
            <w:vAlign w:val="center"/>
          </w:tcPr>
          <w:p w14:paraId="1B330D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磋商响应文件符合法律法规要求的</w:t>
            </w:r>
          </w:p>
        </w:tc>
      </w:tr>
    </w:tbl>
    <w:p w14:paraId="634191A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5</w:t>
      </w:r>
      <w:r>
        <w:rPr>
          <w:rFonts w:hint="eastAsia" w:ascii="宋体" w:hAnsi="宋体" w:eastAsia="宋体" w:cs="宋体"/>
          <w:color w:val="auto"/>
          <w:spacing w:val="0"/>
          <w:kern w:val="0"/>
          <w:sz w:val="24"/>
          <w:szCs w:val="24"/>
          <w:highlight w:val="none"/>
          <w:lang w:val="en-US" w:eastAsia="zh-CN" w:bidi="ar"/>
        </w:rPr>
        <w:t xml:space="preserve">.非实质性偏离是指磋商响应文件在实质上响应磋商文件的要求，但在个别地方存在一些不规则、不一致、不完整的内容，并且澄清、说明或者补正这些内容不会改变磋商响应文件的实质性内容。以下情况属于非实质性偏离： </w:t>
      </w:r>
    </w:p>
    <w:p w14:paraId="22AE2BD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（1）文字表述的内容含义不明确； </w:t>
      </w:r>
    </w:p>
    <w:p w14:paraId="2C24EF2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（2）同类问题表述不一致； </w:t>
      </w:r>
    </w:p>
    <w:p w14:paraId="31BCA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（3）有明显文字和计算错误； </w:t>
      </w:r>
    </w:p>
    <w:p w14:paraId="081A262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（4）提供的技术信息和数据资料不完整； </w:t>
      </w:r>
    </w:p>
    <w:p w14:paraId="2A4EB64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（5）磋商响应文件未按磋商文件要求进行装订或未编制目录、页码； </w:t>
      </w:r>
    </w:p>
    <w:p w14:paraId="4933F3C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（6）磋商小组认定的其他非实质性偏离。</w:t>
      </w:r>
    </w:p>
    <w:p w14:paraId="3ECCCD5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磋商响应文件有上述（1）至（</w:t>
      </w:r>
      <w:r>
        <w:rPr>
          <w:rFonts w:hint="eastAsia" w:ascii="宋体" w:hAnsi="宋体" w:cs="宋体"/>
          <w:color w:val="auto"/>
          <w:spacing w:val="0"/>
          <w:kern w:val="0"/>
          <w:sz w:val="24"/>
          <w:szCs w:val="24"/>
          <w:highlight w:val="none"/>
          <w:lang w:val="en-US" w:eastAsia="zh-CN" w:bidi="ar"/>
        </w:rPr>
        <w:t>6</w:t>
      </w:r>
      <w:r>
        <w:rPr>
          <w:rFonts w:hint="eastAsia" w:ascii="宋体" w:hAnsi="宋体" w:eastAsia="宋体" w:cs="宋体"/>
          <w:color w:val="auto"/>
          <w:spacing w:val="0"/>
          <w:kern w:val="0"/>
          <w:sz w:val="24"/>
          <w:szCs w:val="24"/>
          <w:highlight w:val="none"/>
          <w:lang w:val="en-US" w:eastAsia="zh-CN" w:bidi="ar"/>
        </w:rPr>
        <w:t xml:space="preserve">）情形之一的，磋商小组应当书面要求供应商在规定的时间内予以澄清、说明或补正。供应商拒不或在规定的时间内没有进行澄清、说明或补正或澄清、说明、补正的内容也不能说明问题的，视为磋商响应文件制作不规范，按每一项非实质性偏离进行扣分处理，直至该项分值扣完为止。磋商小组不接受供应商主动提出的澄清、说明或补正。 </w:t>
      </w:r>
    </w:p>
    <w:p w14:paraId="7ADFC99A">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eastAsia" w:ascii="宋体" w:hAnsi="宋体" w:cs="宋体"/>
          <w:color w:val="auto"/>
          <w:spacing w:val="0"/>
          <w:kern w:val="0"/>
          <w:sz w:val="24"/>
          <w:szCs w:val="24"/>
          <w:highlight w:val="none"/>
          <w:lang w:val="en-US" w:eastAsia="zh-CN" w:bidi="ar"/>
        </w:rPr>
        <w:t>6.</w:t>
      </w:r>
      <w:r>
        <w:rPr>
          <w:rFonts w:hint="eastAsia" w:ascii="宋体" w:hAnsi="宋体" w:eastAsia="宋体" w:cs="宋体"/>
          <w:color w:val="auto"/>
          <w:spacing w:val="0"/>
          <w:kern w:val="0"/>
          <w:sz w:val="24"/>
          <w:szCs w:val="24"/>
          <w:highlight w:val="none"/>
          <w:lang w:val="en-US" w:eastAsia="zh-CN" w:bidi="ar"/>
        </w:rPr>
        <w:t>在磋商响应文件初审过程中，如果出现磋商小组成员意见不一致的情况，按照少数服从多数的原则确定。</w:t>
      </w:r>
    </w:p>
    <w:p w14:paraId="074438D8">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cs="宋体"/>
          <w:b/>
          <w:bCs/>
          <w:color w:val="auto"/>
          <w:spacing w:val="0"/>
          <w:kern w:val="0"/>
          <w:sz w:val="24"/>
          <w:szCs w:val="24"/>
          <w:highlight w:val="none"/>
          <w:lang w:val="en-US" w:eastAsia="zh-CN" w:bidi="ar"/>
        </w:rPr>
        <w:t>7</w:t>
      </w:r>
      <w:r>
        <w:rPr>
          <w:rFonts w:hint="eastAsia" w:ascii="宋体" w:hAnsi="宋体" w:eastAsia="宋体" w:cs="宋体"/>
          <w:b/>
          <w:bCs/>
          <w:color w:val="auto"/>
          <w:spacing w:val="0"/>
          <w:kern w:val="0"/>
          <w:sz w:val="24"/>
          <w:szCs w:val="24"/>
          <w:highlight w:val="none"/>
          <w:lang w:val="en-US" w:eastAsia="zh-CN" w:bidi="ar"/>
        </w:rPr>
        <w:t>. 综合评分明细表（满分 100 分）</w:t>
      </w:r>
    </w:p>
    <w:tbl>
      <w:tblPr>
        <w:tblStyle w:val="16"/>
        <w:tblW w:w="9297" w:type="dxa"/>
        <w:tblInd w:w="0" w:type="dxa"/>
        <w:tblLayout w:type="fixed"/>
        <w:tblCellMar>
          <w:top w:w="0" w:type="dxa"/>
          <w:left w:w="108" w:type="dxa"/>
          <w:bottom w:w="0" w:type="dxa"/>
          <w:right w:w="108" w:type="dxa"/>
        </w:tblCellMar>
      </w:tblPr>
      <w:tblGrid>
        <w:gridCol w:w="1180"/>
        <w:gridCol w:w="1634"/>
        <w:gridCol w:w="6483"/>
      </w:tblGrid>
      <w:tr w14:paraId="10435500">
        <w:tblPrEx>
          <w:tblCellMar>
            <w:top w:w="0" w:type="dxa"/>
            <w:left w:w="108" w:type="dxa"/>
            <w:bottom w:w="0" w:type="dxa"/>
            <w:right w:w="108" w:type="dxa"/>
          </w:tblCellMar>
        </w:tblPrEx>
        <w:trPr>
          <w:trHeight w:val="624"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14:paraId="0677FAF2">
            <w:pPr>
              <w:pageBreakBefore w:val="0"/>
              <w:shd w:val="clear"/>
              <w:kinsoku/>
              <w:overflowPunct/>
              <w:topLinePunct w:val="0"/>
              <w:autoSpaceDE/>
              <w:autoSpaceDN/>
              <w:bidi w:val="0"/>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类别</w:t>
            </w:r>
          </w:p>
        </w:tc>
        <w:tc>
          <w:tcPr>
            <w:tcW w:w="1634" w:type="dxa"/>
            <w:tcBorders>
              <w:top w:val="single" w:color="auto" w:sz="4" w:space="0"/>
              <w:left w:val="single" w:color="auto" w:sz="4" w:space="0"/>
              <w:bottom w:val="single" w:color="auto" w:sz="4" w:space="0"/>
              <w:right w:val="single" w:color="auto" w:sz="4" w:space="0"/>
            </w:tcBorders>
            <w:noWrap w:val="0"/>
            <w:vAlign w:val="center"/>
          </w:tcPr>
          <w:p w14:paraId="60EFE073">
            <w:pPr>
              <w:pageBreakBefore w:val="0"/>
              <w:shd w:val="clear"/>
              <w:kinsoku/>
              <w:overflowPunct/>
              <w:topLinePunct w:val="0"/>
              <w:autoSpaceDE/>
              <w:autoSpaceDN/>
              <w:bidi w:val="0"/>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评分因素</w:t>
            </w:r>
            <w:r>
              <w:rPr>
                <w:rFonts w:hint="eastAsia" w:ascii="宋体" w:hAnsi="宋体" w:eastAsia="宋体" w:cs="宋体"/>
                <w:b/>
                <w:bCs/>
                <w:color w:val="auto"/>
                <w:sz w:val="24"/>
                <w:szCs w:val="24"/>
                <w:highlight w:val="none"/>
                <w:lang w:eastAsia="zh-CN"/>
              </w:rPr>
              <w:t>及分值</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0B026328">
            <w:pPr>
              <w:pageBreakBefore w:val="0"/>
              <w:shd w:val="clear"/>
              <w:kinsoku/>
              <w:overflowPunct/>
              <w:topLinePunct w:val="0"/>
              <w:autoSpaceDE/>
              <w:autoSpaceDN/>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14:paraId="051821A9">
        <w:tblPrEx>
          <w:tblCellMar>
            <w:top w:w="0" w:type="dxa"/>
            <w:left w:w="108" w:type="dxa"/>
            <w:bottom w:w="0" w:type="dxa"/>
            <w:right w:w="108" w:type="dxa"/>
          </w:tblCellMar>
        </w:tblPrEx>
        <w:trPr>
          <w:trHeight w:val="90"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14:paraId="6692F7D3">
            <w:pPr>
              <w:spacing w:line="360" w:lineRule="auto"/>
              <w:jc w:val="center"/>
              <w:rPr>
                <w:rFonts w:hint="eastAsia"/>
                <w:lang w:val="en-US" w:eastAsia="zh-CN"/>
              </w:rPr>
            </w:pPr>
            <w:r>
              <w:rPr>
                <w:rFonts w:hint="eastAsia"/>
                <w:lang w:val="en-US" w:eastAsia="zh-CN"/>
              </w:rPr>
              <w:t>商务部分（30分）</w:t>
            </w:r>
          </w:p>
        </w:tc>
        <w:tc>
          <w:tcPr>
            <w:tcW w:w="1634" w:type="dxa"/>
            <w:tcBorders>
              <w:top w:val="single" w:color="auto" w:sz="4" w:space="0"/>
              <w:left w:val="single" w:color="auto" w:sz="4" w:space="0"/>
              <w:bottom w:val="single" w:color="auto" w:sz="4" w:space="0"/>
              <w:right w:val="single" w:color="auto" w:sz="4" w:space="0"/>
            </w:tcBorders>
            <w:noWrap w:val="0"/>
            <w:vAlign w:val="center"/>
          </w:tcPr>
          <w:p w14:paraId="6A4B166F">
            <w:pPr>
              <w:spacing w:line="360" w:lineRule="auto"/>
              <w:jc w:val="center"/>
              <w:rPr>
                <w:rFonts w:hint="eastAsia"/>
                <w:lang w:val="en-US" w:eastAsia="zh-CN"/>
              </w:rPr>
            </w:pPr>
            <w:r>
              <w:rPr>
                <w:rFonts w:hint="eastAsia"/>
                <w:lang w:val="en-US" w:eastAsia="zh-CN"/>
              </w:rPr>
              <w:t>磋商报价</w:t>
            </w:r>
          </w:p>
          <w:p w14:paraId="0CFC89D9">
            <w:pPr>
              <w:spacing w:line="360" w:lineRule="auto"/>
              <w:jc w:val="center"/>
              <w:rPr>
                <w:rFonts w:hint="eastAsia"/>
                <w:lang w:val="en-US" w:eastAsia="zh-CN"/>
              </w:rPr>
            </w:pPr>
            <w:r>
              <w:rPr>
                <w:rFonts w:hint="eastAsia"/>
                <w:lang w:val="en-US" w:eastAsia="zh-CN"/>
              </w:rPr>
              <w:t>（30分）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3819563C">
            <w:pPr>
              <w:spacing w:line="360" w:lineRule="auto"/>
              <w:jc w:val="left"/>
              <w:rPr>
                <w:rFonts w:hint="eastAsia"/>
                <w:lang w:val="en-US" w:eastAsia="zh-CN"/>
              </w:rPr>
            </w:pPr>
            <w:r>
              <w:rPr>
                <w:rFonts w:hint="eastAsia"/>
                <w:lang w:val="en-US" w:eastAsia="zh-CN"/>
              </w:rPr>
              <w:t>满足磋商文件要求且最终磋商报价最低的供应商报价为评标基准价。其中，小微企业（提供《中小企业声明函》）、监狱企业（提供监狱企业证明）、残疾人福利性单位（提供残疾人福利单位声明函）视同小微企业，按其最终报价扣除10%后的价格参与价格分计算；其他供应商按最终报价参与计算。</w:t>
            </w:r>
          </w:p>
          <w:p w14:paraId="495D71C9">
            <w:pPr>
              <w:spacing w:line="360" w:lineRule="auto"/>
              <w:jc w:val="left"/>
              <w:rPr>
                <w:rFonts w:hint="eastAsia"/>
                <w:lang w:val="en-US" w:eastAsia="zh-CN"/>
              </w:rPr>
            </w:pPr>
            <w:r>
              <w:rPr>
                <w:rFonts w:hint="eastAsia"/>
                <w:lang w:val="en-US" w:eastAsia="zh-CN"/>
              </w:rPr>
              <w:t>磋商报价得分＝（评标基准价/该供应商参与评审的磋商报价）×30</w:t>
            </w:r>
          </w:p>
        </w:tc>
      </w:tr>
      <w:tr w14:paraId="383291A8">
        <w:tblPrEx>
          <w:tblCellMar>
            <w:top w:w="0" w:type="dxa"/>
            <w:left w:w="108" w:type="dxa"/>
            <w:bottom w:w="0" w:type="dxa"/>
            <w:right w:w="108" w:type="dxa"/>
          </w:tblCellMar>
        </w:tblPrEx>
        <w:trPr>
          <w:trHeight w:val="90" w:hRule="atLeast"/>
        </w:trPr>
        <w:tc>
          <w:tcPr>
            <w:tcW w:w="1180" w:type="dxa"/>
            <w:vMerge w:val="restart"/>
            <w:tcBorders>
              <w:top w:val="single" w:color="auto" w:sz="4" w:space="0"/>
              <w:left w:val="single" w:color="auto" w:sz="4" w:space="0"/>
              <w:right w:val="single" w:color="auto" w:sz="4" w:space="0"/>
            </w:tcBorders>
            <w:noWrap w:val="0"/>
            <w:vAlign w:val="center"/>
          </w:tcPr>
          <w:p w14:paraId="53464EC8">
            <w:pPr>
              <w:spacing w:line="360" w:lineRule="auto"/>
              <w:jc w:val="center"/>
              <w:rPr>
                <w:rFonts w:hint="eastAsia"/>
                <w:lang w:val="en-US" w:eastAsia="zh-CN"/>
              </w:rPr>
            </w:pPr>
            <w:r>
              <w:rPr>
                <w:rFonts w:hint="eastAsia"/>
                <w:lang w:val="en-US" w:eastAsia="zh-CN"/>
              </w:rPr>
              <w:t>技术部分</w:t>
            </w:r>
          </w:p>
          <w:p w14:paraId="28D9C90F">
            <w:pPr>
              <w:spacing w:line="360" w:lineRule="auto"/>
              <w:jc w:val="center"/>
              <w:rPr>
                <w:rFonts w:hint="eastAsia"/>
                <w:lang w:val="en-US" w:eastAsia="zh-CN"/>
              </w:rPr>
            </w:pPr>
            <w:r>
              <w:rPr>
                <w:rFonts w:hint="eastAsia"/>
                <w:lang w:val="en-US" w:eastAsia="zh-CN"/>
              </w:rPr>
              <w:t>（70分）</w:t>
            </w:r>
          </w:p>
        </w:tc>
        <w:tc>
          <w:tcPr>
            <w:tcW w:w="1634" w:type="dxa"/>
            <w:tcBorders>
              <w:top w:val="single" w:color="auto" w:sz="4" w:space="0"/>
              <w:left w:val="single" w:color="auto" w:sz="4" w:space="0"/>
              <w:bottom w:val="single" w:color="auto" w:sz="4" w:space="0"/>
              <w:right w:val="single" w:color="auto" w:sz="4" w:space="0"/>
            </w:tcBorders>
            <w:noWrap w:val="0"/>
            <w:vAlign w:val="center"/>
          </w:tcPr>
          <w:p w14:paraId="65963F83">
            <w:pPr>
              <w:spacing w:line="360" w:lineRule="auto"/>
              <w:jc w:val="center"/>
              <w:rPr>
                <w:rFonts w:hint="eastAsia"/>
                <w:lang w:val="en-US" w:eastAsia="zh-CN"/>
              </w:rPr>
            </w:pPr>
            <w:r>
              <w:rPr>
                <w:rFonts w:hint="eastAsia"/>
                <w:lang w:val="en-US" w:eastAsia="zh-CN"/>
              </w:rPr>
              <w:t>技术服务方案（12分）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3C33AF60">
            <w:pPr>
              <w:spacing w:line="360" w:lineRule="auto"/>
              <w:rPr>
                <w:rFonts w:hint="eastAsia" w:ascii="宋体" w:hAnsi="宋体"/>
                <w:sz w:val="21"/>
              </w:rPr>
            </w:pPr>
            <w:r>
              <w:rPr>
                <w:rFonts w:hint="eastAsia" w:ascii="宋体" w:hAnsi="宋体"/>
                <w:sz w:val="21"/>
              </w:rPr>
              <w:t>评审内容：</w:t>
            </w:r>
          </w:p>
          <w:p w14:paraId="63F9505C">
            <w:pPr>
              <w:spacing w:line="360" w:lineRule="auto"/>
              <w:rPr>
                <w:rFonts w:hint="eastAsia" w:ascii="宋体" w:hAnsi="宋体"/>
                <w:sz w:val="21"/>
              </w:rPr>
            </w:pPr>
            <w:r>
              <w:rPr>
                <w:rFonts w:hint="eastAsia" w:ascii="宋体" w:hAnsi="宋体"/>
                <w:sz w:val="21"/>
              </w:rPr>
              <w:t>①项目需求理解（0-</w:t>
            </w:r>
            <w:r>
              <w:rPr>
                <w:rFonts w:hint="eastAsia" w:ascii="宋体" w:hAnsi="宋体"/>
                <w:sz w:val="21"/>
                <w:lang w:val="en-US" w:eastAsia="zh-CN"/>
              </w:rPr>
              <w:t>4</w:t>
            </w:r>
            <w:r>
              <w:rPr>
                <w:rFonts w:hint="eastAsia" w:ascii="宋体" w:hAnsi="宋体"/>
                <w:sz w:val="21"/>
              </w:rPr>
              <w:t>分）</w:t>
            </w:r>
          </w:p>
          <w:p w14:paraId="249C283C">
            <w:pPr>
              <w:spacing w:line="360" w:lineRule="auto"/>
              <w:rPr>
                <w:rFonts w:hint="eastAsia" w:ascii="宋体" w:hAnsi="宋体"/>
                <w:sz w:val="21"/>
              </w:rPr>
            </w:pPr>
            <w:r>
              <w:rPr>
                <w:rFonts w:hint="eastAsia" w:ascii="宋体" w:hAnsi="宋体"/>
                <w:sz w:val="21"/>
              </w:rPr>
              <w:t>②数据库设计方案（0-4分）</w:t>
            </w:r>
          </w:p>
          <w:p w14:paraId="38BA8115">
            <w:pPr>
              <w:spacing w:line="360" w:lineRule="auto"/>
              <w:rPr>
                <w:rFonts w:hint="eastAsia" w:ascii="宋体" w:hAnsi="宋体"/>
                <w:sz w:val="21"/>
              </w:rPr>
            </w:pPr>
            <w:r>
              <w:rPr>
                <w:rFonts w:hint="eastAsia" w:ascii="宋体" w:hAnsi="宋体"/>
                <w:sz w:val="21"/>
              </w:rPr>
              <w:t>③报告编制方案（0-4分）</w:t>
            </w:r>
          </w:p>
          <w:p w14:paraId="36FEA1FC">
            <w:pPr>
              <w:spacing w:line="360" w:lineRule="auto"/>
              <w:rPr>
                <w:rFonts w:hint="eastAsia" w:ascii="宋体" w:hAnsi="宋体"/>
                <w:sz w:val="21"/>
              </w:rPr>
            </w:pPr>
            <w:r>
              <w:rPr>
                <w:rFonts w:hint="eastAsia" w:ascii="宋体" w:hAnsi="宋体"/>
                <w:sz w:val="21"/>
              </w:rPr>
              <w:t>评审标准：</w:t>
            </w:r>
          </w:p>
          <w:p w14:paraId="141E7EFD">
            <w:pPr>
              <w:spacing w:line="360" w:lineRule="auto"/>
              <w:rPr>
                <w:rFonts w:hint="eastAsia" w:ascii="宋体" w:hAnsi="宋体"/>
                <w:sz w:val="21"/>
              </w:rPr>
            </w:pPr>
            <w:r>
              <w:rPr>
                <w:rFonts w:hint="eastAsia" w:ascii="宋体" w:hAnsi="宋体"/>
                <w:sz w:val="21"/>
              </w:rPr>
              <w:t>完整性：内容详细完整，层次清晰，包含关键步骤的思路与实施要点；</w:t>
            </w:r>
          </w:p>
          <w:p w14:paraId="1441B40D">
            <w:pPr>
              <w:spacing w:line="360" w:lineRule="auto"/>
              <w:rPr>
                <w:rFonts w:hint="eastAsia" w:ascii="宋体" w:hAnsi="宋体"/>
                <w:sz w:val="21"/>
              </w:rPr>
            </w:pPr>
            <w:r>
              <w:rPr>
                <w:rFonts w:hint="eastAsia" w:ascii="宋体" w:hAnsi="宋体"/>
                <w:sz w:val="21"/>
              </w:rPr>
              <w:t>可行性：方案内容贴合项目实际，具备良好的可操作性。</w:t>
            </w:r>
          </w:p>
          <w:p w14:paraId="2281FA94">
            <w:pPr>
              <w:spacing w:line="360" w:lineRule="auto"/>
              <w:rPr>
                <w:rFonts w:hint="eastAsia" w:ascii="宋体" w:hAnsi="宋体"/>
                <w:sz w:val="21"/>
              </w:rPr>
            </w:pPr>
            <w:r>
              <w:rPr>
                <w:rFonts w:hint="eastAsia" w:ascii="宋体" w:hAnsi="宋体"/>
                <w:sz w:val="21"/>
              </w:rPr>
              <w:t>评分规则：无对应内容不得分；内容不完善酌情扣分；内容详实完整方可获得对应档位高分。</w:t>
            </w:r>
          </w:p>
          <w:p w14:paraId="0EB3479E">
            <w:pPr>
              <w:spacing w:line="360" w:lineRule="auto"/>
              <w:jc w:val="left"/>
            </w:pPr>
            <w:r>
              <w:rPr>
                <w:rFonts w:hint="eastAsia" w:ascii="宋体" w:hAnsi="宋体"/>
                <w:sz w:val="21"/>
              </w:rPr>
              <w:t>评审原则：严格按照投标文件载明的书面内容评审，不得依靠主观印象、额外问询投标人打分。</w:t>
            </w:r>
          </w:p>
        </w:tc>
      </w:tr>
      <w:tr w14:paraId="3D2D1305">
        <w:tblPrEx>
          <w:tblCellMar>
            <w:top w:w="0" w:type="dxa"/>
            <w:left w:w="108" w:type="dxa"/>
            <w:bottom w:w="0" w:type="dxa"/>
            <w:right w:w="108" w:type="dxa"/>
          </w:tblCellMar>
        </w:tblPrEx>
        <w:trPr>
          <w:trHeight w:val="567" w:hRule="atLeast"/>
        </w:trPr>
        <w:tc>
          <w:tcPr>
            <w:tcW w:w="1180" w:type="dxa"/>
            <w:vMerge w:val="continue"/>
            <w:tcBorders>
              <w:left w:val="single" w:color="auto" w:sz="4" w:space="0"/>
              <w:right w:val="single" w:color="auto" w:sz="4" w:space="0"/>
            </w:tcBorders>
            <w:noWrap w:val="0"/>
            <w:vAlign w:val="center"/>
          </w:tcPr>
          <w:p w14:paraId="1E636EE4">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524E2F33">
            <w:pPr>
              <w:spacing w:line="360" w:lineRule="auto"/>
              <w:jc w:val="center"/>
              <w:rPr>
                <w:rFonts w:hint="eastAsia"/>
                <w:lang w:val="en-US" w:eastAsia="zh-CN"/>
              </w:rPr>
            </w:pPr>
            <w:r>
              <w:rPr>
                <w:rFonts w:hint="eastAsia"/>
                <w:lang w:val="en-US" w:eastAsia="zh-CN"/>
              </w:rPr>
              <w:t>项目实施与进度保障方案</w:t>
            </w:r>
          </w:p>
          <w:p w14:paraId="7C94B6D1">
            <w:pPr>
              <w:spacing w:line="360" w:lineRule="auto"/>
              <w:jc w:val="center"/>
              <w:rPr>
                <w:rFonts w:hint="eastAsia"/>
                <w:lang w:val="en-US" w:eastAsia="zh-CN"/>
              </w:rPr>
            </w:pPr>
            <w:r>
              <w:rPr>
                <w:rFonts w:hint="eastAsia"/>
                <w:lang w:val="en-US" w:eastAsia="zh-CN"/>
              </w:rPr>
              <w:t>（12分）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599C5789">
            <w:pPr>
              <w:spacing w:line="360" w:lineRule="auto"/>
              <w:rPr>
                <w:rFonts w:hint="eastAsia" w:ascii="宋体" w:hAnsi="宋体"/>
                <w:sz w:val="21"/>
              </w:rPr>
            </w:pPr>
            <w:r>
              <w:rPr>
                <w:rFonts w:ascii="宋体" w:hAnsi="宋体"/>
                <w:sz w:val="21"/>
              </w:rPr>
              <w:t>评</w:t>
            </w:r>
            <w:r>
              <w:rPr>
                <w:rFonts w:hint="eastAsia" w:ascii="宋体" w:hAnsi="宋体"/>
                <w:sz w:val="21"/>
              </w:rPr>
              <w:t>审内容：</w:t>
            </w:r>
          </w:p>
          <w:p w14:paraId="02FECC3F">
            <w:pPr>
              <w:spacing w:line="360" w:lineRule="auto"/>
              <w:rPr>
                <w:rFonts w:ascii="宋体" w:hAnsi="宋体"/>
                <w:sz w:val="21"/>
              </w:rPr>
            </w:pPr>
            <w:r>
              <w:rPr>
                <w:rFonts w:hint="default" w:ascii="宋体" w:hAnsi="宋体"/>
                <w:sz w:val="21"/>
              </w:rPr>
              <w:t>①</w:t>
            </w:r>
            <w:r>
              <w:rPr>
                <w:rFonts w:hint="eastAsia" w:ascii="宋体" w:hAnsi="宋体"/>
                <w:sz w:val="21"/>
              </w:rPr>
              <w:t>实</w:t>
            </w:r>
            <w:r>
              <w:rPr>
                <w:rFonts w:ascii="宋体" w:hAnsi="宋体"/>
                <w:sz w:val="21"/>
              </w:rPr>
              <w:t>施进度</w:t>
            </w:r>
            <w:r>
              <w:rPr>
                <w:rFonts w:hint="eastAsia" w:ascii="宋体" w:hAnsi="宋体"/>
                <w:sz w:val="21"/>
                <w:lang w:val="en-US" w:eastAsia="zh-CN"/>
              </w:rPr>
              <w:t>管控</w:t>
            </w:r>
            <w:r>
              <w:rPr>
                <w:rFonts w:ascii="宋体" w:hAnsi="宋体"/>
                <w:sz w:val="21"/>
              </w:rPr>
              <w:t>计划表</w:t>
            </w:r>
            <w:r>
              <w:rPr>
                <w:rFonts w:hint="eastAsia" w:ascii="宋体" w:hAnsi="宋体"/>
                <w:sz w:val="21"/>
                <w:lang w:eastAsia="zh-CN"/>
              </w:rPr>
              <w:t>（</w:t>
            </w:r>
            <w:r>
              <w:rPr>
                <w:rFonts w:hint="eastAsia" w:ascii="宋体" w:hAnsi="宋体"/>
                <w:sz w:val="21"/>
                <w:lang w:val="en-US" w:eastAsia="zh-CN"/>
              </w:rPr>
              <w:t>0-4分</w:t>
            </w:r>
            <w:r>
              <w:rPr>
                <w:rFonts w:hint="eastAsia" w:ascii="宋体" w:hAnsi="宋体"/>
                <w:sz w:val="21"/>
                <w:lang w:eastAsia="zh-CN"/>
              </w:rPr>
              <w:t>）</w:t>
            </w:r>
          </w:p>
          <w:p w14:paraId="4B7B97E4">
            <w:pPr>
              <w:spacing w:line="360" w:lineRule="auto"/>
              <w:rPr>
                <w:rFonts w:ascii="宋体" w:hAnsi="宋体"/>
                <w:sz w:val="21"/>
              </w:rPr>
            </w:pPr>
            <w:r>
              <w:rPr>
                <w:rFonts w:hint="eastAsia" w:ascii="宋体" w:hAnsi="宋体"/>
                <w:sz w:val="21"/>
              </w:rPr>
              <w:t>②</w:t>
            </w:r>
            <w:r>
              <w:rPr>
                <w:rFonts w:ascii="宋体" w:hAnsi="宋体"/>
                <w:sz w:val="21"/>
              </w:rPr>
              <w:t>省市县三级对接机制</w:t>
            </w:r>
            <w:r>
              <w:rPr>
                <w:rFonts w:hint="eastAsia" w:ascii="宋体" w:hAnsi="宋体"/>
                <w:sz w:val="21"/>
                <w:lang w:eastAsia="zh-CN"/>
              </w:rPr>
              <w:t>（</w:t>
            </w:r>
            <w:r>
              <w:rPr>
                <w:rFonts w:hint="eastAsia" w:ascii="宋体" w:hAnsi="宋体"/>
                <w:sz w:val="21"/>
                <w:lang w:val="en-US" w:eastAsia="zh-CN"/>
              </w:rPr>
              <w:t>0-4分</w:t>
            </w:r>
            <w:r>
              <w:rPr>
                <w:rFonts w:hint="eastAsia" w:ascii="宋体" w:hAnsi="宋体"/>
                <w:sz w:val="21"/>
                <w:lang w:eastAsia="zh-CN"/>
              </w:rPr>
              <w:t>）</w:t>
            </w:r>
          </w:p>
          <w:p w14:paraId="2F1893C6">
            <w:pPr>
              <w:spacing w:line="360" w:lineRule="auto"/>
              <w:rPr>
                <w:rFonts w:hint="eastAsia" w:ascii="宋体" w:hAnsi="宋体"/>
                <w:sz w:val="21"/>
                <w:lang w:eastAsia="zh-CN"/>
              </w:rPr>
            </w:pPr>
            <w:r>
              <w:rPr>
                <w:rFonts w:hint="eastAsia" w:ascii="宋体" w:hAnsi="宋体"/>
                <w:sz w:val="21"/>
              </w:rPr>
              <w:t>③</w:t>
            </w:r>
            <w:r>
              <w:rPr>
                <w:rFonts w:ascii="宋体" w:hAnsi="宋体"/>
                <w:sz w:val="21"/>
              </w:rPr>
              <w:t>内部质量审核机制</w:t>
            </w:r>
            <w:r>
              <w:rPr>
                <w:rFonts w:hint="eastAsia" w:ascii="宋体" w:hAnsi="宋体"/>
                <w:sz w:val="21"/>
                <w:lang w:eastAsia="zh-CN"/>
              </w:rPr>
              <w:t>（</w:t>
            </w:r>
            <w:r>
              <w:rPr>
                <w:rFonts w:hint="eastAsia" w:ascii="宋体" w:hAnsi="宋体"/>
                <w:sz w:val="21"/>
                <w:lang w:val="en-US" w:eastAsia="zh-CN"/>
              </w:rPr>
              <w:t>0-4分</w:t>
            </w:r>
            <w:r>
              <w:rPr>
                <w:rFonts w:hint="eastAsia" w:ascii="宋体" w:hAnsi="宋体"/>
                <w:sz w:val="21"/>
                <w:lang w:eastAsia="zh-CN"/>
              </w:rPr>
              <w:t>）</w:t>
            </w:r>
          </w:p>
          <w:p w14:paraId="65A828FF">
            <w:pPr>
              <w:spacing w:line="360" w:lineRule="auto"/>
              <w:rPr>
                <w:rFonts w:hint="eastAsia" w:ascii="宋体" w:hAnsi="宋体"/>
                <w:sz w:val="21"/>
              </w:rPr>
            </w:pPr>
            <w:r>
              <w:rPr>
                <w:rFonts w:hint="eastAsia" w:ascii="宋体" w:hAnsi="宋体"/>
                <w:sz w:val="21"/>
              </w:rPr>
              <w:t>评审标准：</w:t>
            </w:r>
          </w:p>
          <w:p w14:paraId="7AC37DA5">
            <w:pPr>
              <w:spacing w:line="360" w:lineRule="auto"/>
              <w:rPr>
                <w:rFonts w:hint="eastAsia" w:ascii="宋体" w:hAnsi="宋体"/>
                <w:sz w:val="21"/>
              </w:rPr>
            </w:pPr>
            <w:r>
              <w:rPr>
                <w:rFonts w:hint="eastAsia" w:ascii="宋体" w:hAnsi="宋体"/>
                <w:sz w:val="21"/>
              </w:rPr>
              <w:t>完整性：内容详细完整，层次清晰，包含关键步骤的思路与实施要点；</w:t>
            </w:r>
          </w:p>
          <w:p w14:paraId="7A374376">
            <w:pPr>
              <w:spacing w:line="360" w:lineRule="auto"/>
              <w:rPr>
                <w:rFonts w:hint="eastAsia" w:ascii="宋体" w:hAnsi="宋体"/>
                <w:sz w:val="21"/>
              </w:rPr>
            </w:pPr>
            <w:r>
              <w:rPr>
                <w:rFonts w:hint="eastAsia" w:ascii="宋体" w:hAnsi="宋体"/>
                <w:sz w:val="21"/>
              </w:rPr>
              <w:t>可行性：方案内容贴合项目实际，具备良好的可操作性。</w:t>
            </w:r>
          </w:p>
          <w:p w14:paraId="31B6B3BD">
            <w:pPr>
              <w:spacing w:line="360" w:lineRule="auto"/>
              <w:rPr>
                <w:rFonts w:hint="eastAsia" w:ascii="宋体" w:hAnsi="宋体"/>
                <w:sz w:val="21"/>
              </w:rPr>
            </w:pPr>
            <w:r>
              <w:rPr>
                <w:rFonts w:hint="eastAsia" w:ascii="宋体" w:hAnsi="宋体"/>
                <w:sz w:val="21"/>
              </w:rPr>
              <w:t>评分规则：无对应内容不得分；内容不完善酌情扣分；内容详实完整方可获得对应档位高分。</w:t>
            </w:r>
          </w:p>
          <w:p w14:paraId="6F43BA61">
            <w:pPr>
              <w:pStyle w:val="2"/>
              <w:spacing w:line="360" w:lineRule="auto"/>
              <w:ind w:left="0" w:leftChars="0" w:firstLine="0" w:firstLineChars="0"/>
            </w:pPr>
            <w:r>
              <w:rPr>
                <w:rFonts w:hint="eastAsia" w:ascii="宋体" w:hAnsi="宋体"/>
                <w:sz w:val="21"/>
              </w:rPr>
              <w:t>评审原则：严格按照投标文件载明的书面内容评审，不得依靠主观印象、额外问询投标人打分。</w:t>
            </w:r>
          </w:p>
        </w:tc>
      </w:tr>
      <w:tr w14:paraId="61D7EABF">
        <w:tblPrEx>
          <w:tblCellMar>
            <w:top w:w="0" w:type="dxa"/>
            <w:left w:w="108" w:type="dxa"/>
            <w:bottom w:w="0" w:type="dxa"/>
            <w:right w:w="108" w:type="dxa"/>
          </w:tblCellMar>
        </w:tblPrEx>
        <w:trPr>
          <w:trHeight w:val="427" w:hRule="atLeast"/>
        </w:trPr>
        <w:tc>
          <w:tcPr>
            <w:tcW w:w="1180" w:type="dxa"/>
            <w:vMerge w:val="continue"/>
            <w:tcBorders>
              <w:left w:val="single" w:color="auto" w:sz="4" w:space="0"/>
              <w:right w:val="single" w:color="auto" w:sz="4" w:space="0"/>
            </w:tcBorders>
            <w:noWrap w:val="0"/>
            <w:vAlign w:val="center"/>
          </w:tcPr>
          <w:p w14:paraId="08E7CC7C">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7F643C41">
            <w:pPr>
              <w:spacing w:line="360" w:lineRule="auto"/>
              <w:jc w:val="center"/>
              <w:rPr>
                <w:rFonts w:hint="eastAsia"/>
                <w:lang w:val="en-US" w:eastAsia="zh-CN"/>
              </w:rPr>
            </w:pPr>
            <w:r>
              <w:rPr>
                <w:rFonts w:hint="eastAsia"/>
                <w:lang w:val="en-US" w:eastAsia="zh-CN"/>
              </w:rPr>
              <w:t>售后服务与成果保障方案</w:t>
            </w:r>
          </w:p>
          <w:p w14:paraId="4E9F9A36">
            <w:pPr>
              <w:spacing w:line="360" w:lineRule="auto"/>
              <w:jc w:val="center"/>
              <w:rPr>
                <w:rFonts w:hint="eastAsia"/>
                <w:lang w:val="en-US" w:eastAsia="zh-CN"/>
              </w:rPr>
            </w:pPr>
            <w:r>
              <w:rPr>
                <w:rFonts w:hint="eastAsia"/>
                <w:lang w:val="en-US" w:eastAsia="zh-CN"/>
              </w:rPr>
              <w:t>（12分）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3C9C11AC">
            <w:pPr>
              <w:spacing w:line="360" w:lineRule="auto"/>
              <w:rPr>
                <w:rFonts w:ascii="宋体" w:hAnsi="宋体"/>
                <w:sz w:val="21"/>
              </w:rPr>
            </w:pPr>
            <w:r>
              <w:rPr>
                <w:rFonts w:ascii="宋体" w:hAnsi="宋体"/>
                <w:sz w:val="21"/>
              </w:rPr>
              <w:t>评审内容：</w:t>
            </w:r>
          </w:p>
          <w:p w14:paraId="3AF2301E">
            <w:pPr>
              <w:spacing w:line="360" w:lineRule="auto"/>
              <w:rPr>
                <w:rFonts w:hint="eastAsia" w:ascii="宋体" w:hAnsi="宋体"/>
                <w:sz w:val="21"/>
              </w:rPr>
            </w:pPr>
            <w:r>
              <w:rPr>
                <w:rFonts w:ascii="宋体" w:hAnsi="宋体"/>
                <w:sz w:val="21"/>
              </w:rPr>
              <w:t>①</w:t>
            </w:r>
            <w:r>
              <w:rPr>
                <w:rFonts w:hint="eastAsia" w:ascii="宋体" w:hAnsi="宋体"/>
                <w:sz w:val="21"/>
              </w:rPr>
              <w:t>质保期≥3年</w:t>
            </w:r>
            <w:r>
              <w:rPr>
                <w:rFonts w:hint="eastAsia" w:ascii="宋体" w:hAnsi="宋体"/>
                <w:sz w:val="21"/>
                <w:lang w:eastAsia="zh-CN"/>
              </w:rPr>
              <w:t>（</w:t>
            </w:r>
            <w:r>
              <w:rPr>
                <w:rFonts w:hint="eastAsia" w:ascii="宋体" w:hAnsi="宋体"/>
                <w:sz w:val="21"/>
                <w:lang w:val="en-US" w:eastAsia="zh-CN"/>
              </w:rPr>
              <w:t>3</w:t>
            </w:r>
            <w:r>
              <w:rPr>
                <w:rFonts w:hint="eastAsia" w:ascii="宋体" w:hAnsi="宋体"/>
                <w:sz w:val="21"/>
              </w:rPr>
              <w:t>分）</w:t>
            </w:r>
          </w:p>
          <w:p w14:paraId="29B2604E">
            <w:pPr>
              <w:spacing w:line="360" w:lineRule="auto"/>
              <w:rPr>
                <w:rFonts w:hint="eastAsia" w:ascii="宋体" w:hAnsi="宋体" w:eastAsia="宋体"/>
                <w:sz w:val="21"/>
                <w:lang w:eastAsia="zh-CN"/>
              </w:rPr>
            </w:pPr>
            <w:r>
              <w:rPr>
                <w:rFonts w:ascii="宋体" w:hAnsi="宋体"/>
                <w:sz w:val="21"/>
              </w:rPr>
              <w:t>②知识产权承诺</w:t>
            </w:r>
            <w:r>
              <w:rPr>
                <w:rFonts w:hint="eastAsia" w:ascii="宋体" w:hAnsi="宋体"/>
                <w:sz w:val="21"/>
                <w:lang w:eastAsia="zh-CN"/>
              </w:rPr>
              <w:t>（</w:t>
            </w:r>
            <w:r>
              <w:rPr>
                <w:rFonts w:hint="eastAsia" w:ascii="宋体" w:hAnsi="宋体"/>
                <w:sz w:val="21"/>
                <w:lang w:val="en-US" w:eastAsia="zh-CN"/>
              </w:rPr>
              <w:t>3分</w:t>
            </w:r>
            <w:r>
              <w:rPr>
                <w:rFonts w:hint="eastAsia" w:ascii="宋体" w:hAnsi="宋体"/>
                <w:sz w:val="21"/>
                <w:lang w:eastAsia="zh-CN"/>
              </w:rPr>
              <w:t>）</w:t>
            </w:r>
          </w:p>
          <w:p w14:paraId="130A8074">
            <w:pPr>
              <w:spacing w:line="360" w:lineRule="auto"/>
              <w:rPr>
                <w:rFonts w:hint="eastAsia" w:eastAsia="宋体"/>
                <w:lang w:eastAsia="zh-CN"/>
              </w:rPr>
            </w:pPr>
            <w:r>
              <w:rPr>
                <w:rFonts w:ascii="宋体" w:hAnsi="宋体"/>
                <w:sz w:val="21"/>
              </w:rPr>
              <w:t>③增值技术支持方案</w:t>
            </w:r>
            <w:r>
              <w:rPr>
                <w:rFonts w:hint="eastAsia" w:ascii="宋体" w:hAnsi="宋体"/>
                <w:sz w:val="21"/>
                <w:lang w:eastAsia="zh-CN"/>
              </w:rPr>
              <w:t>（</w:t>
            </w:r>
            <w:r>
              <w:rPr>
                <w:rFonts w:hint="eastAsia" w:ascii="宋体" w:hAnsi="宋体"/>
                <w:sz w:val="21"/>
                <w:lang w:val="en-US" w:eastAsia="zh-CN"/>
              </w:rPr>
              <w:t>0-6</w:t>
            </w:r>
            <w:r>
              <w:rPr>
                <w:rFonts w:hint="eastAsia" w:ascii="宋体" w:hAnsi="宋体"/>
                <w:sz w:val="21"/>
                <w:lang w:eastAsia="zh-CN"/>
              </w:rPr>
              <w:t>）</w:t>
            </w:r>
          </w:p>
          <w:p w14:paraId="1709707E">
            <w:pPr>
              <w:spacing w:line="360" w:lineRule="auto"/>
              <w:rPr>
                <w:rFonts w:hint="eastAsia" w:ascii="宋体" w:hAnsi="宋体"/>
                <w:sz w:val="21"/>
              </w:rPr>
            </w:pPr>
            <w:r>
              <w:rPr>
                <w:rFonts w:hint="eastAsia" w:ascii="宋体" w:hAnsi="宋体"/>
                <w:sz w:val="21"/>
              </w:rPr>
              <w:t>评审标准：</w:t>
            </w:r>
          </w:p>
          <w:p w14:paraId="19F97377">
            <w:pPr>
              <w:spacing w:line="360" w:lineRule="auto"/>
              <w:rPr>
                <w:rFonts w:hint="eastAsia" w:ascii="宋体" w:hAnsi="宋体"/>
                <w:sz w:val="21"/>
              </w:rPr>
            </w:pPr>
            <w:r>
              <w:rPr>
                <w:rFonts w:hint="eastAsia" w:ascii="宋体" w:hAnsi="宋体"/>
                <w:sz w:val="21"/>
              </w:rPr>
              <w:t>完整性：内容详细完整，层次清晰，包含关键步骤的思路与实施要点；</w:t>
            </w:r>
          </w:p>
          <w:p w14:paraId="2F6261D6">
            <w:pPr>
              <w:spacing w:line="360" w:lineRule="auto"/>
              <w:rPr>
                <w:rFonts w:hint="eastAsia" w:ascii="宋体" w:hAnsi="宋体"/>
                <w:sz w:val="21"/>
              </w:rPr>
            </w:pPr>
            <w:r>
              <w:rPr>
                <w:rFonts w:hint="eastAsia" w:ascii="宋体" w:hAnsi="宋体"/>
                <w:sz w:val="21"/>
              </w:rPr>
              <w:t>可行性：方案内容贴合项目实际，具备良好的可操作性。</w:t>
            </w:r>
          </w:p>
          <w:p w14:paraId="2E3EA1D3">
            <w:pPr>
              <w:spacing w:line="360" w:lineRule="auto"/>
              <w:rPr>
                <w:rFonts w:hint="eastAsia" w:ascii="宋体" w:hAnsi="宋体"/>
                <w:sz w:val="21"/>
              </w:rPr>
            </w:pPr>
            <w:r>
              <w:rPr>
                <w:rFonts w:hint="eastAsia" w:ascii="宋体" w:hAnsi="宋体"/>
                <w:sz w:val="21"/>
              </w:rPr>
              <w:t>评分规则：无对应内容不得分；内容不完善酌情扣分；内容详实完整方可获得对应档位高分。</w:t>
            </w:r>
          </w:p>
          <w:p w14:paraId="030D92CF">
            <w:pPr>
              <w:spacing w:line="360" w:lineRule="auto"/>
            </w:pPr>
            <w:r>
              <w:rPr>
                <w:rFonts w:hint="eastAsia" w:ascii="宋体" w:hAnsi="宋体"/>
                <w:sz w:val="21"/>
              </w:rPr>
              <w:t>评审原则：严格按照投标文件载明的书面内容评审，不得依靠主观印象、额外问询投标人打分。</w:t>
            </w:r>
          </w:p>
        </w:tc>
      </w:tr>
      <w:tr w14:paraId="5025912F">
        <w:tblPrEx>
          <w:tblCellMar>
            <w:top w:w="0" w:type="dxa"/>
            <w:left w:w="108" w:type="dxa"/>
            <w:bottom w:w="0" w:type="dxa"/>
            <w:right w:w="108" w:type="dxa"/>
          </w:tblCellMar>
        </w:tblPrEx>
        <w:trPr>
          <w:trHeight w:val="567" w:hRule="atLeast"/>
        </w:trPr>
        <w:tc>
          <w:tcPr>
            <w:tcW w:w="1180" w:type="dxa"/>
            <w:vMerge w:val="continue"/>
            <w:tcBorders>
              <w:left w:val="single" w:color="auto" w:sz="4" w:space="0"/>
              <w:right w:val="single" w:color="auto" w:sz="4" w:space="0"/>
            </w:tcBorders>
            <w:noWrap w:val="0"/>
            <w:vAlign w:val="center"/>
          </w:tcPr>
          <w:p w14:paraId="598F45AC">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6A56EEC4">
            <w:pPr>
              <w:spacing w:line="360" w:lineRule="auto"/>
              <w:jc w:val="center"/>
              <w:rPr>
                <w:rFonts w:hint="eastAsia"/>
                <w:lang w:val="en-US" w:eastAsia="zh-CN"/>
              </w:rPr>
            </w:pPr>
            <w:r>
              <w:rPr>
                <w:rFonts w:hint="eastAsia"/>
                <w:lang w:val="en-US" w:eastAsia="zh-CN"/>
              </w:rPr>
              <w:t>服务团队配置与专业能力</w:t>
            </w:r>
          </w:p>
          <w:p w14:paraId="1A1D31FD">
            <w:pPr>
              <w:spacing w:line="360" w:lineRule="auto"/>
              <w:jc w:val="center"/>
              <w:rPr>
                <w:rFonts w:hint="eastAsia"/>
                <w:lang w:val="en-US" w:eastAsia="zh-CN"/>
              </w:rPr>
            </w:pPr>
            <w:r>
              <w:rPr>
                <w:rFonts w:hint="eastAsia"/>
                <w:lang w:val="en-US" w:eastAsia="zh-CN"/>
              </w:rPr>
              <w:t>（12分）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1684EE6C">
            <w:pPr>
              <w:spacing w:line="360" w:lineRule="auto"/>
              <w:jc w:val="left"/>
              <w:rPr>
                <w:rFonts w:hint="eastAsia"/>
              </w:rPr>
            </w:pPr>
            <w:r>
              <w:rPr>
                <w:rFonts w:hint="eastAsia"/>
                <w:lang w:val="en-US" w:eastAsia="zh-CN"/>
              </w:rPr>
              <w:t>拟派项目负责人及核心成员（限5人，含项目负责人）具备以下资质或经历的，每项得2分，同一人可累计加分最多计4分，团队合计最高12分：①草原/林业资源调查相关工作经验；②熟练开展GIS数据处理与数据库建设；③主持或参与过省级及以上同类项目成果编制；④高级工程师、注册测绘师、草原/林业相关专业职称等。佐证材料：人员近3个月社保缴纳证明、职称/项目合同证明，无佐证不予计分。</w:t>
            </w:r>
          </w:p>
        </w:tc>
      </w:tr>
      <w:tr w14:paraId="56336F34">
        <w:tblPrEx>
          <w:tblCellMar>
            <w:top w:w="0" w:type="dxa"/>
            <w:left w:w="108" w:type="dxa"/>
            <w:bottom w:w="0" w:type="dxa"/>
            <w:right w:w="108" w:type="dxa"/>
          </w:tblCellMar>
        </w:tblPrEx>
        <w:trPr>
          <w:trHeight w:val="567" w:hRule="atLeast"/>
        </w:trPr>
        <w:tc>
          <w:tcPr>
            <w:tcW w:w="1180" w:type="dxa"/>
            <w:vMerge w:val="continue"/>
            <w:tcBorders>
              <w:left w:val="single" w:color="auto" w:sz="4" w:space="0"/>
              <w:right w:val="single" w:color="auto" w:sz="4" w:space="0"/>
            </w:tcBorders>
            <w:noWrap w:val="0"/>
            <w:vAlign w:val="center"/>
          </w:tcPr>
          <w:p w14:paraId="5BAF5160">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018E48E2">
            <w:pPr>
              <w:spacing w:line="360" w:lineRule="auto"/>
              <w:jc w:val="center"/>
              <w:rPr>
                <w:rFonts w:hint="eastAsia"/>
                <w:lang w:val="en-US" w:eastAsia="zh-CN"/>
              </w:rPr>
            </w:pPr>
            <w:r>
              <w:rPr>
                <w:rFonts w:hint="eastAsia"/>
                <w:lang w:val="en-US" w:eastAsia="zh-CN"/>
              </w:rPr>
              <w:t>体系认证</w:t>
            </w:r>
          </w:p>
          <w:p w14:paraId="6FB029E3">
            <w:pPr>
              <w:spacing w:line="360" w:lineRule="auto"/>
              <w:jc w:val="center"/>
              <w:rPr>
                <w:rFonts w:hint="eastAsia"/>
                <w:lang w:val="en-US" w:eastAsia="zh-CN"/>
              </w:rPr>
            </w:pPr>
            <w:r>
              <w:rPr>
                <w:rFonts w:hint="eastAsia"/>
                <w:lang w:val="en-US" w:eastAsia="zh-CN"/>
              </w:rPr>
              <w:t>（4分）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5A391790">
            <w:pPr>
              <w:spacing w:line="360" w:lineRule="auto"/>
              <w:jc w:val="left"/>
              <w:rPr>
                <w:rFonts w:hint="eastAsia" w:eastAsia="宋体"/>
                <w:lang w:val="en-US" w:eastAsia="zh-CN"/>
              </w:rPr>
            </w:pPr>
            <w:r>
              <w:rPr>
                <w:rFonts w:hint="eastAsia"/>
              </w:rPr>
              <w:t>具有ISO9001、ISO27001认证，</w:t>
            </w:r>
            <w:r>
              <w:t>或同等效力国标/行业体系证书，</w:t>
            </w:r>
            <w:r>
              <w:rPr>
                <w:rFonts w:hint="eastAsia"/>
              </w:rPr>
              <w:t>每</w:t>
            </w:r>
            <w:r>
              <w:rPr>
                <w:rFonts w:hint="eastAsia"/>
                <w:lang w:val="en-US" w:eastAsia="zh-CN"/>
              </w:rPr>
              <w:t>具备</w:t>
            </w:r>
            <w:r>
              <w:rPr>
                <w:rFonts w:hint="eastAsia"/>
              </w:rPr>
              <w:t>一项得</w:t>
            </w:r>
            <w:r>
              <w:rPr>
                <w:rFonts w:hint="eastAsia"/>
                <w:lang w:val="en-US" w:eastAsia="zh-CN"/>
              </w:rPr>
              <w:t>2</w:t>
            </w:r>
            <w:r>
              <w:rPr>
                <w:rFonts w:hint="eastAsia"/>
              </w:rPr>
              <w:t>分，满分</w:t>
            </w:r>
            <w:r>
              <w:rPr>
                <w:rFonts w:hint="eastAsia"/>
                <w:lang w:val="en-US" w:eastAsia="zh-CN"/>
              </w:rPr>
              <w:t>4</w:t>
            </w:r>
            <w:r>
              <w:rPr>
                <w:rFonts w:hint="eastAsia"/>
              </w:rPr>
              <w:t>分</w:t>
            </w:r>
            <w:r>
              <w:rPr>
                <w:rFonts w:hint="eastAsia"/>
                <w:lang w:eastAsia="zh-CN"/>
              </w:rPr>
              <w:t>。</w:t>
            </w:r>
          </w:p>
        </w:tc>
      </w:tr>
      <w:tr w14:paraId="12351203">
        <w:tblPrEx>
          <w:tblCellMar>
            <w:top w:w="0" w:type="dxa"/>
            <w:left w:w="108" w:type="dxa"/>
            <w:bottom w:w="0" w:type="dxa"/>
            <w:right w:w="108" w:type="dxa"/>
          </w:tblCellMar>
        </w:tblPrEx>
        <w:trPr>
          <w:trHeight w:val="567" w:hRule="atLeast"/>
        </w:trPr>
        <w:tc>
          <w:tcPr>
            <w:tcW w:w="1180" w:type="dxa"/>
            <w:vMerge w:val="continue"/>
            <w:tcBorders>
              <w:left w:val="single" w:color="auto" w:sz="4" w:space="0"/>
              <w:right w:val="single" w:color="auto" w:sz="4" w:space="0"/>
            </w:tcBorders>
            <w:noWrap w:val="0"/>
            <w:vAlign w:val="center"/>
          </w:tcPr>
          <w:p w14:paraId="016FC876">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092C35D3">
            <w:pPr>
              <w:spacing w:line="360" w:lineRule="auto"/>
              <w:jc w:val="center"/>
              <w:rPr>
                <w:rFonts w:hint="eastAsia"/>
                <w:lang w:val="en-US" w:eastAsia="zh-CN"/>
              </w:rPr>
            </w:pPr>
            <w:r>
              <w:rPr>
                <w:rFonts w:hint="eastAsia"/>
                <w:lang w:val="en-US" w:eastAsia="zh-CN"/>
              </w:rPr>
              <w:t>服务保障能力</w:t>
            </w:r>
          </w:p>
          <w:p w14:paraId="207EF741">
            <w:pPr>
              <w:spacing w:line="360" w:lineRule="auto"/>
              <w:jc w:val="center"/>
              <w:rPr>
                <w:rFonts w:hint="eastAsia"/>
                <w:lang w:val="en-US" w:eastAsia="zh-CN"/>
              </w:rPr>
            </w:pPr>
            <w:r>
              <w:rPr>
                <w:rFonts w:hint="eastAsia"/>
                <w:lang w:val="en-US" w:eastAsia="zh-CN"/>
              </w:rPr>
              <w:t>（6分）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4DD4B858">
            <w:pPr>
              <w:spacing w:line="360" w:lineRule="auto"/>
              <w:jc w:val="left"/>
              <w:rPr>
                <w:rFonts w:hint="eastAsia"/>
                <w:lang w:val="en-US" w:eastAsia="zh-CN"/>
              </w:rPr>
            </w:pPr>
            <w:r>
              <w:rPr>
                <w:rFonts w:hint="eastAsia"/>
                <w:lang w:val="en-US" w:eastAsia="zh-CN"/>
              </w:rPr>
              <w:t>提供本地化服务承诺函：</w:t>
            </w:r>
          </w:p>
          <w:p w14:paraId="7CDADDB5">
            <w:pPr>
              <w:numPr>
                <w:ilvl w:val="0"/>
                <w:numId w:val="2"/>
              </w:numPr>
              <w:spacing w:line="360" w:lineRule="auto"/>
              <w:jc w:val="left"/>
              <w:rPr>
                <w:rFonts w:hint="eastAsia"/>
                <w:lang w:val="en-US" w:eastAsia="zh-CN"/>
              </w:rPr>
            </w:pPr>
            <w:r>
              <w:rPr>
                <w:rFonts w:hint="eastAsia"/>
                <w:lang w:val="en-US" w:eastAsia="zh-CN"/>
              </w:rPr>
              <w:t>承诺7×24小时线上电话技术支持，得3分；</w:t>
            </w:r>
          </w:p>
          <w:p w14:paraId="7F9F982F">
            <w:pPr>
              <w:numPr>
                <w:ilvl w:val="0"/>
                <w:numId w:val="2"/>
              </w:numPr>
              <w:spacing w:line="360" w:lineRule="auto"/>
              <w:jc w:val="left"/>
            </w:pPr>
            <w:r>
              <w:rPr>
                <w:rFonts w:hint="eastAsia"/>
                <w:lang w:val="en-US" w:eastAsia="zh-CN"/>
              </w:rPr>
              <w:t>承诺48小时完成修复，得3分。</w:t>
            </w:r>
          </w:p>
        </w:tc>
      </w:tr>
      <w:tr w14:paraId="1B562AE1">
        <w:tblPrEx>
          <w:tblCellMar>
            <w:top w:w="0" w:type="dxa"/>
            <w:left w:w="108" w:type="dxa"/>
            <w:bottom w:w="0" w:type="dxa"/>
            <w:right w:w="108" w:type="dxa"/>
          </w:tblCellMar>
        </w:tblPrEx>
        <w:trPr>
          <w:trHeight w:val="567" w:hRule="atLeast"/>
        </w:trPr>
        <w:tc>
          <w:tcPr>
            <w:tcW w:w="1180" w:type="dxa"/>
            <w:vMerge w:val="continue"/>
            <w:tcBorders>
              <w:left w:val="single" w:color="auto" w:sz="4" w:space="0"/>
              <w:bottom w:val="single" w:color="auto" w:sz="4" w:space="0"/>
              <w:right w:val="single" w:color="auto" w:sz="4" w:space="0"/>
            </w:tcBorders>
            <w:noWrap w:val="0"/>
            <w:vAlign w:val="center"/>
          </w:tcPr>
          <w:p w14:paraId="14FF379E">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702BBBDC">
            <w:pPr>
              <w:spacing w:line="360" w:lineRule="auto"/>
              <w:jc w:val="center"/>
              <w:rPr>
                <w:rFonts w:hint="eastAsia"/>
              </w:rPr>
            </w:pPr>
            <w:r>
              <w:rPr>
                <w:rFonts w:hint="eastAsia"/>
              </w:rPr>
              <w:t>业绩</w:t>
            </w:r>
          </w:p>
          <w:p w14:paraId="7CC7BADB">
            <w:pPr>
              <w:spacing w:line="360" w:lineRule="auto"/>
              <w:jc w:val="center"/>
              <w:rPr>
                <w:rFonts w:hint="eastAsia"/>
                <w:lang w:val="en-US" w:eastAsia="zh-CN"/>
              </w:rPr>
            </w:pPr>
            <w:r>
              <w:rPr>
                <w:rFonts w:hint="eastAsia"/>
                <w:lang w:eastAsia="zh-CN"/>
              </w:rPr>
              <w:t>（</w:t>
            </w:r>
            <w:r>
              <w:rPr>
                <w:rFonts w:hint="eastAsia"/>
                <w:lang w:val="en-US" w:eastAsia="zh-CN"/>
              </w:rPr>
              <w:t>12分</w:t>
            </w:r>
            <w:r>
              <w:rPr>
                <w:rFonts w:hint="eastAsia"/>
                <w:lang w:eastAsia="zh-CN"/>
              </w:rPr>
              <w:t>）</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26F92D50">
            <w:pPr>
              <w:spacing w:line="360" w:lineRule="auto"/>
              <w:jc w:val="left"/>
              <w:rPr>
                <w:rFonts w:hint="eastAsia"/>
                <w:lang w:val="en-US" w:eastAsia="zh-CN"/>
              </w:rPr>
            </w:pPr>
            <w:r>
              <w:rPr>
                <w:rFonts w:hint="eastAsia"/>
                <w:lang w:val="en-US" w:eastAsia="zh-CN"/>
              </w:rPr>
              <w:t>供应商提供近三年（2023年6月1日至今）签订的草原/林业/自然资源数据库或成果编制项目类项目业绩，每提供1份有效业绩得2分，最多得12分。须提供合同关键页（含合同封面、服务内容页、合同金额页、签字盖章页），未提供或材料无法辨认的不得分。</w:t>
            </w:r>
          </w:p>
        </w:tc>
      </w:tr>
    </w:tbl>
    <w:p w14:paraId="76DCA680">
      <w:pPr>
        <w:pStyle w:val="2"/>
        <w:rPr>
          <w:rFonts w:hint="eastAsia"/>
          <w:lang w:val="en-US" w:eastAsia="zh-CN"/>
        </w:rPr>
      </w:pPr>
    </w:p>
    <w:p w14:paraId="2383FB12">
      <w:pPr>
        <w:pageBreakBefore w:val="0"/>
        <w:kinsoku/>
        <w:wordWrap/>
        <w:overflowPunct/>
        <w:topLinePunct w:val="0"/>
        <w:autoSpaceDE/>
        <w:autoSpaceDN/>
        <w:bidi w:val="0"/>
        <w:spacing w:line="360" w:lineRule="auto"/>
        <w:ind w:firstLine="562" w:firstLineChars="200"/>
        <w:textAlignment w:val="auto"/>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五、评标专家在采购活动中承担以下义务 </w:t>
      </w:r>
    </w:p>
    <w:p w14:paraId="2E0D757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 遵纪守法，客观、公正、廉洁地履行职责。 </w:t>
      </w:r>
    </w:p>
    <w:p w14:paraId="45939AF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 按照采购法律法规和采购文件的规定要求对供应商的资格条件和供应商提供的产品价格、技术、商务、服务等方面严格进行评判，提供科学合理、公平公正的评审意见，参与起草评审报告，并予签字确认。</w:t>
      </w:r>
    </w:p>
    <w:p w14:paraId="7334530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 保守秘密。不得透露磋商文件咨询情况，不得泄漏供应商的磋商文件及知悉的商业秘密，不得向供应商透露评审情况。 </w:t>
      </w:r>
    </w:p>
    <w:p w14:paraId="642C632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4. 发现供应商在采购活动中有不正当竞争或恶意串通等违规行为，及时向采购代理机构报告并加以制止。</w:t>
      </w:r>
    </w:p>
    <w:p w14:paraId="592EEE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 解答有关方面对采购评审工作中有关问题的询问，配合采购人或者采购代理机构答复供应商质疑。 </w:t>
      </w:r>
    </w:p>
    <w:p w14:paraId="7B6CA18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 法律、法规和规章规定的其他义务。 </w:t>
      </w:r>
    </w:p>
    <w:p w14:paraId="0BF0C4FB">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六、评审专家在采购活动中应当遵守以下工作纪律 </w:t>
      </w:r>
    </w:p>
    <w:p w14:paraId="6779799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 应邀按时参加评审和咨询活动。遇特殊情况不能出席或途中遇阻不能按时参加评审或咨询的，应及时告知采购代理机构，不得私自转托他人。 </w:t>
      </w:r>
    </w:p>
    <w:p w14:paraId="2B7BA1C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 不得参加与自己有利害关系的采购项目的评审活动。对与自己有利害关系的评审项目，如受到邀请，应主动提出回避。行政监督部门、采购人或采购代理机构也可要求该评审专家回避。 </w:t>
      </w:r>
    </w:p>
    <w:p w14:paraId="1DB3DE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有利害关系主要是指三年内曾在参加该采购项目供应商中任职(包括一般工作)或担任顾问，配偶或直系亲属在参加该采购项目的供应商中任职或担任顾问，与参加该采购项目供应商发生过法律纠纷，以及其他可能影响公正评审的情况。 </w:t>
      </w:r>
    </w:p>
    <w:p w14:paraId="415F3F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 评审或咨询过程中关闭通讯设备，不得与外界联系。因发生不可预见情况，确实需要与外界联系的，应当有在场工作人员陪同。 </w:t>
      </w:r>
    </w:p>
    <w:p w14:paraId="2FB8F55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 评审过程中，不得发表影响评审公正的倾向性、歧视性言论；不得征询或者接受采购人的倾向性意见；不得以任何明示或暗示的方式要求参加该采购项目的供应商以澄清、说明或补正为借口，表达与其原磋商文件原意不同的新意见；不得以采购文件没有规定的方法和标准作为评审的依据；不得违反规定的评审格式评分和撰写评审意见；不得拒绝对自己的评审意见签字确认。 </w:t>
      </w:r>
    </w:p>
    <w:p w14:paraId="2CD5562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 在咨询工作中，严格执行国家产业政策和产品标准，认真听取咨询方的合理要求，提出科学合理的、无倾向性和歧视性的咨询方案，并对所提出的意见和建议承担个人责任。 </w:t>
      </w:r>
    </w:p>
    <w:p w14:paraId="5FBFC24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6. 有关部门（机构）制定的其他评审工作纪律。</w:t>
      </w:r>
    </w:p>
    <w:p w14:paraId="7DA88FAB">
      <w:pPr>
        <w:pageBreakBefore w:val="0"/>
        <w:kinsoku/>
        <w:wordWrap/>
        <w:overflowPunct/>
        <w:topLinePunct w:val="0"/>
        <w:autoSpaceDE/>
        <w:autoSpaceDN/>
        <w:bidi w:val="0"/>
        <w:spacing w:line="360" w:lineRule="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br w:type="page"/>
      </w:r>
    </w:p>
    <w:p w14:paraId="15DBA3A5">
      <w:pPr>
        <w:pageBreakBefore w:val="0"/>
        <w:numPr>
          <w:ilvl w:val="0"/>
          <w:numId w:val="0"/>
        </w:numPr>
        <w:kinsoku/>
        <w:wordWrap/>
        <w:overflowPunct/>
        <w:topLinePunct w:val="0"/>
        <w:autoSpaceDE/>
        <w:autoSpaceDN/>
        <w:bidi w:val="0"/>
        <w:spacing w:line="360" w:lineRule="auto"/>
        <w:jc w:val="center"/>
        <w:outlineLvl w:val="0"/>
        <w:rPr>
          <w:rFonts w:hint="eastAsia" w:ascii="Times New Roman" w:hAnsi="Times New Roman" w:cs="Times New Roman"/>
          <w:b/>
          <w:bCs/>
          <w:color w:val="auto"/>
          <w:spacing w:val="0"/>
          <w:kern w:val="44"/>
          <w:sz w:val="32"/>
          <w:szCs w:val="32"/>
          <w:highlight w:val="none"/>
          <w:lang w:val="en-US" w:eastAsia="zh-CN" w:bidi="ar-SA"/>
        </w:rPr>
      </w:pPr>
      <w:bookmarkStart w:id="16" w:name="_Toc6500"/>
      <w:bookmarkStart w:id="17" w:name="_Toc75266502"/>
      <w:bookmarkStart w:id="18" w:name="_Toc77257869"/>
      <w:r>
        <w:rPr>
          <w:rFonts w:hint="eastAsia" w:cs="Times New Roman"/>
          <w:b/>
          <w:bCs/>
          <w:color w:val="auto"/>
          <w:spacing w:val="0"/>
          <w:kern w:val="44"/>
          <w:sz w:val="32"/>
          <w:szCs w:val="32"/>
          <w:highlight w:val="none"/>
          <w:lang w:val="en-US" w:eastAsia="zh-CN" w:bidi="ar-SA"/>
        </w:rPr>
        <w:t>第四章  磋商内容及要求</w:t>
      </w:r>
      <w:bookmarkEnd w:id="16"/>
    </w:p>
    <w:p w14:paraId="047847A8">
      <w:pPr>
        <w:keepNext w:val="0"/>
        <w:keepLines w:val="0"/>
        <w:pageBreakBefore w:val="0"/>
        <w:widowControl w:val="0"/>
        <w:kinsoku/>
        <w:wordWrap/>
        <w:overflowPunct/>
        <w:topLinePunct w:val="0"/>
        <w:autoSpaceDE/>
        <w:autoSpaceDN/>
        <w:bidi w:val="0"/>
        <w:adjustRightInd/>
        <w:snapToGrid/>
        <w:spacing w:line="440" w:lineRule="exact"/>
        <w:ind w:right="57" w:rightChars="27"/>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w:t>
      </w:r>
      <w:r>
        <w:rPr>
          <w:rFonts w:hint="eastAsia" w:ascii="宋体" w:hAnsi="宋体" w:cs="宋体"/>
          <w:b/>
          <w:bCs/>
          <w:color w:val="auto"/>
          <w:sz w:val="24"/>
          <w:szCs w:val="24"/>
          <w:highlight w:val="none"/>
          <w:lang w:val="en-US" w:eastAsia="zh-CN"/>
        </w:rPr>
        <w:t>项目概况</w:t>
      </w:r>
    </w:p>
    <w:p w14:paraId="545BD8F3">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color w:val="auto"/>
          <w:spacing w:val="0"/>
          <w:sz w:val="24"/>
          <w:szCs w:val="24"/>
          <w:highlight w:val="none"/>
          <w:lang w:val="en-US" w:eastAsia="zh-CN"/>
        </w:rPr>
      </w:pPr>
      <w:r>
        <w:rPr>
          <w:rFonts w:hint="eastAsia" w:ascii="宋体" w:hAnsi="宋体" w:eastAsia="宋体" w:cs="宋体"/>
          <w:color w:val="auto"/>
          <w:sz w:val="24"/>
          <w:szCs w:val="24"/>
          <w:highlight w:val="none"/>
          <w:lang w:val="en-US" w:eastAsia="zh-CN"/>
        </w:rPr>
        <w:t>1、项目名称：</w:t>
      </w:r>
      <w:r>
        <w:rPr>
          <w:rFonts w:hint="eastAsia" w:ascii="宋体" w:hAnsi="宋体" w:cs="宋体"/>
          <w:color w:val="auto"/>
          <w:spacing w:val="0"/>
          <w:sz w:val="24"/>
          <w:szCs w:val="24"/>
          <w:highlight w:val="none"/>
          <w:lang w:val="en-US" w:eastAsia="zh-CN"/>
        </w:rPr>
        <w:t>陕西省常见草地植物图鉴项目研究技术服务-陕西省草原和湿地省级技术支撑服务项目</w:t>
      </w:r>
    </w:p>
    <w:p w14:paraId="0F9E6B75">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2、项目概况：结合全省基本草原划定工作方案和技术指南，立足陕西省草地资源分布特征、生态保护管控需求，开展本地化草地资源梳理、成果汇总及图鉴编制工作。 </w:t>
      </w:r>
    </w:p>
    <w:p w14:paraId="6E13E621">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default"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3、项目地点：陕西省</w:t>
      </w:r>
    </w:p>
    <w:p w14:paraId="231FDF02">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color w:val="0000FF"/>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服务期：</w:t>
      </w:r>
      <w:r>
        <w:rPr>
          <w:rFonts w:hint="eastAsia" w:ascii="宋体" w:hAnsi="宋体" w:cs="宋体"/>
          <w:color w:val="0000FF"/>
          <w:sz w:val="24"/>
          <w:szCs w:val="24"/>
          <w:highlight w:val="none"/>
          <w:lang w:val="en-US" w:eastAsia="zh-CN"/>
        </w:rPr>
        <w:t>合同签订后365天</w:t>
      </w:r>
    </w:p>
    <w:p w14:paraId="49EEA391">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Times New Roman"/>
          <w:color w:val="auto"/>
          <w:kern w:val="2"/>
          <w:sz w:val="24"/>
          <w:szCs w:val="24"/>
          <w:highlight w:val="none"/>
          <w:lang w:val="en-US" w:eastAsia="zh-CN" w:bidi="ar"/>
        </w:rPr>
      </w:pPr>
      <w:r>
        <w:rPr>
          <w:rFonts w:hint="eastAsia" w:ascii="宋体" w:hAnsi="宋体" w:cs="宋体"/>
          <w:color w:val="auto"/>
          <w:sz w:val="24"/>
          <w:szCs w:val="24"/>
          <w:highlight w:val="none"/>
          <w:lang w:val="en-US" w:eastAsia="zh-CN"/>
        </w:rPr>
        <w:t>5、</w:t>
      </w:r>
      <w:r>
        <w:rPr>
          <w:rFonts w:hint="eastAsia" w:ascii="宋体" w:hAnsi="宋体" w:eastAsia="宋体" w:cs="Times New Roman"/>
          <w:color w:val="auto"/>
          <w:kern w:val="2"/>
          <w:sz w:val="24"/>
          <w:szCs w:val="24"/>
          <w:highlight w:val="none"/>
          <w:lang w:val="en-US" w:eastAsia="zh-CN" w:bidi="ar"/>
        </w:rPr>
        <w:t>合同总价即成交价，供应商应在</w:t>
      </w:r>
      <w:r>
        <w:rPr>
          <w:rFonts w:hint="eastAsia" w:ascii="宋体" w:hAnsi="宋体" w:cs="Times New Roman"/>
          <w:color w:val="auto"/>
          <w:kern w:val="2"/>
          <w:sz w:val="24"/>
          <w:szCs w:val="24"/>
          <w:highlight w:val="none"/>
          <w:lang w:val="en-US" w:eastAsia="zh-CN" w:bidi="ar"/>
        </w:rPr>
        <w:t>响应</w:t>
      </w:r>
      <w:r>
        <w:rPr>
          <w:rFonts w:hint="eastAsia" w:ascii="宋体" w:hAnsi="宋体" w:eastAsia="宋体" w:cs="Times New Roman"/>
          <w:color w:val="auto"/>
          <w:kern w:val="2"/>
          <w:sz w:val="24"/>
          <w:szCs w:val="24"/>
          <w:highlight w:val="none"/>
          <w:lang w:val="en-US" w:eastAsia="zh-CN" w:bidi="ar"/>
        </w:rPr>
        <w:t>报价表中标明完成本次磋商所要服务的所有费用。</w:t>
      </w:r>
    </w:p>
    <w:p w14:paraId="4CDAAAC3">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color w:val="0000FF"/>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ascii="宋体" w:hAnsi="宋体" w:cs="宋体"/>
          <w:color w:val="4472C4" w:themeColor="accent5"/>
          <w:sz w:val="24"/>
          <w:szCs w:val="24"/>
          <w:highlight w:val="none"/>
          <w:lang w:val="en-US" w:eastAsia="zh-CN"/>
          <w14:textFill>
            <w14:solidFill>
              <w14:schemeClr w14:val="accent5"/>
            </w14:solidFill>
          </w14:textFill>
        </w:rPr>
        <w:t>付</w:t>
      </w:r>
      <w:r>
        <w:rPr>
          <w:rFonts w:hint="eastAsia" w:ascii="宋体" w:hAnsi="宋体" w:cs="宋体"/>
          <w:color w:val="0000FF"/>
          <w:sz w:val="24"/>
          <w:szCs w:val="24"/>
          <w:highlight w:val="none"/>
          <w:lang w:val="en-US" w:eastAsia="zh-CN"/>
        </w:rPr>
        <w:t>款方式：合同签订之后付合同总价款的40%，项目经过采购方和专家评审之后付合同总价款的40%，完成上报并验收合格后，支付余款20%。</w:t>
      </w:r>
    </w:p>
    <w:p w14:paraId="511E52E0">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二、项目依据</w:t>
      </w:r>
    </w:p>
    <w:p w14:paraId="57F422BA">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rPr>
        <w:t>一）《中华人民共和国草原法》(2021年）；</w:t>
      </w:r>
    </w:p>
    <w:p w14:paraId="40AEF489">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（二）《国家林业和草原局办公室关于加强基本草原划定和保护管理工作的通知》（办草字〔2025〕163号）</w:t>
      </w:r>
      <w:r>
        <w:rPr>
          <w:rFonts w:hint="eastAsia" w:ascii="宋体" w:hAnsi="宋体" w:cs="宋体"/>
          <w:b w:val="0"/>
          <w:bCs w:val="0"/>
          <w:color w:val="auto"/>
          <w:sz w:val="24"/>
          <w:szCs w:val="24"/>
          <w:highlight w:val="none"/>
          <w:lang w:val="en-US" w:eastAsia="zh-CN"/>
        </w:rPr>
        <w:t>；</w:t>
      </w:r>
    </w:p>
    <w:p w14:paraId="58248AE3">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（三）《关于成立陕西省林业局基本草原划定工作专班的通知》（陕林湿字〔2025〕540号）</w:t>
      </w:r>
      <w:r>
        <w:rPr>
          <w:rFonts w:hint="eastAsia" w:ascii="宋体" w:hAnsi="宋体" w:cs="宋体"/>
          <w:b w:val="0"/>
          <w:bCs w:val="0"/>
          <w:color w:val="auto"/>
          <w:sz w:val="24"/>
          <w:szCs w:val="24"/>
          <w:highlight w:val="none"/>
          <w:lang w:val="en-US" w:eastAsia="zh-CN"/>
        </w:rPr>
        <w:t>；</w:t>
      </w:r>
    </w:p>
    <w:p w14:paraId="267FB18C">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lang w:val="en-US" w:eastAsia="zh-CN"/>
        </w:rPr>
        <w:t>《省林业局基本草原划定工作专班会议纪要》（2025年第1次）。</w:t>
      </w:r>
    </w:p>
    <w:p w14:paraId="09D6F051">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三、采购内容</w:t>
      </w:r>
    </w:p>
    <w:p w14:paraId="5AA38E53">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结合全省基本草原划定工作方案和技术指南，立足陕西省草地资源分布特征、生态保护管控需求，开展本地化草地资源梳理、成果汇总及图鉴编制工作。依托全省基本草原划定全域调查数据、实地踏勘成果，开展陕西省草地植物资源专项研究，系统梳理全省基本草原划定工作中常见草地植物种类、分布区域、形态特征、生长习性、生态功能及保护价值，完成《陕西省常见草地植物图鉴》编制工作。图鉴需覆盖陕北、关中、陕南不同地域典型草地植物，兼顾草原生态保护、资源监管、科普应用等多重需求，形成图文并茂、数据详实、规范权威的专项图鉴成果。</w:t>
      </w:r>
    </w:p>
    <w:p w14:paraId="053E9807">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四、成果技术规格要求</w:t>
      </w:r>
    </w:p>
    <w:p w14:paraId="189DC0B1">
      <w:pPr>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outlineLvl w:val="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物种覆盖要求，全面筛选陕西省草原资源分布区高频常见草地植物，涵盖原生草本、饲用植物、生态保护性植物等主要品类，兼顾不同气候、地貌区域特色物种，物种筛选贴合陕西草原实际分布现状，无重要物种遗漏。</w:t>
      </w:r>
    </w:p>
    <w:p w14:paraId="73DA96E3">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2.内容编制要求，每个植物物种需包含标准中文名、拉丁学名、形态特征、生长环境、地理分布、生态价值、保护级别等核心内容，配套高清实拍植株、花叶特写影像，图文对应、描述精准、专业规范。</w:t>
      </w:r>
    </w:p>
    <w:p w14:paraId="3EC2BFAE">
      <w:pPr>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outlineLvl w:val="0"/>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3.成果格式要求，图鉴整体排版统一、体例规范，语言通俗易懂、专业严谨，可直接用于政务存档、行业指导、科普宣传及科研参考。 </w:t>
      </w:r>
    </w:p>
    <w:p w14:paraId="3FACB09F">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 xml:space="preserve">五、服务要求： </w:t>
      </w:r>
    </w:p>
    <w:p w14:paraId="5A3BBD09">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1.服务团队要求：供应商需配备专业技术服务团队，具备草原资源调查、植物分类、地理信息数据建库、成果编制相关专业能力，全程负责项目实地核查、数据整理、成果编制、对接答疑等工作。</w:t>
      </w:r>
    </w:p>
    <w:p w14:paraId="56CF3705">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2.进度管控要求：严格按照采购单位既定工期完成全部工作，定期提交工作进度台账、阶段性成果，主动配合采购单位开展阶段性核查、整改优化工作。</w:t>
      </w:r>
    </w:p>
    <w:p w14:paraId="4739EA30">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3.对接配合要求：全程对接省、市、县各级主管部门，完成县级成果收集、问题答疑、成果校核工作，及时响应采购单位的技术调整、内容优化需求。</w:t>
      </w:r>
    </w:p>
    <w:p w14:paraId="14B19F9A">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4.成果合规要求：所有成果为原创成果，无版权纠纷、数据抄袭、虚假填报等问题，完全归属采购单位所有，采购单位享有全部使用权、修改权、发布权。</w:t>
      </w:r>
    </w:p>
    <w:p w14:paraId="3A201167">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 </w:t>
      </w:r>
      <w:r>
        <w:rPr>
          <w:rFonts w:hint="eastAsia" w:asciiTheme="minorEastAsia" w:hAnsiTheme="minorEastAsia" w:eastAsiaTheme="minorEastAsia" w:cstheme="minorEastAsia"/>
          <w:b/>
          <w:bCs/>
          <w:color w:val="auto"/>
          <w:kern w:val="2"/>
          <w:sz w:val="24"/>
          <w:szCs w:val="24"/>
          <w:highlight w:val="none"/>
          <w:lang w:val="en-US" w:eastAsia="zh-CN" w:bidi="ar-SA"/>
        </w:rPr>
        <w:t>六、验收要求：</w:t>
      </w:r>
    </w:p>
    <w:p w14:paraId="3930D487">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本项目采用阶段性核查+最终综合验收模式，严格按照国家及行业技术标准、采购需求逐项验收，具体要求如下：</w:t>
      </w:r>
    </w:p>
    <w:p w14:paraId="7E7C6A10">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1.图鉴成果验收：《陕西省常见草地植物图鉴》物种覆盖全面、内容描述准确、图文质量达标、体例格式统一，无知识性、数据性错误，满足存档、应用、公开使用要求。</w:t>
      </w:r>
    </w:p>
    <w:p w14:paraId="7FB0D883">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2.资料完整性验收：需提交全套成果资料，包含纸质版图鉴、电子图鉴、影像素材、技术说明文档等，资料齐全、分类规整、可追溯。</w:t>
      </w:r>
    </w:p>
    <w:p w14:paraId="75027553">
      <w:pPr>
        <w:keepNext w:val="0"/>
        <w:keepLines w:val="0"/>
        <w:pageBreakBefore w:val="0"/>
        <w:numPr>
          <w:ilvl w:val="0"/>
          <w:numId w:val="0"/>
        </w:numPr>
        <w:kinsoku/>
        <w:wordWrap/>
        <w:overflowPunct/>
        <w:topLinePunct w:val="0"/>
        <w:autoSpaceDE/>
        <w:autoSpaceDN/>
        <w:bidi w:val="0"/>
        <w:adjustRightInd/>
        <w:snapToGrid/>
        <w:spacing w:line="440" w:lineRule="exact"/>
        <w:ind w:firstLine="482" w:firstLineChars="200"/>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 xml:space="preserve">七、质保售后： </w:t>
      </w:r>
    </w:p>
    <w:p w14:paraId="0482C92A">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1.质保服务期限：项目整体质保期不少于3年，自项目最终验收合格之日起计算，质保期内供应商提供免费技术运维、成果优化、数据更新及答疑服务。</w:t>
      </w:r>
    </w:p>
    <w:p w14:paraId="56EFD89A">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2.成果优化服务：针对图鉴内容、文字中发现的疏漏、偏差问题，需免费完成修订完善，提供最新修订版本，保障成果的准确性、权威性。</w:t>
      </w:r>
    </w:p>
    <w:p w14:paraId="7DFABE9A">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3.长期技术支持：质保期结束后，需持续提供终身技术咨询服务，针对成果后续应用、内容更新等需求，提供优先对接、优惠运维服务。</w:t>
      </w:r>
    </w:p>
    <w:p w14:paraId="6890C39E">
      <w:pPr>
        <w:pStyle w:val="2"/>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4.权益保障：质保期内，因技术问题、成果缺陷导致的一切损失，由供应商全权承担，确保采购单位合法权益不受损害。</w:t>
      </w:r>
    </w:p>
    <w:bookmarkEnd w:id="17"/>
    <w:bookmarkEnd w:id="18"/>
    <w:p w14:paraId="2BF50C69">
      <w:pPr>
        <w:pageBreakBefore w:val="0"/>
        <w:numPr>
          <w:ilvl w:val="0"/>
          <w:numId w:val="0"/>
        </w:numPr>
        <w:kinsoku/>
        <w:wordWrap/>
        <w:overflowPunct/>
        <w:topLinePunct w:val="0"/>
        <w:autoSpaceDE/>
        <w:autoSpaceDN/>
        <w:bidi w:val="0"/>
        <w:adjustRightInd/>
        <w:snapToGrid/>
        <w:spacing w:line="360" w:lineRule="auto"/>
        <w:ind w:firstLine="480" w:firstLineChars="200"/>
        <w:textAlignment w:val="auto"/>
        <w:outlineLvl w:val="0"/>
        <w:rPr>
          <w:rFonts w:hint="eastAsia" w:asciiTheme="minorEastAsia" w:hAnsiTheme="minorEastAsia" w:eastAsiaTheme="minorEastAsia" w:cstheme="minorEastAsia"/>
          <w:b w:val="0"/>
          <w:bCs w:val="0"/>
          <w:color w:val="auto"/>
          <w:kern w:val="2"/>
          <w:sz w:val="24"/>
          <w:szCs w:val="24"/>
          <w:highlight w:val="none"/>
          <w:lang w:val="en-US" w:eastAsia="zh-CN" w:bidi="ar-SA"/>
        </w:rPr>
        <w:sectPr>
          <w:headerReference r:id="rId3" w:type="default"/>
          <w:footerReference r:id="rId4" w:type="default"/>
          <w:pgSz w:w="11906" w:h="16838"/>
          <w:pgMar w:top="1418" w:right="1418" w:bottom="1418" w:left="1418" w:header="964" w:footer="964" w:gutter="0"/>
          <w:pgBorders>
            <w:top w:val="none" w:sz="0" w:space="0"/>
            <w:left w:val="none" w:sz="0" w:space="0"/>
            <w:bottom w:val="none" w:sz="0" w:space="0"/>
            <w:right w:val="none" w:sz="0" w:space="0"/>
          </w:pgBorders>
          <w:pgNumType w:fmt="decimal" w:start="1"/>
          <w:cols w:space="720" w:num="1"/>
          <w:docGrid w:linePitch="312" w:charSpace="0"/>
        </w:sectPr>
      </w:pPr>
      <w:r>
        <w:rPr>
          <w:rFonts w:hint="eastAsia" w:asciiTheme="minorEastAsia" w:hAnsiTheme="minorEastAsia" w:eastAsiaTheme="minorEastAsia" w:cstheme="minorEastAsia"/>
          <w:b w:val="0"/>
          <w:bCs w:val="0"/>
          <w:color w:val="auto"/>
          <w:kern w:val="2"/>
          <w:sz w:val="24"/>
          <w:szCs w:val="24"/>
          <w:highlight w:val="none"/>
          <w:lang w:val="en-US" w:eastAsia="zh-CN" w:bidi="ar-SA"/>
        </w:rPr>
        <w:br w:type="page"/>
      </w:r>
    </w:p>
    <w:p w14:paraId="03C54F14">
      <w:pPr>
        <w:pStyle w:val="3"/>
        <w:numPr>
          <w:ilvl w:val="0"/>
          <w:numId w:val="0"/>
        </w:numPr>
        <w:bidi w:val="0"/>
        <w:jc w:val="center"/>
        <w:rPr>
          <w:rFonts w:hint="eastAsia"/>
          <w:color w:val="auto"/>
          <w:highlight w:val="none"/>
          <w:lang w:val="en-US" w:eastAsia="zh-CN"/>
        </w:rPr>
      </w:pPr>
      <w:bookmarkStart w:id="19" w:name="_Toc32384"/>
      <w:r>
        <w:rPr>
          <w:rFonts w:hint="eastAsia"/>
          <w:color w:val="auto"/>
          <w:highlight w:val="none"/>
          <w:lang w:val="en-US" w:eastAsia="zh-CN"/>
        </w:rPr>
        <w:t>第五章  合同主要条款</w:t>
      </w:r>
      <w:bookmarkEnd w:id="19"/>
    </w:p>
    <w:p w14:paraId="53DAFFB2">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bookmarkStart w:id="20" w:name="_Toc31047"/>
      <w:bookmarkStart w:id="21" w:name="_Toc14769"/>
      <w:r>
        <w:rPr>
          <w:rFonts w:hint="eastAsia" w:ascii="宋体" w:hAnsi="宋体" w:eastAsia="宋体" w:cs="宋体"/>
          <w:bCs/>
          <w:color w:val="auto"/>
          <w:kern w:val="2"/>
          <w:sz w:val="24"/>
          <w:szCs w:val="24"/>
          <w:highlight w:val="none"/>
          <w:lang w:val="en-US" w:eastAsia="zh-CN" w:bidi="ar"/>
        </w:rPr>
        <w:t>甲方（采购人）：</w:t>
      </w:r>
    </w:p>
    <w:p w14:paraId="7952D861">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 xml:space="preserve">乙方（成交供应商）： </w:t>
      </w:r>
    </w:p>
    <w:p w14:paraId="59DD44F3">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cs="宋体"/>
          <w:bCs/>
          <w:color w:val="auto"/>
          <w:kern w:val="2"/>
          <w:sz w:val="24"/>
          <w:szCs w:val="24"/>
          <w:highlight w:val="none"/>
          <w:lang w:val="en-US" w:eastAsia="zh-CN" w:bidi="ar"/>
        </w:rPr>
        <w:t>陕西省常见草地植物图鉴项目研究技术服务-陕西省草原和湿地省级技术支撑服务项目</w:t>
      </w:r>
      <w:r>
        <w:rPr>
          <w:rFonts w:hint="eastAsia" w:ascii="宋体" w:hAnsi="宋体" w:eastAsia="宋体" w:cs="宋体"/>
          <w:bCs/>
          <w:color w:val="auto"/>
          <w:kern w:val="2"/>
          <w:sz w:val="24"/>
          <w:szCs w:val="24"/>
          <w:highlight w:val="none"/>
          <w:lang w:val="en-US" w:eastAsia="zh-CN" w:bidi="ar"/>
        </w:rPr>
        <w:t>(项目编号：</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)在由陕西中海招标有限公司组织采购</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(以下简称“甲方”)确定</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（以下简称“乙方”）为成交供应商。</w:t>
      </w:r>
    </w:p>
    <w:p w14:paraId="64AD2A3D">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依据《</w:t>
      </w:r>
      <w:r>
        <w:rPr>
          <w:rFonts w:hint="eastAsia" w:ascii="宋体" w:hAnsi="宋体" w:eastAsia="宋体" w:cs="宋体"/>
          <w:color w:val="auto"/>
          <w:kern w:val="2"/>
          <w:sz w:val="24"/>
          <w:szCs w:val="24"/>
          <w:highlight w:val="none"/>
          <w:lang w:val="en-US" w:eastAsia="zh-CN" w:bidi="ar"/>
        </w:rPr>
        <w:t>中华人民共和国民法典</w:t>
      </w:r>
      <w:r>
        <w:rPr>
          <w:rFonts w:hint="eastAsia" w:ascii="宋体" w:hAnsi="宋体" w:eastAsia="宋体" w:cs="宋体"/>
          <w:bCs/>
          <w:color w:val="auto"/>
          <w:kern w:val="2"/>
          <w:sz w:val="24"/>
          <w:szCs w:val="24"/>
          <w:highlight w:val="none"/>
          <w:lang w:val="en-US" w:eastAsia="zh-CN" w:bidi="ar"/>
        </w:rPr>
        <w:t>》和《中华人民共和国政府采购法》，经双方协商按下述条款和条件签署本合同。</w:t>
      </w:r>
    </w:p>
    <w:p w14:paraId="171FE0B5">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sz w:val="24"/>
          <w:szCs w:val="24"/>
          <w:highlight w:val="none"/>
          <w:lang w:val="en-US"/>
        </w:rPr>
      </w:pPr>
      <w:bookmarkStart w:id="22" w:name="_Toc26598"/>
      <w:bookmarkEnd w:id="22"/>
      <w:bookmarkStart w:id="23" w:name="_Toc17135"/>
      <w:r>
        <w:rPr>
          <w:rFonts w:hint="eastAsia" w:ascii="宋体" w:hAnsi="宋体" w:eastAsia="宋体" w:cs="宋体"/>
          <w:b/>
          <w:bCs w:val="0"/>
          <w:color w:val="auto"/>
          <w:kern w:val="2"/>
          <w:sz w:val="24"/>
          <w:szCs w:val="24"/>
          <w:highlight w:val="none"/>
          <w:lang w:val="en-US" w:eastAsia="zh-CN" w:bidi="ar"/>
        </w:rPr>
        <w:t>一、合同价款</w:t>
      </w:r>
      <w:bookmarkEnd w:id="23"/>
    </w:p>
    <w:p w14:paraId="3A171762">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bookmarkStart w:id="24" w:name="_Toc22277"/>
      <w:bookmarkEnd w:id="24"/>
      <w:bookmarkStart w:id="25" w:name="_Toc1340"/>
      <w:r>
        <w:rPr>
          <w:rFonts w:hint="eastAsia" w:ascii="宋体" w:hAnsi="宋体" w:eastAsia="宋体" w:cs="宋体"/>
          <w:bCs/>
          <w:color w:val="auto"/>
          <w:kern w:val="2"/>
          <w:sz w:val="24"/>
          <w:szCs w:val="24"/>
          <w:highlight w:val="none"/>
          <w:lang w:val="en-US" w:eastAsia="zh-CN" w:bidi="ar"/>
        </w:rPr>
        <w:t>（一）合同总价款为人民币（大写）</w:t>
      </w:r>
      <w:bookmarkEnd w:id="25"/>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w:t>
      </w:r>
    </w:p>
    <w:p w14:paraId="47C9DAA7">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（二）合同总价包括：包括但不限于完成本次招标所要求的货物、服务至验收合格的其他一切相关费用。</w:t>
      </w:r>
    </w:p>
    <w:p w14:paraId="4C3C028C">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（三）合同总价为固定总价，不受市场价格变化因素的影响。</w:t>
      </w:r>
    </w:p>
    <w:p w14:paraId="41C3401C">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二、款项结算</w:t>
      </w:r>
    </w:p>
    <w:p w14:paraId="21DC02E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kern w:val="2"/>
          <w:sz w:val="24"/>
          <w:szCs w:val="24"/>
          <w:highlight w:val="none"/>
          <w:lang w:val="en-US" w:eastAsia="zh-CN" w:bidi="ar"/>
        </w:rPr>
        <w:t>（一）合同款的支付</w:t>
      </w:r>
      <w:r>
        <w:rPr>
          <w:rFonts w:hint="eastAsia" w:ascii="宋体" w:hAnsi="宋体" w:eastAsia="宋体" w:cs="宋体"/>
          <w:color w:val="auto"/>
          <w:kern w:val="2"/>
          <w:sz w:val="24"/>
          <w:szCs w:val="24"/>
          <w:highlight w:val="none"/>
          <w:lang w:val="en-US" w:eastAsia="zh-CN" w:bidi="ar"/>
        </w:rPr>
        <w:t>：合同签订之后付合同总价款的40%，项目经过采购方和专家</w:t>
      </w:r>
      <w:r>
        <w:rPr>
          <w:rFonts w:hint="eastAsia" w:ascii="宋体" w:hAnsi="宋体" w:cs="宋体"/>
          <w:color w:val="auto"/>
          <w:kern w:val="2"/>
          <w:sz w:val="24"/>
          <w:szCs w:val="24"/>
          <w:highlight w:val="none"/>
          <w:lang w:val="en-US" w:eastAsia="zh-CN" w:bidi="ar"/>
        </w:rPr>
        <w:t>评审之后</w:t>
      </w:r>
      <w:r>
        <w:rPr>
          <w:rFonts w:hint="eastAsia" w:ascii="宋体" w:hAnsi="宋体" w:eastAsia="宋体" w:cs="宋体"/>
          <w:color w:val="auto"/>
          <w:kern w:val="2"/>
          <w:sz w:val="24"/>
          <w:szCs w:val="24"/>
          <w:highlight w:val="none"/>
          <w:lang w:val="en-US" w:eastAsia="zh-CN" w:bidi="ar"/>
        </w:rPr>
        <w:t>付合同总价款的</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0%，完成上报并</w:t>
      </w:r>
      <w:r>
        <w:rPr>
          <w:rFonts w:hint="eastAsia" w:ascii="宋体" w:hAnsi="宋体" w:cs="宋体"/>
          <w:color w:val="auto"/>
          <w:kern w:val="2"/>
          <w:sz w:val="24"/>
          <w:szCs w:val="24"/>
          <w:highlight w:val="none"/>
          <w:lang w:val="en-US" w:eastAsia="zh-CN" w:bidi="ar"/>
        </w:rPr>
        <w:t>验收</w:t>
      </w:r>
      <w:r>
        <w:rPr>
          <w:rFonts w:hint="eastAsia" w:ascii="宋体" w:hAnsi="宋体" w:eastAsia="宋体" w:cs="宋体"/>
          <w:color w:val="auto"/>
          <w:kern w:val="2"/>
          <w:sz w:val="24"/>
          <w:szCs w:val="24"/>
          <w:highlight w:val="none"/>
          <w:lang w:val="en-US" w:eastAsia="zh-CN" w:bidi="ar"/>
        </w:rPr>
        <w:t>合格后，支付余款</w:t>
      </w:r>
      <w:r>
        <w:rPr>
          <w:rFonts w:hint="eastAsia" w:ascii="宋体" w:hAnsi="宋体" w:cs="宋体"/>
          <w:color w:val="auto"/>
          <w:kern w:val="2"/>
          <w:sz w:val="24"/>
          <w:szCs w:val="24"/>
          <w:highlight w:val="none"/>
          <w:lang w:val="en-US" w:eastAsia="zh-CN" w:bidi="ar"/>
        </w:rPr>
        <w:t>2</w:t>
      </w:r>
      <w:r>
        <w:rPr>
          <w:rFonts w:hint="eastAsia" w:ascii="宋体" w:hAnsi="宋体" w:eastAsia="宋体" w:cs="宋体"/>
          <w:color w:val="auto"/>
          <w:kern w:val="2"/>
          <w:sz w:val="24"/>
          <w:szCs w:val="24"/>
          <w:highlight w:val="none"/>
          <w:lang w:val="en-US" w:eastAsia="zh-CN" w:bidi="ar"/>
        </w:rPr>
        <w:t>0%。</w:t>
      </w:r>
    </w:p>
    <w:p w14:paraId="472AF96B">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（二）支付方式：银行转账。</w:t>
      </w:r>
    </w:p>
    <w:p w14:paraId="684FA08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（三）结算单位：</w:t>
      </w:r>
      <w:r>
        <w:rPr>
          <w:rFonts w:hint="eastAsia" w:ascii="宋体" w:hAnsi="宋体" w:eastAsia="宋体" w:cs="宋体"/>
          <w:color w:val="auto"/>
          <w:sz w:val="24"/>
          <w:szCs w:val="24"/>
          <w:highlight w:val="none"/>
        </w:rPr>
        <w:t>采购人结算，在付款前必须开具增值税发票给采购人</w:t>
      </w:r>
      <w:r>
        <w:rPr>
          <w:rFonts w:hint="eastAsia" w:ascii="宋体" w:hAnsi="宋体" w:eastAsia="宋体" w:cs="宋体"/>
          <w:color w:val="auto"/>
          <w:kern w:val="2"/>
          <w:sz w:val="24"/>
          <w:szCs w:val="24"/>
          <w:highlight w:val="none"/>
          <w:lang w:val="en-US" w:eastAsia="zh-CN" w:bidi="ar"/>
        </w:rPr>
        <w:t>。</w:t>
      </w:r>
    </w:p>
    <w:p w14:paraId="7B65F62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rPr>
      </w:pPr>
      <w:bookmarkStart w:id="26" w:name="_Toc19642"/>
      <w:bookmarkEnd w:id="26"/>
      <w:bookmarkStart w:id="27" w:name="_Toc20456"/>
      <w:r>
        <w:rPr>
          <w:rFonts w:hint="eastAsia" w:ascii="宋体" w:hAnsi="宋体" w:eastAsia="宋体" w:cs="宋体"/>
          <w:b/>
          <w:bCs w:val="0"/>
          <w:color w:val="auto"/>
          <w:kern w:val="2"/>
          <w:sz w:val="24"/>
          <w:szCs w:val="24"/>
          <w:highlight w:val="none"/>
          <w:lang w:val="en-US" w:eastAsia="zh-CN" w:bidi="ar"/>
        </w:rPr>
        <w:t>三、</w:t>
      </w:r>
      <w:bookmarkEnd w:id="27"/>
      <w:r>
        <w:rPr>
          <w:rFonts w:hint="eastAsia" w:ascii="宋体" w:hAnsi="宋体" w:eastAsia="宋体" w:cs="宋体"/>
          <w:b/>
          <w:bCs/>
          <w:color w:val="auto"/>
          <w:kern w:val="2"/>
          <w:sz w:val="24"/>
          <w:szCs w:val="24"/>
          <w:highlight w:val="none"/>
          <w:lang w:val="en-US" w:eastAsia="zh-CN" w:bidi="ar"/>
        </w:rPr>
        <w:t>实施地点与服务期：</w:t>
      </w:r>
    </w:p>
    <w:p w14:paraId="17ECD3F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（一）实施地点：甲方指定地点。</w:t>
      </w:r>
    </w:p>
    <w:p w14:paraId="16EBA52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宋体" w:hAnsi="宋体" w:eastAsia="宋体" w:cs="宋体"/>
          <w:color w:val="0000FF"/>
          <w:sz w:val="24"/>
          <w:szCs w:val="24"/>
          <w:highlight w:val="none"/>
          <w:lang w:val="en-US"/>
        </w:rPr>
      </w:pPr>
      <w:r>
        <w:rPr>
          <w:rFonts w:hint="eastAsia" w:ascii="宋体" w:hAnsi="宋体" w:eastAsia="宋体" w:cs="宋体"/>
          <w:color w:val="auto"/>
          <w:kern w:val="2"/>
          <w:sz w:val="24"/>
          <w:szCs w:val="24"/>
          <w:highlight w:val="none"/>
          <w:lang w:val="en-US" w:eastAsia="zh-CN" w:bidi="ar"/>
        </w:rPr>
        <w:t>（二）</w:t>
      </w:r>
      <w:r>
        <w:rPr>
          <w:rFonts w:hint="eastAsia" w:ascii="宋体" w:hAnsi="宋体" w:eastAsia="宋体" w:cs="宋体"/>
          <w:bCs/>
          <w:color w:val="0000FF"/>
          <w:kern w:val="2"/>
          <w:sz w:val="24"/>
          <w:szCs w:val="24"/>
          <w:highlight w:val="none"/>
          <w:lang w:val="en-US" w:eastAsia="zh-CN" w:bidi="ar"/>
        </w:rPr>
        <w:t>服务期：</w:t>
      </w:r>
      <w:r>
        <w:rPr>
          <w:rFonts w:hint="eastAsia" w:ascii="宋体" w:hAnsi="宋体" w:cs="宋体"/>
          <w:color w:val="0000FF"/>
          <w:sz w:val="24"/>
          <w:szCs w:val="24"/>
          <w:highlight w:val="none"/>
          <w:lang w:val="en-US" w:eastAsia="zh-CN"/>
        </w:rPr>
        <w:t>合同签订后365天。</w:t>
      </w:r>
    </w:p>
    <w:p w14:paraId="6227DA8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rPr>
      </w:pPr>
      <w:bookmarkStart w:id="28" w:name="_Toc5951"/>
      <w:bookmarkEnd w:id="28"/>
      <w:bookmarkStart w:id="29" w:name="_Toc13422"/>
      <w:r>
        <w:rPr>
          <w:rFonts w:hint="eastAsia" w:ascii="宋体" w:hAnsi="宋体" w:eastAsia="宋体" w:cs="宋体"/>
          <w:b/>
          <w:bCs/>
          <w:color w:val="auto"/>
          <w:kern w:val="2"/>
          <w:sz w:val="24"/>
          <w:szCs w:val="24"/>
          <w:highlight w:val="none"/>
          <w:lang w:val="en-US" w:eastAsia="zh-CN" w:bidi="ar"/>
        </w:rPr>
        <w:t>四、技术服务</w:t>
      </w:r>
      <w:bookmarkEnd w:id="29"/>
    </w:p>
    <w:p w14:paraId="5D49D49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168" w:rightChars="-8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（一）技术资料：</w:t>
      </w:r>
    </w:p>
    <w:p w14:paraId="44F5E73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168" w:rightChars="-8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1.服务方案。</w:t>
      </w:r>
    </w:p>
    <w:p w14:paraId="39F3250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168" w:rightChars="-8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2.其它资料。</w:t>
      </w:r>
    </w:p>
    <w:p w14:paraId="3C138AD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168" w:rightChars="-8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（二）服务承诺：响应文件有明确的服务承诺。</w:t>
      </w:r>
      <w:bookmarkStart w:id="30" w:name="_Toc29562"/>
      <w:bookmarkEnd w:id="30"/>
    </w:p>
    <w:p w14:paraId="6925F681">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color w:val="auto"/>
          <w:sz w:val="24"/>
          <w:szCs w:val="24"/>
          <w:highlight w:val="none"/>
          <w:lang w:val="en-US"/>
        </w:rPr>
      </w:pPr>
      <w:bookmarkStart w:id="31" w:name="_Toc3666"/>
      <w:bookmarkEnd w:id="31"/>
      <w:bookmarkStart w:id="32" w:name="_Toc9857"/>
      <w:bookmarkEnd w:id="32"/>
      <w:bookmarkStart w:id="33" w:name="_Toc10713"/>
      <w:bookmarkEnd w:id="33"/>
      <w:bookmarkStart w:id="34" w:name="_Toc26881"/>
      <w:r>
        <w:rPr>
          <w:rFonts w:hint="eastAsia" w:ascii="宋体" w:hAnsi="宋体" w:eastAsia="宋体" w:cs="宋体"/>
          <w:b/>
          <w:bCs/>
          <w:color w:val="auto"/>
          <w:kern w:val="2"/>
          <w:sz w:val="24"/>
          <w:szCs w:val="24"/>
          <w:highlight w:val="none"/>
          <w:lang w:val="en-US" w:eastAsia="zh-CN" w:bidi="ar"/>
        </w:rPr>
        <w:t>五、</w:t>
      </w:r>
      <w:bookmarkEnd w:id="34"/>
      <w:r>
        <w:rPr>
          <w:rFonts w:hint="eastAsia" w:ascii="宋体" w:hAnsi="宋体" w:eastAsia="宋体" w:cs="宋体"/>
          <w:b/>
          <w:bCs w:val="0"/>
          <w:color w:val="auto"/>
          <w:kern w:val="2"/>
          <w:sz w:val="24"/>
          <w:szCs w:val="24"/>
          <w:highlight w:val="none"/>
          <w:lang w:val="en-US" w:eastAsia="zh-CN" w:bidi="ar"/>
        </w:rPr>
        <w:t>质量保证：</w:t>
      </w:r>
      <w:bookmarkStart w:id="52" w:name="_GoBack"/>
      <w:bookmarkEnd w:id="52"/>
    </w:p>
    <w:p w14:paraId="3C9D2401">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供应商提供的产品及服务应全面满足磋商内容的要求，磋商文件未明确要求的内容，供应商须按国家最新发布的规范标准执行或以采购人的补充要求为准，如发生质量问题由供应商承担全部责任。</w:t>
      </w:r>
    </w:p>
    <w:p w14:paraId="2ABD727C">
      <w:pPr>
        <w:pStyle w:val="4"/>
        <w:pageBreakBefore w:val="0"/>
        <w:numPr>
          <w:ilvl w:val="1"/>
          <w:numId w:val="0"/>
        </w:numPr>
        <w:kinsoku/>
        <w:wordWrap/>
        <w:overflowPunct/>
        <w:topLinePunct w:val="0"/>
        <w:bidi w:val="0"/>
        <w:spacing w:line="360" w:lineRule="auto"/>
        <w:ind w:left="420" w:leftChars="0"/>
        <w:textAlignment w:val="auto"/>
        <w:rPr>
          <w:rFonts w:hint="eastAsia" w:eastAsia="宋体"/>
          <w:color w:val="auto"/>
          <w:sz w:val="24"/>
          <w:szCs w:val="24"/>
          <w:highlight w:val="none"/>
          <w:lang w:val="en-US" w:eastAsia="zh-CN"/>
        </w:rPr>
      </w:pPr>
      <w:r>
        <w:rPr>
          <w:rFonts w:hint="eastAsia"/>
          <w:color w:val="auto"/>
          <w:sz w:val="24"/>
          <w:szCs w:val="24"/>
          <w:highlight w:val="none"/>
          <w:lang w:val="en-US" w:eastAsia="zh-CN"/>
        </w:rPr>
        <w:t>质量验收：</w:t>
      </w:r>
    </w:p>
    <w:p w14:paraId="01B32762">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提供</w:t>
      </w:r>
      <w:r>
        <w:rPr>
          <w:rFonts w:hint="eastAsia" w:ascii="宋体" w:hAnsi="宋体" w:cs="宋体"/>
          <w:color w:val="auto"/>
          <w:kern w:val="2"/>
          <w:sz w:val="24"/>
          <w:szCs w:val="24"/>
          <w:highlight w:val="none"/>
          <w:lang w:val="en-US" w:eastAsia="zh-CN" w:bidi="ar"/>
        </w:rPr>
        <w:t>图鉴电子数据、影像素材及技术说明文档</w:t>
      </w:r>
      <w:r>
        <w:rPr>
          <w:rFonts w:hint="eastAsia" w:ascii="宋体" w:hAnsi="宋体" w:eastAsia="宋体" w:cs="宋体"/>
          <w:color w:val="auto"/>
          <w:kern w:val="2"/>
          <w:sz w:val="24"/>
          <w:szCs w:val="24"/>
          <w:highlight w:val="none"/>
          <w:lang w:val="en-US" w:eastAsia="zh-CN" w:bidi="ar"/>
        </w:rPr>
        <w:t>。</w:t>
      </w:r>
    </w:p>
    <w:p w14:paraId="717F4E79">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六、双方权利及义务</w:t>
      </w:r>
    </w:p>
    <w:p w14:paraId="56E7068E">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1.甲乙双方必须遵守本合同并执行合同中的各项规定，保证本合同的正常履行。</w:t>
      </w:r>
    </w:p>
    <w:p w14:paraId="0308DD7A">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2.本合同签订后甲乙双方不得单方终止合同，如乙方违约，应退还预付款，并赔偿给甲方实际造成的损失；如甲方违约，乙方收取的预付款不予退还。</w:t>
      </w:r>
    </w:p>
    <w:p w14:paraId="72C69252">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3.如因乙方存在以下行为，甲方有权终止合同，依法向乙方进行经济索赔，并报请政府采购监督管理机关进行相应的行政处罚。</w:t>
      </w:r>
    </w:p>
    <w:p w14:paraId="294940DD">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4.甲方违约的，应当赔偿给乙方造成的直接经济损失。</w:t>
      </w:r>
    </w:p>
    <w:p w14:paraId="5616CB33">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5.本合同未经双方同意，任何一方不得以任何形式公开本合同及附件内容，以确保双方的商业机密。</w:t>
      </w:r>
    </w:p>
    <w:p w14:paraId="2F7E3BA3">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78CBA69B">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七、保密</w:t>
      </w:r>
    </w:p>
    <w:p w14:paraId="3169E69F">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双方须对工作中了解到的技术、机密等进行严格保密，未经对方同意不得向他人泄漏。</w:t>
      </w:r>
    </w:p>
    <w:p w14:paraId="006E1131">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八、知识产权</w:t>
      </w:r>
    </w:p>
    <w:p w14:paraId="17AEB8CC">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乙方应保证磋商产品及服务不会出现因第三方提出侵犯其专利权、商标权或其它知识产权而引发法律或经济纠纷，否则由乙方承担全部责任。任何被乙方用于未经授权的商业目的行为所造成的违约或侵权责任由乙方承但。</w:t>
      </w:r>
    </w:p>
    <w:p w14:paraId="48E67042">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3"/>
        <w:jc w:val="both"/>
        <w:textAlignment w:val="auto"/>
        <w:rPr>
          <w:rFonts w:hint="eastAsia" w:ascii="宋体" w:hAnsi="宋体" w:eastAsia="宋体" w:cs="宋体"/>
          <w:b/>
          <w:bCs w:val="0"/>
          <w:color w:val="auto"/>
          <w:sz w:val="24"/>
          <w:szCs w:val="24"/>
          <w:highlight w:val="none"/>
          <w:lang w:val="en-US"/>
        </w:rPr>
      </w:pPr>
      <w:bookmarkStart w:id="35" w:name="_Toc11251"/>
      <w:r>
        <w:rPr>
          <w:rFonts w:hint="eastAsia" w:ascii="宋体" w:hAnsi="宋体" w:eastAsia="宋体" w:cs="宋体"/>
          <w:b/>
          <w:bCs w:val="0"/>
          <w:color w:val="auto"/>
          <w:kern w:val="2"/>
          <w:sz w:val="24"/>
          <w:szCs w:val="24"/>
          <w:highlight w:val="none"/>
          <w:lang w:val="en-US" w:eastAsia="zh-CN" w:bidi="ar"/>
        </w:rPr>
        <w:t>九、合同争议解决的方式</w:t>
      </w:r>
      <w:bookmarkEnd w:id="35"/>
    </w:p>
    <w:p w14:paraId="2162D01E">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本合同在履行过程中发生的争议，由甲、乙双方当事人协商解决，协商不成的按下列</w:t>
      </w:r>
      <w:r>
        <w:rPr>
          <w:rFonts w:hint="eastAsia" w:ascii="宋体" w:hAnsi="宋体" w:eastAsia="宋体" w:cs="宋体"/>
          <w:color w:val="auto"/>
          <w:kern w:val="2"/>
          <w:sz w:val="24"/>
          <w:szCs w:val="24"/>
          <w:highlight w:val="none"/>
          <w:u w:val="none"/>
          <w:lang w:val="en-US" w:eastAsia="zh-CN" w:bidi="ar"/>
        </w:rPr>
        <w:t>第</w:t>
      </w:r>
      <w:r>
        <w:rPr>
          <w:rFonts w:hint="eastAsia" w:ascii="宋体" w:hAnsi="宋体" w:eastAsia="宋体" w:cs="宋体"/>
          <w:color w:val="auto"/>
          <w:kern w:val="2"/>
          <w:sz w:val="24"/>
          <w:szCs w:val="24"/>
          <w:highlight w:val="none"/>
          <w:u w:val="single"/>
          <w:lang w:val="en-US" w:eastAsia="zh-CN" w:bidi="ar"/>
        </w:rPr>
        <w:t>（二）</w:t>
      </w:r>
      <w:r>
        <w:rPr>
          <w:rFonts w:hint="eastAsia" w:ascii="宋体" w:hAnsi="宋体" w:eastAsia="宋体" w:cs="宋体"/>
          <w:color w:val="auto"/>
          <w:kern w:val="2"/>
          <w:sz w:val="24"/>
          <w:szCs w:val="24"/>
          <w:highlight w:val="none"/>
          <w:lang w:val="en-US" w:eastAsia="zh-CN" w:bidi="ar"/>
        </w:rPr>
        <w:t>种方式解决：</w:t>
      </w:r>
    </w:p>
    <w:p w14:paraId="45C88F2D">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（一）提交西安仲裁委员会仲裁；</w:t>
      </w:r>
    </w:p>
    <w:p w14:paraId="2D922E0B">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（二）依法向甲方所在地人民法院起诉。</w:t>
      </w:r>
    </w:p>
    <w:p w14:paraId="423026B2">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十、合同履行</w:t>
      </w:r>
    </w:p>
    <w:p w14:paraId="597545C4">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合同一经签订，双方不得擅自变更、中止或者终止合同。对确需变更、调整或者中止、终止合同的，应按规定履行相应的手续。</w:t>
      </w:r>
    </w:p>
    <w:p w14:paraId="62D19058">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十一、违约责任</w:t>
      </w:r>
    </w:p>
    <w:p w14:paraId="5349177A">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（一）按《中华人民共和国政府采购法》、《中华人民共和国民法典》中的相关条款执行。</w:t>
      </w:r>
    </w:p>
    <w:p w14:paraId="658DB591">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（二）未按合同要求提供服务或服务质量不能满足本次采购要求，采购人会同监督机构、采购代理机构有权终止合同和对中标人违约行为进行追究，同时按政府采购法的有关规定进行相应的处罚。</w:t>
      </w:r>
    </w:p>
    <w:p w14:paraId="43FD7550">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bookmarkStart w:id="36" w:name="_Toc31089"/>
      <w:bookmarkEnd w:id="36"/>
      <w:bookmarkStart w:id="37" w:name="_Toc18561"/>
      <w:r>
        <w:rPr>
          <w:rFonts w:hint="eastAsia" w:ascii="宋体" w:hAnsi="宋体" w:eastAsia="宋体" w:cs="宋体"/>
          <w:b/>
          <w:bCs w:val="0"/>
          <w:color w:val="auto"/>
          <w:kern w:val="2"/>
          <w:sz w:val="24"/>
          <w:szCs w:val="24"/>
          <w:highlight w:val="none"/>
          <w:lang w:val="en-US" w:eastAsia="zh-CN" w:bidi="ar"/>
        </w:rPr>
        <w:t>十二、合同生效</w:t>
      </w:r>
      <w:bookmarkEnd w:id="37"/>
    </w:p>
    <w:p w14:paraId="12FF5559">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（一）本合同须经甲、乙双方的法定代表人（授权代理人）在合同书上签字并加盖本单位公章后正式生效。</w:t>
      </w:r>
    </w:p>
    <w:p w14:paraId="11E45BB7">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（二）合同生效后，甲、乙双方须严格执行本合同条款的规定，全面履行合同，违者按《中华人民共和国民法典》的有关规定承担相应责任。</w:t>
      </w:r>
    </w:p>
    <w:p w14:paraId="42599586">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（三）本合同一式</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份，甲乙双方各执</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份。</w:t>
      </w:r>
    </w:p>
    <w:p w14:paraId="4A761ABA">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（四）本合同如有未尽事宜，甲、乙双方协商解决。</w:t>
      </w:r>
    </w:p>
    <w:tbl>
      <w:tblPr>
        <w:tblStyle w:val="16"/>
        <w:tblW w:w="9079"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29"/>
        <w:gridCol w:w="4850"/>
      </w:tblGrid>
      <w:tr w14:paraId="04CBA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1395A26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甲  方：</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（盖章）</w:t>
            </w:r>
          </w:p>
        </w:tc>
        <w:tc>
          <w:tcPr>
            <w:tcW w:w="4850" w:type="dxa"/>
            <w:shd w:val="clear" w:color="auto" w:fill="auto"/>
            <w:vAlign w:val="center"/>
          </w:tcPr>
          <w:p w14:paraId="345186D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960" w:firstLineChars="4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乙  方：</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（盖章）</w:t>
            </w:r>
          </w:p>
        </w:tc>
      </w:tr>
      <w:tr w14:paraId="3F636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4DF356A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 xml:space="preserve">地址： </w:t>
            </w:r>
          </w:p>
        </w:tc>
        <w:tc>
          <w:tcPr>
            <w:tcW w:w="4850" w:type="dxa"/>
            <w:shd w:val="clear" w:color="auto" w:fill="auto"/>
            <w:vAlign w:val="center"/>
          </w:tcPr>
          <w:p w14:paraId="5BB3A25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960" w:firstLineChars="4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地址：</w:t>
            </w:r>
          </w:p>
        </w:tc>
      </w:tr>
      <w:tr w14:paraId="2BA1F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7F7F3004">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邮编：</w:t>
            </w:r>
          </w:p>
        </w:tc>
        <w:tc>
          <w:tcPr>
            <w:tcW w:w="4850" w:type="dxa"/>
            <w:shd w:val="clear" w:color="auto" w:fill="auto"/>
            <w:vAlign w:val="center"/>
          </w:tcPr>
          <w:p w14:paraId="013C6ADE">
            <w:pPr>
              <w:keepNext w:val="0"/>
              <w:keepLines w:val="0"/>
              <w:widowControl w:val="0"/>
              <w:suppressLineNumbers w:val="0"/>
              <w:spacing w:before="0" w:beforeAutospacing="0" w:after="0" w:afterAutospacing="0" w:line="520" w:lineRule="exact"/>
              <w:ind w:left="0" w:right="0" w:firstLine="960" w:firstLineChars="40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邮编：</w:t>
            </w:r>
          </w:p>
        </w:tc>
      </w:tr>
      <w:tr w14:paraId="5CE6F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65B69C90">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 xml:space="preserve">法人（授权代表）： </w:t>
            </w:r>
          </w:p>
        </w:tc>
        <w:tc>
          <w:tcPr>
            <w:tcW w:w="4850" w:type="dxa"/>
            <w:shd w:val="clear" w:color="auto" w:fill="auto"/>
            <w:vAlign w:val="center"/>
          </w:tcPr>
          <w:p w14:paraId="05542B6A">
            <w:pPr>
              <w:keepNext w:val="0"/>
              <w:keepLines w:val="0"/>
              <w:widowControl w:val="0"/>
              <w:suppressLineNumbers w:val="0"/>
              <w:spacing w:before="0" w:beforeAutospacing="0" w:after="0" w:afterAutospacing="0" w:line="520" w:lineRule="exact"/>
              <w:ind w:left="0" w:right="0" w:firstLine="960" w:firstLineChars="40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法人（授权代表）：</w:t>
            </w:r>
          </w:p>
        </w:tc>
      </w:tr>
      <w:tr w14:paraId="140D3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58E50A4B">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日期：</w:t>
            </w:r>
          </w:p>
        </w:tc>
        <w:tc>
          <w:tcPr>
            <w:tcW w:w="4850" w:type="dxa"/>
            <w:shd w:val="clear" w:color="auto" w:fill="auto"/>
            <w:vAlign w:val="center"/>
          </w:tcPr>
          <w:p w14:paraId="0E478801">
            <w:pPr>
              <w:keepNext w:val="0"/>
              <w:keepLines w:val="0"/>
              <w:widowControl w:val="0"/>
              <w:suppressLineNumbers w:val="0"/>
              <w:spacing w:before="0" w:beforeAutospacing="0" w:after="0" w:afterAutospacing="0" w:line="520" w:lineRule="exact"/>
              <w:ind w:left="0" w:right="0" w:firstLine="960" w:firstLineChars="40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日期：</w:t>
            </w:r>
          </w:p>
        </w:tc>
      </w:tr>
    </w:tbl>
    <w:p w14:paraId="461833DE">
      <w:pPr>
        <w:pStyle w:val="29"/>
        <w:widowControl/>
        <w:ind w:left="0" w:firstLine="482"/>
        <w:rPr>
          <w:rFonts w:hint="eastAsia" w:ascii="宋体" w:hAnsi="宋体" w:eastAsia="宋体" w:cs="宋体"/>
          <w:b/>
          <w:bCs/>
          <w:color w:val="auto"/>
          <w:kern w:val="2"/>
          <w:sz w:val="24"/>
          <w:szCs w:val="24"/>
          <w:highlight w:val="none"/>
          <w:lang w:val="en-US"/>
        </w:rPr>
      </w:pPr>
      <w:r>
        <w:rPr>
          <w:rFonts w:hint="eastAsia" w:ascii="宋体" w:hAnsi="宋体" w:eastAsia="宋体" w:cs="宋体"/>
          <w:b/>
          <w:bCs w:val="0"/>
          <w:color w:val="auto"/>
          <w:sz w:val="24"/>
          <w:szCs w:val="24"/>
          <w:highlight w:val="none"/>
          <w:lang w:eastAsia="zh-CN"/>
        </w:rPr>
        <w:t>注：本合同仅供参考，具体内容由甲乙双方协商而定。</w:t>
      </w:r>
    </w:p>
    <w:p w14:paraId="0D495809">
      <w:pPr>
        <w:pageBreakBefore w:val="0"/>
        <w:kinsoku/>
        <w:wordWrap/>
        <w:overflowPunct/>
        <w:topLinePunct w:val="0"/>
        <w:autoSpaceDE/>
        <w:autoSpaceDN/>
        <w:bidi w:val="0"/>
        <w:spacing w:line="360" w:lineRule="auto"/>
        <w:jc w:val="center"/>
        <w:outlineLvl w:val="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br w:type="page"/>
      </w:r>
      <w:bookmarkEnd w:id="20"/>
      <w:bookmarkEnd w:id="21"/>
    </w:p>
    <w:p w14:paraId="445246A8">
      <w:pPr>
        <w:pageBreakBefore w:val="0"/>
        <w:kinsoku/>
        <w:wordWrap/>
        <w:overflowPunct/>
        <w:topLinePunct w:val="0"/>
        <w:autoSpaceDE/>
        <w:autoSpaceDN/>
        <w:bidi w:val="0"/>
        <w:spacing w:line="360" w:lineRule="auto"/>
        <w:jc w:val="center"/>
        <w:outlineLvl w:val="0"/>
        <w:rPr>
          <w:rFonts w:hint="eastAsia" w:ascii="Times New Roman" w:hAnsi="Times New Roman" w:cs="Times New Roman"/>
          <w:b/>
          <w:bCs/>
          <w:color w:val="auto"/>
          <w:spacing w:val="0"/>
          <w:kern w:val="44"/>
          <w:sz w:val="32"/>
          <w:szCs w:val="32"/>
          <w:highlight w:val="none"/>
          <w:lang w:val="en-US" w:eastAsia="zh-CN" w:bidi="ar-SA"/>
        </w:rPr>
      </w:pPr>
      <w:bookmarkStart w:id="38" w:name="_Toc6654"/>
      <w:r>
        <w:rPr>
          <w:rFonts w:hint="eastAsia" w:ascii="Times New Roman" w:hAnsi="Times New Roman" w:cs="Times New Roman"/>
          <w:b/>
          <w:bCs/>
          <w:color w:val="auto"/>
          <w:spacing w:val="0"/>
          <w:kern w:val="44"/>
          <w:sz w:val="32"/>
          <w:szCs w:val="32"/>
          <w:highlight w:val="none"/>
          <w:lang w:val="en-US" w:eastAsia="zh-CN" w:bidi="ar-SA"/>
        </w:rPr>
        <w:t>第</w:t>
      </w:r>
      <w:r>
        <w:rPr>
          <w:rFonts w:hint="eastAsia" w:cs="Times New Roman"/>
          <w:b/>
          <w:bCs/>
          <w:color w:val="auto"/>
          <w:spacing w:val="0"/>
          <w:kern w:val="44"/>
          <w:sz w:val="32"/>
          <w:szCs w:val="32"/>
          <w:highlight w:val="none"/>
          <w:lang w:val="en-US" w:eastAsia="zh-CN" w:bidi="ar-SA"/>
        </w:rPr>
        <w:t>六</w:t>
      </w:r>
      <w:r>
        <w:rPr>
          <w:rFonts w:hint="eastAsia" w:ascii="Times New Roman" w:hAnsi="Times New Roman" w:cs="Times New Roman"/>
          <w:b/>
          <w:bCs/>
          <w:color w:val="auto"/>
          <w:spacing w:val="0"/>
          <w:kern w:val="44"/>
          <w:sz w:val="32"/>
          <w:szCs w:val="32"/>
          <w:highlight w:val="none"/>
          <w:lang w:val="en-US" w:eastAsia="zh-CN" w:bidi="ar-SA"/>
        </w:rPr>
        <w:t>章</w:t>
      </w:r>
      <w:r>
        <w:rPr>
          <w:rFonts w:hint="eastAsia" w:cs="Times New Roman"/>
          <w:b/>
          <w:bCs/>
          <w:color w:val="auto"/>
          <w:spacing w:val="0"/>
          <w:kern w:val="44"/>
          <w:sz w:val="32"/>
          <w:szCs w:val="32"/>
          <w:highlight w:val="none"/>
          <w:lang w:val="en-US" w:eastAsia="zh-CN" w:bidi="ar-SA"/>
        </w:rPr>
        <w:t xml:space="preserve">  </w:t>
      </w:r>
      <w:r>
        <w:rPr>
          <w:rFonts w:hint="eastAsia" w:ascii="Times New Roman" w:hAnsi="Times New Roman" w:cs="Times New Roman"/>
          <w:b/>
          <w:bCs/>
          <w:color w:val="auto"/>
          <w:spacing w:val="0"/>
          <w:kern w:val="44"/>
          <w:sz w:val="32"/>
          <w:szCs w:val="32"/>
          <w:highlight w:val="none"/>
          <w:lang w:val="en-US" w:eastAsia="zh-CN" w:bidi="ar-SA"/>
        </w:rPr>
        <w:t>磋商响应文件格式</w:t>
      </w:r>
      <w:bookmarkEnd w:id="38"/>
    </w:p>
    <w:p w14:paraId="729A4D00">
      <w:pPr>
        <w:pageBreakBefore w:val="0"/>
        <w:kinsoku/>
        <w:wordWrap/>
        <w:overflowPunct/>
        <w:topLinePunct w:val="0"/>
        <w:autoSpaceDE/>
        <w:autoSpaceDN/>
        <w:bidi w:val="0"/>
        <w:spacing w:line="360" w:lineRule="auto"/>
        <w:jc w:val="right"/>
        <w:outlineLvl w:val="9"/>
        <w:rPr>
          <w:rFonts w:hint="default" w:ascii="宋体" w:hAnsi="宋体" w:eastAsia="宋体" w:cs="宋体"/>
          <w:b/>
          <w:bCs/>
          <w:color w:val="auto"/>
          <w:spacing w:val="0"/>
          <w:kern w:val="44"/>
          <w:sz w:val="28"/>
          <w:szCs w:val="28"/>
          <w:highlight w:val="none"/>
          <w:lang w:val="en-US" w:eastAsia="zh-CN" w:bidi="ar-SA"/>
        </w:rPr>
      </w:pPr>
      <w:bookmarkStart w:id="39" w:name="_Toc29147"/>
      <w:r>
        <w:rPr>
          <w:rFonts w:hint="eastAsia" w:ascii="宋体" w:hAnsi="宋体" w:cs="宋体"/>
          <w:b/>
          <w:bCs/>
          <w:color w:val="auto"/>
          <w:spacing w:val="0"/>
          <w:kern w:val="44"/>
          <w:sz w:val="28"/>
          <w:szCs w:val="28"/>
          <w:highlight w:val="none"/>
          <w:lang w:val="en-US" w:eastAsia="zh-CN" w:bidi="ar-SA"/>
        </w:rPr>
        <w:t>正本/副本</w:t>
      </w:r>
    </w:p>
    <w:p w14:paraId="2FD5AD77">
      <w:pPr>
        <w:pageBreakBefore w:val="0"/>
        <w:kinsoku/>
        <w:wordWrap/>
        <w:overflowPunct/>
        <w:topLinePunct w:val="0"/>
        <w:autoSpaceDE/>
        <w:autoSpaceDN/>
        <w:bidi w:val="0"/>
        <w:spacing w:line="360" w:lineRule="auto"/>
        <w:outlineLvl w:val="9"/>
        <w:rPr>
          <w:rFonts w:hint="eastAsia" w:ascii="宋体" w:hAnsi="宋体" w:cs="宋体"/>
          <w:b/>
          <w:bCs/>
          <w:color w:val="auto"/>
          <w:spacing w:val="0"/>
          <w:sz w:val="44"/>
          <w:szCs w:val="44"/>
          <w:highlight w:val="none"/>
          <w:lang w:eastAsia="zh-CN"/>
        </w:rPr>
      </w:pPr>
      <w:r>
        <w:rPr>
          <w:rFonts w:hint="eastAsia" w:ascii="宋体" w:hAnsi="宋体" w:eastAsia="宋体" w:cs="宋体"/>
          <w:b/>
          <w:bCs/>
          <w:color w:val="auto"/>
          <w:spacing w:val="0"/>
          <w:kern w:val="44"/>
          <w:sz w:val="28"/>
          <w:szCs w:val="28"/>
          <w:highlight w:val="none"/>
          <w:lang w:val="en-US" w:eastAsia="zh-CN" w:bidi="ar-SA"/>
        </w:rPr>
        <w:t>项目编号：</w:t>
      </w:r>
      <w:bookmarkEnd w:id="39"/>
      <w:r>
        <w:rPr>
          <w:rFonts w:hint="eastAsia" w:ascii="宋体" w:hAnsi="宋体" w:cs="宋体"/>
          <w:b/>
          <w:bCs/>
          <w:color w:val="auto"/>
          <w:spacing w:val="0"/>
          <w:kern w:val="44"/>
          <w:sz w:val="28"/>
          <w:szCs w:val="28"/>
          <w:highlight w:val="none"/>
          <w:lang w:val="en-US" w:eastAsia="zh-CN" w:bidi="ar-SA"/>
        </w:rPr>
        <w:t>ZH2026-0612</w:t>
      </w:r>
    </w:p>
    <w:p w14:paraId="4DBD93B3">
      <w:pPr>
        <w:pageBreakBefore w:val="0"/>
        <w:kinsoku/>
        <w:wordWrap/>
        <w:overflowPunct/>
        <w:topLinePunct w:val="0"/>
        <w:autoSpaceDE/>
        <w:autoSpaceDN/>
        <w:bidi w:val="0"/>
        <w:spacing w:line="360" w:lineRule="auto"/>
        <w:jc w:val="center"/>
        <w:rPr>
          <w:rFonts w:hint="eastAsia" w:ascii="宋体" w:hAnsi="宋体" w:cs="宋体"/>
          <w:b/>
          <w:bCs/>
          <w:color w:val="auto"/>
          <w:spacing w:val="0"/>
          <w:sz w:val="44"/>
          <w:szCs w:val="44"/>
          <w:highlight w:val="none"/>
          <w:lang w:eastAsia="zh-CN"/>
        </w:rPr>
      </w:pPr>
    </w:p>
    <w:p w14:paraId="5F4E6293">
      <w:pPr>
        <w:pStyle w:val="12"/>
        <w:pageBreakBefore w:val="0"/>
        <w:kinsoku/>
        <w:wordWrap/>
        <w:overflowPunct/>
        <w:topLinePunct w:val="0"/>
        <w:autoSpaceDE/>
        <w:autoSpaceDN/>
        <w:bidi w:val="0"/>
        <w:spacing w:line="360" w:lineRule="auto"/>
        <w:jc w:val="center"/>
        <w:rPr>
          <w:rFonts w:hint="eastAsia" w:ascii="宋体" w:hAnsi="宋体" w:eastAsia="宋体" w:cs="宋体"/>
          <w:b/>
          <w:bCs/>
          <w:color w:val="auto"/>
          <w:spacing w:val="0"/>
          <w:kern w:val="44"/>
          <w:sz w:val="28"/>
          <w:szCs w:val="28"/>
          <w:highlight w:val="none"/>
          <w:lang w:val="en-US" w:eastAsia="zh-CN" w:bidi="ar-SA"/>
        </w:rPr>
      </w:pPr>
      <w:r>
        <w:rPr>
          <w:rFonts w:hint="eastAsia" w:ascii="宋体" w:hAnsi="宋体" w:cs="宋体"/>
          <w:b/>
          <w:bCs/>
          <w:color w:val="auto"/>
          <w:spacing w:val="0"/>
          <w:kern w:val="44"/>
          <w:sz w:val="28"/>
          <w:szCs w:val="28"/>
          <w:highlight w:val="none"/>
          <w:lang w:val="en-US" w:eastAsia="zh-CN" w:bidi="ar-SA"/>
        </w:rPr>
        <w:t>陕西省常见草地植物图鉴项目研究技术服务-陕西省草原和湿地省级技术支撑服务项目</w:t>
      </w:r>
    </w:p>
    <w:p w14:paraId="05AC9AD6">
      <w:pPr>
        <w:pStyle w:val="12"/>
        <w:pageBreakBefore w:val="0"/>
        <w:kinsoku/>
        <w:wordWrap/>
        <w:overflowPunct/>
        <w:topLinePunct w:val="0"/>
        <w:autoSpaceDE/>
        <w:autoSpaceDN/>
        <w:bidi w:val="0"/>
        <w:spacing w:line="360" w:lineRule="auto"/>
        <w:jc w:val="center"/>
        <w:rPr>
          <w:rFonts w:hint="eastAsia" w:ascii="宋体" w:hAnsi="宋体" w:cs="宋体"/>
          <w:b/>
          <w:bCs/>
          <w:color w:val="auto"/>
          <w:spacing w:val="0"/>
          <w:sz w:val="44"/>
          <w:szCs w:val="44"/>
          <w:highlight w:val="none"/>
          <w:lang w:val="en-US" w:eastAsia="zh-CN"/>
        </w:rPr>
      </w:pPr>
    </w:p>
    <w:p w14:paraId="2A0DCA80">
      <w:pPr>
        <w:pStyle w:val="12"/>
        <w:pageBreakBefore w:val="0"/>
        <w:kinsoku/>
        <w:wordWrap/>
        <w:overflowPunct/>
        <w:topLinePunct w:val="0"/>
        <w:autoSpaceDE/>
        <w:autoSpaceDN/>
        <w:bidi w:val="0"/>
        <w:spacing w:line="360" w:lineRule="auto"/>
        <w:jc w:val="center"/>
        <w:rPr>
          <w:rFonts w:hint="eastAsia" w:ascii="宋体" w:hAnsi="宋体" w:cs="宋体"/>
          <w:b/>
          <w:bCs/>
          <w:color w:val="auto"/>
          <w:spacing w:val="0"/>
          <w:sz w:val="44"/>
          <w:szCs w:val="44"/>
          <w:highlight w:val="none"/>
          <w:lang w:val="en-US" w:eastAsia="zh-CN"/>
        </w:rPr>
      </w:pPr>
      <w:r>
        <w:rPr>
          <w:rFonts w:hint="eastAsia" w:ascii="宋体" w:hAnsi="宋体" w:cs="宋体"/>
          <w:b/>
          <w:bCs/>
          <w:color w:val="auto"/>
          <w:spacing w:val="0"/>
          <w:sz w:val="44"/>
          <w:szCs w:val="44"/>
          <w:highlight w:val="none"/>
          <w:lang w:val="en-US" w:eastAsia="zh-CN"/>
        </w:rPr>
        <w:t>磋商响应文件</w:t>
      </w:r>
    </w:p>
    <w:p w14:paraId="422631C2">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6CAC089B">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5148DBE7">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5DFCDDBF">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733B9BA5">
      <w:pPr>
        <w:pStyle w:val="12"/>
        <w:pageBreakBefore w:val="0"/>
        <w:kinsoku/>
        <w:wordWrap/>
        <w:overflowPunct/>
        <w:topLinePunct w:val="0"/>
        <w:autoSpaceDE/>
        <w:autoSpaceDN/>
        <w:bidi w:val="0"/>
        <w:spacing w:line="360" w:lineRule="auto"/>
        <w:ind w:firstLine="1687" w:firstLineChars="600"/>
        <w:jc w:val="left"/>
        <w:outlineLvl w:val="9"/>
        <w:rPr>
          <w:rFonts w:hint="eastAsia" w:ascii="宋体" w:hAnsi="宋体" w:cs="宋体"/>
          <w:b/>
          <w:bCs/>
          <w:color w:val="auto"/>
          <w:spacing w:val="0"/>
          <w:sz w:val="28"/>
          <w:szCs w:val="28"/>
          <w:highlight w:val="none"/>
          <w:lang w:val="en-US" w:eastAsia="zh-CN"/>
        </w:rPr>
      </w:pPr>
      <w:bookmarkStart w:id="40" w:name="_Toc32599"/>
      <w:r>
        <w:rPr>
          <w:rFonts w:hint="eastAsia" w:ascii="宋体" w:hAnsi="宋体" w:cs="宋体"/>
          <w:b/>
          <w:bCs/>
          <w:color w:val="auto"/>
          <w:spacing w:val="0"/>
          <w:sz w:val="28"/>
          <w:szCs w:val="28"/>
          <w:highlight w:val="none"/>
          <w:lang w:val="en-US" w:eastAsia="zh-CN"/>
        </w:rPr>
        <w:t>供应商（单位名称加盖公章）：</w:t>
      </w:r>
      <w:bookmarkEnd w:id="40"/>
    </w:p>
    <w:p w14:paraId="073B9F79">
      <w:pPr>
        <w:pStyle w:val="12"/>
        <w:pageBreakBefore w:val="0"/>
        <w:kinsoku/>
        <w:wordWrap/>
        <w:overflowPunct/>
        <w:topLinePunct w:val="0"/>
        <w:autoSpaceDE/>
        <w:autoSpaceDN/>
        <w:bidi w:val="0"/>
        <w:spacing w:line="360" w:lineRule="auto"/>
        <w:ind w:firstLine="1687" w:firstLineChars="600"/>
        <w:jc w:val="left"/>
        <w:outlineLvl w:val="9"/>
        <w:rPr>
          <w:rFonts w:hint="eastAsia" w:ascii="宋体" w:hAnsi="宋体" w:cs="宋体"/>
          <w:b/>
          <w:bCs/>
          <w:color w:val="auto"/>
          <w:spacing w:val="0"/>
          <w:sz w:val="28"/>
          <w:szCs w:val="28"/>
          <w:highlight w:val="none"/>
          <w:lang w:val="en-US" w:eastAsia="zh-CN"/>
        </w:rPr>
      </w:pPr>
      <w:r>
        <w:rPr>
          <w:rFonts w:hint="eastAsia" w:ascii="宋体" w:hAnsi="宋体" w:cs="宋体"/>
          <w:b/>
          <w:bCs/>
          <w:color w:val="auto"/>
          <w:spacing w:val="0"/>
          <w:sz w:val="28"/>
          <w:szCs w:val="28"/>
          <w:highlight w:val="none"/>
          <w:lang w:val="en-US" w:eastAsia="zh-CN"/>
        </w:rPr>
        <w:t>法定代表人或授权代表（签名或盖章）：</w:t>
      </w:r>
    </w:p>
    <w:p w14:paraId="044F426F">
      <w:pPr>
        <w:pStyle w:val="12"/>
        <w:pageBreakBefore w:val="0"/>
        <w:kinsoku/>
        <w:wordWrap/>
        <w:overflowPunct/>
        <w:topLinePunct w:val="0"/>
        <w:autoSpaceDE/>
        <w:autoSpaceDN/>
        <w:bidi w:val="0"/>
        <w:spacing w:line="360" w:lineRule="auto"/>
        <w:ind w:firstLine="1687" w:firstLineChars="600"/>
        <w:jc w:val="left"/>
        <w:outlineLvl w:val="9"/>
        <w:rPr>
          <w:rFonts w:hint="default" w:ascii="宋体" w:hAnsi="宋体" w:cs="宋体"/>
          <w:b/>
          <w:bCs/>
          <w:color w:val="auto"/>
          <w:spacing w:val="0"/>
          <w:sz w:val="28"/>
          <w:szCs w:val="28"/>
          <w:highlight w:val="none"/>
          <w:lang w:val="en-US" w:eastAsia="zh-CN"/>
        </w:rPr>
      </w:pPr>
      <w:bookmarkStart w:id="41" w:name="_Toc12214"/>
      <w:r>
        <w:rPr>
          <w:rFonts w:hint="eastAsia" w:ascii="宋体" w:hAnsi="宋体" w:cs="宋体"/>
          <w:b/>
          <w:bCs/>
          <w:color w:val="auto"/>
          <w:spacing w:val="0"/>
          <w:sz w:val="28"/>
          <w:szCs w:val="28"/>
          <w:highlight w:val="none"/>
          <w:lang w:val="en-US" w:eastAsia="zh-CN"/>
        </w:rPr>
        <w:t>日期：   年   月   日</w:t>
      </w:r>
      <w:bookmarkEnd w:id="41"/>
    </w:p>
    <w:p w14:paraId="618A0192">
      <w:pPr>
        <w:shd w:val="clear"/>
        <w:spacing w:before="98" w:line="220" w:lineRule="auto"/>
        <w:ind w:firstLine="420" w:firstLineChars="200"/>
        <w:jc w:val="center"/>
        <w:outlineLvl w:val="3"/>
        <w:rPr>
          <w:rFonts w:hint="eastAsia" w:ascii="宋体" w:hAnsi="宋体" w:eastAsia="宋体" w:cs="宋体"/>
          <w:color w:val="auto"/>
          <w:spacing w:val="-13"/>
          <w:sz w:val="28"/>
          <w:szCs w:val="28"/>
          <w:highlight w:val="none"/>
          <w:lang w:val="en-US" w:eastAsia="zh-CN"/>
        </w:rPr>
      </w:pPr>
      <w:r>
        <w:rPr>
          <w:rFonts w:hint="eastAsia"/>
          <w:color w:val="auto"/>
          <w:spacing w:val="0"/>
          <w:highlight w:val="none"/>
          <w:lang w:val="en-US" w:eastAsia="zh-CN"/>
        </w:rPr>
        <w:br w:type="page"/>
      </w:r>
      <w:r>
        <w:rPr>
          <w:rFonts w:hint="eastAsia" w:ascii="宋体" w:hAnsi="宋体" w:eastAsia="宋体" w:cs="宋体"/>
          <w:b/>
          <w:bCs/>
          <w:color w:val="auto"/>
          <w:spacing w:val="-13"/>
          <w:sz w:val="28"/>
          <w:szCs w:val="28"/>
          <w:highlight w:val="none"/>
          <w:lang w:val="en-US" w:eastAsia="zh-CN"/>
        </w:rPr>
        <w:t>目</w:t>
      </w:r>
      <w:r>
        <w:rPr>
          <w:rFonts w:hint="eastAsia" w:ascii="宋体" w:hAnsi="宋体" w:cs="宋体"/>
          <w:b/>
          <w:bCs/>
          <w:color w:val="auto"/>
          <w:spacing w:val="-13"/>
          <w:sz w:val="28"/>
          <w:szCs w:val="28"/>
          <w:highlight w:val="none"/>
          <w:lang w:val="en-US" w:eastAsia="zh-CN"/>
        </w:rPr>
        <w:t xml:space="preserve"> </w:t>
      </w:r>
      <w:r>
        <w:rPr>
          <w:rFonts w:hint="eastAsia" w:ascii="宋体" w:hAnsi="宋体" w:eastAsia="宋体" w:cs="宋体"/>
          <w:b/>
          <w:bCs/>
          <w:color w:val="auto"/>
          <w:spacing w:val="-13"/>
          <w:sz w:val="28"/>
          <w:szCs w:val="28"/>
          <w:highlight w:val="none"/>
          <w:lang w:val="en-US" w:eastAsia="zh-CN"/>
        </w:rPr>
        <w:t>录</w:t>
      </w:r>
    </w:p>
    <w:p w14:paraId="5AA3FC89">
      <w:pPr>
        <w:pageBreakBefore w:val="0"/>
        <w:widowControl w:val="0"/>
        <w:kinsoku/>
        <w:wordWrap/>
        <w:overflowPunct/>
        <w:topLinePunct w:val="0"/>
        <w:autoSpaceDE/>
        <w:autoSpaceDN/>
        <w:bidi w:val="0"/>
        <w:spacing w:before="98" w:line="360" w:lineRule="auto"/>
        <w:ind w:firstLine="448" w:firstLineChars="200"/>
        <w:jc w:val="left"/>
        <w:textAlignment w:val="auto"/>
        <w:outlineLvl w:val="3"/>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8"/>
          <w:sz w:val="24"/>
          <w:szCs w:val="24"/>
          <w:highlight w:val="none"/>
          <w:lang w:val="en-US" w:eastAsia="zh-CN"/>
        </w:rPr>
        <w:t>一、</w:t>
      </w:r>
      <w:r>
        <w:rPr>
          <w:rFonts w:hint="eastAsia" w:ascii="宋体" w:hAnsi="宋体" w:cs="宋体"/>
          <w:b w:val="0"/>
          <w:bCs w:val="0"/>
          <w:color w:val="auto"/>
          <w:spacing w:val="-8"/>
          <w:sz w:val="24"/>
          <w:szCs w:val="24"/>
          <w:highlight w:val="none"/>
          <w:lang w:val="en-US" w:eastAsia="zh-CN"/>
        </w:rPr>
        <w:t>响应</w:t>
      </w:r>
      <w:r>
        <w:rPr>
          <w:rFonts w:hint="eastAsia" w:ascii="宋体" w:hAnsi="宋体" w:eastAsia="宋体" w:cs="宋体"/>
          <w:b w:val="0"/>
          <w:bCs w:val="0"/>
          <w:color w:val="auto"/>
          <w:spacing w:val="-8"/>
          <w:sz w:val="24"/>
          <w:szCs w:val="24"/>
          <w:highlight w:val="none"/>
        </w:rPr>
        <w:t>函</w:t>
      </w:r>
    </w:p>
    <w:p w14:paraId="5493BD1A">
      <w:pPr>
        <w:pageBreakBefore w:val="0"/>
        <w:widowControl w:val="0"/>
        <w:kinsoku/>
        <w:wordWrap/>
        <w:overflowPunct/>
        <w:topLinePunct w:val="0"/>
        <w:autoSpaceDE/>
        <w:autoSpaceDN/>
        <w:bidi w:val="0"/>
        <w:spacing w:before="98" w:line="360" w:lineRule="auto"/>
        <w:ind w:firstLine="448" w:firstLineChars="200"/>
        <w:jc w:val="both"/>
        <w:textAlignment w:val="auto"/>
        <w:outlineLvl w:val="3"/>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pacing w:val="-8"/>
          <w:sz w:val="24"/>
          <w:szCs w:val="24"/>
          <w:highlight w:val="none"/>
          <w:lang w:val="en-US" w:eastAsia="zh-CN"/>
        </w:rPr>
        <w:t>二</w:t>
      </w:r>
      <w:r>
        <w:rPr>
          <w:rFonts w:hint="eastAsia" w:ascii="宋体" w:hAnsi="宋体" w:eastAsia="宋体" w:cs="宋体"/>
          <w:b w:val="0"/>
          <w:bCs w:val="0"/>
          <w:color w:val="auto"/>
          <w:spacing w:val="-8"/>
          <w:sz w:val="24"/>
          <w:szCs w:val="24"/>
          <w:highlight w:val="none"/>
        </w:rPr>
        <w:t>、</w:t>
      </w:r>
      <w:r>
        <w:rPr>
          <w:rFonts w:hint="eastAsia" w:ascii="宋体" w:hAnsi="宋体" w:eastAsia="宋体" w:cs="宋体"/>
          <w:b w:val="0"/>
          <w:bCs w:val="0"/>
          <w:color w:val="auto"/>
          <w:spacing w:val="-8"/>
          <w:sz w:val="24"/>
          <w:szCs w:val="24"/>
          <w:highlight w:val="none"/>
          <w:lang w:val="en-US" w:eastAsia="zh-CN"/>
        </w:rPr>
        <w:t>响应报价表</w:t>
      </w:r>
    </w:p>
    <w:p w14:paraId="57E0B102">
      <w:pPr>
        <w:pageBreakBefore w:val="0"/>
        <w:widowControl w:val="0"/>
        <w:kinsoku/>
        <w:wordWrap/>
        <w:overflowPunct/>
        <w:topLinePunct w:val="0"/>
        <w:autoSpaceDE/>
        <w:autoSpaceDN/>
        <w:bidi w:val="0"/>
        <w:spacing w:before="98" w:line="360" w:lineRule="auto"/>
        <w:ind w:firstLine="448" w:firstLineChars="200"/>
        <w:textAlignment w:val="auto"/>
        <w:outlineLvl w:val="3"/>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pacing w:val="-8"/>
          <w:sz w:val="24"/>
          <w:szCs w:val="24"/>
          <w:highlight w:val="none"/>
          <w:lang w:val="en-US" w:eastAsia="zh-CN"/>
        </w:rPr>
        <w:t>三</w:t>
      </w:r>
      <w:r>
        <w:rPr>
          <w:rFonts w:hint="eastAsia" w:ascii="宋体" w:hAnsi="宋体" w:eastAsia="宋体" w:cs="宋体"/>
          <w:b w:val="0"/>
          <w:bCs w:val="0"/>
          <w:color w:val="auto"/>
          <w:spacing w:val="-8"/>
          <w:sz w:val="24"/>
          <w:szCs w:val="24"/>
          <w:highlight w:val="none"/>
        </w:rPr>
        <w:t>、法定代表人身份证明书</w:t>
      </w:r>
    </w:p>
    <w:p w14:paraId="437250BA">
      <w:pPr>
        <w:pStyle w:val="4"/>
        <w:pageBreakBefore w:val="0"/>
        <w:widowControl w:val="0"/>
        <w:numPr>
          <w:ilvl w:val="0"/>
          <w:numId w:val="0"/>
        </w:numPr>
        <w:kinsoku/>
        <w:wordWrap/>
        <w:overflowPunct/>
        <w:topLinePunct w:val="0"/>
        <w:autoSpaceDE/>
        <w:autoSpaceDN/>
        <w:bidi w:val="0"/>
        <w:spacing w:line="360" w:lineRule="auto"/>
        <w:ind w:firstLine="448" w:firstLineChars="200"/>
        <w:jc w:val="both"/>
        <w:textAlignment w:val="auto"/>
        <w:rPr>
          <w:rFonts w:hint="eastAsia" w:ascii="宋体" w:hAnsi="宋体" w:eastAsia="宋体" w:cs="宋体"/>
          <w:b w:val="0"/>
          <w:bCs w:val="0"/>
          <w:color w:val="auto"/>
          <w:spacing w:val="-8"/>
          <w:sz w:val="24"/>
          <w:szCs w:val="24"/>
          <w:highlight w:val="none"/>
          <w:lang w:val="en-US" w:eastAsia="zh-CN"/>
        </w:rPr>
      </w:pPr>
      <w:r>
        <w:rPr>
          <w:rFonts w:hint="eastAsia" w:ascii="宋体" w:hAnsi="宋体" w:eastAsia="宋体" w:cs="宋体"/>
          <w:b w:val="0"/>
          <w:bCs w:val="0"/>
          <w:color w:val="auto"/>
          <w:spacing w:val="-8"/>
          <w:sz w:val="24"/>
          <w:szCs w:val="24"/>
          <w:highlight w:val="none"/>
          <w:lang w:val="en-US" w:eastAsia="zh-CN"/>
        </w:rPr>
        <w:t>四、法定代表人授权委托书</w:t>
      </w:r>
    </w:p>
    <w:p w14:paraId="72E59BE8">
      <w:pPr>
        <w:pageBreakBefore w:val="0"/>
        <w:widowControl w:val="0"/>
        <w:kinsoku/>
        <w:wordWrap/>
        <w:overflowPunct/>
        <w:topLinePunct w:val="0"/>
        <w:autoSpaceDE/>
        <w:autoSpaceDN/>
        <w:bidi w:val="0"/>
        <w:spacing w:before="98" w:line="360" w:lineRule="auto"/>
        <w:ind w:firstLine="448" w:firstLineChars="200"/>
        <w:textAlignment w:val="auto"/>
        <w:outlineLvl w:val="3"/>
        <w:rPr>
          <w:rFonts w:hint="eastAsia" w:ascii="宋体" w:hAnsi="宋体" w:eastAsia="宋体" w:cs="宋体"/>
          <w:b w:val="0"/>
          <w:bCs w:val="0"/>
          <w:color w:val="auto"/>
          <w:spacing w:val="-8"/>
          <w:sz w:val="24"/>
          <w:szCs w:val="24"/>
          <w:highlight w:val="none"/>
          <w:lang w:val="en-US" w:eastAsia="zh-CN"/>
        </w:rPr>
      </w:pPr>
      <w:r>
        <w:rPr>
          <w:rFonts w:hint="eastAsia" w:ascii="宋体" w:hAnsi="宋体" w:eastAsia="宋体" w:cs="宋体"/>
          <w:b w:val="0"/>
          <w:bCs w:val="0"/>
          <w:color w:val="auto"/>
          <w:spacing w:val="-8"/>
          <w:sz w:val="24"/>
          <w:szCs w:val="24"/>
          <w:highlight w:val="none"/>
          <w:lang w:val="en-US" w:eastAsia="zh-CN"/>
        </w:rPr>
        <w:t>五</w:t>
      </w:r>
      <w:r>
        <w:rPr>
          <w:rFonts w:hint="eastAsia" w:ascii="宋体" w:hAnsi="宋体" w:eastAsia="宋体" w:cs="宋体"/>
          <w:b w:val="0"/>
          <w:bCs w:val="0"/>
          <w:color w:val="auto"/>
          <w:spacing w:val="-8"/>
          <w:sz w:val="24"/>
          <w:szCs w:val="24"/>
          <w:highlight w:val="none"/>
        </w:rPr>
        <w:t>、</w:t>
      </w:r>
      <w:r>
        <w:rPr>
          <w:rFonts w:hint="eastAsia" w:ascii="宋体" w:hAnsi="宋体" w:eastAsia="宋体" w:cs="宋体"/>
          <w:b w:val="0"/>
          <w:bCs w:val="0"/>
          <w:color w:val="auto"/>
          <w:spacing w:val="-8"/>
          <w:sz w:val="24"/>
          <w:szCs w:val="24"/>
          <w:highlight w:val="none"/>
          <w:lang w:val="en-US" w:eastAsia="zh-CN"/>
        </w:rPr>
        <w:t>技术响应偏离表</w:t>
      </w:r>
    </w:p>
    <w:p w14:paraId="48B28F74">
      <w:pPr>
        <w:pStyle w:val="6"/>
        <w:pageBreakBefore w:val="0"/>
        <w:widowControl w:val="0"/>
        <w:numPr>
          <w:ilvl w:val="3"/>
          <w:numId w:val="0"/>
        </w:numPr>
        <w:kinsoku/>
        <w:wordWrap/>
        <w:overflowPunct/>
        <w:topLinePunct w:val="0"/>
        <w:autoSpaceDE/>
        <w:autoSpaceDN/>
        <w:bidi w:val="0"/>
        <w:spacing w:line="360" w:lineRule="auto"/>
        <w:ind w:firstLine="448" w:firstLineChars="200"/>
        <w:textAlignment w:val="auto"/>
        <w:rPr>
          <w:rFonts w:hint="eastAsia" w:ascii="宋体" w:hAnsi="宋体" w:cs="宋体"/>
          <w:b w:val="0"/>
          <w:bCs w:val="0"/>
          <w:color w:val="auto"/>
          <w:spacing w:val="-8"/>
          <w:sz w:val="24"/>
          <w:szCs w:val="24"/>
          <w:highlight w:val="none"/>
          <w:lang w:val="en-US" w:eastAsia="zh-CN"/>
        </w:rPr>
      </w:pPr>
      <w:r>
        <w:rPr>
          <w:rFonts w:hint="eastAsia" w:ascii="宋体" w:hAnsi="宋体" w:cs="宋体"/>
          <w:b w:val="0"/>
          <w:bCs w:val="0"/>
          <w:color w:val="auto"/>
          <w:spacing w:val="-8"/>
          <w:sz w:val="24"/>
          <w:szCs w:val="24"/>
          <w:highlight w:val="none"/>
          <w:lang w:val="en-US" w:eastAsia="zh-CN"/>
        </w:rPr>
        <w:t>六、商务响应偏离表</w:t>
      </w:r>
    </w:p>
    <w:p w14:paraId="705BD843">
      <w:pPr>
        <w:pStyle w:val="6"/>
        <w:pageBreakBefore w:val="0"/>
        <w:widowControl w:val="0"/>
        <w:numPr>
          <w:ilvl w:val="3"/>
          <w:numId w:val="0"/>
        </w:numPr>
        <w:kinsoku/>
        <w:wordWrap/>
        <w:overflowPunct/>
        <w:topLinePunct w:val="0"/>
        <w:autoSpaceDE/>
        <w:autoSpaceDN/>
        <w:bidi w:val="0"/>
        <w:spacing w:line="360" w:lineRule="auto"/>
        <w:ind w:firstLine="448" w:firstLineChars="200"/>
        <w:textAlignment w:val="auto"/>
        <w:rPr>
          <w:rFonts w:hint="eastAsia" w:ascii="宋体" w:hAnsi="宋体" w:cs="宋体"/>
          <w:b w:val="0"/>
          <w:bCs w:val="0"/>
          <w:color w:val="auto"/>
          <w:spacing w:val="-8"/>
          <w:sz w:val="24"/>
          <w:szCs w:val="24"/>
          <w:highlight w:val="none"/>
          <w:lang w:val="en-US" w:eastAsia="zh-CN"/>
        </w:rPr>
      </w:pPr>
      <w:r>
        <w:rPr>
          <w:rFonts w:hint="eastAsia" w:ascii="宋体" w:hAnsi="宋体" w:cs="宋体"/>
          <w:b w:val="0"/>
          <w:bCs w:val="0"/>
          <w:color w:val="auto"/>
          <w:spacing w:val="-8"/>
          <w:sz w:val="24"/>
          <w:szCs w:val="24"/>
          <w:highlight w:val="none"/>
          <w:lang w:val="en-US" w:eastAsia="zh-CN"/>
        </w:rPr>
        <w:t>七、磋商保证金</w:t>
      </w:r>
    </w:p>
    <w:p w14:paraId="5C2E5DE0">
      <w:pPr>
        <w:pageBreakBefore w:val="0"/>
        <w:widowControl w:val="0"/>
        <w:kinsoku/>
        <w:wordWrap/>
        <w:overflowPunct/>
        <w:topLinePunct w:val="0"/>
        <w:autoSpaceDE/>
        <w:autoSpaceDN/>
        <w:bidi w:val="0"/>
        <w:spacing w:line="360" w:lineRule="auto"/>
        <w:ind w:firstLine="448" w:firstLineChars="200"/>
        <w:textAlignment w:val="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pacing w:val="-8"/>
          <w:sz w:val="24"/>
          <w:szCs w:val="24"/>
          <w:highlight w:val="none"/>
          <w:lang w:val="en-US" w:eastAsia="zh-CN"/>
        </w:rPr>
        <w:t>八</w:t>
      </w:r>
      <w:r>
        <w:rPr>
          <w:rFonts w:hint="eastAsia" w:ascii="宋体" w:hAnsi="宋体" w:eastAsia="宋体" w:cs="宋体"/>
          <w:b w:val="0"/>
          <w:bCs w:val="0"/>
          <w:color w:val="auto"/>
          <w:spacing w:val="-8"/>
          <w:sz w:val="24"/>
          <w:szCs w:val="24"/>
          <w:highlight w:val="none"/>
        </w:rPr>
        <w:t>、资格证明文件</w:t>
      </w:r>
    </w:p>
    <w:p w14:paraId="5638F303">
      <w:pPr>
        <w:pStyle w:val="2"/>
        <w:rPr>
          <w:rFonts w:hint="default" w:eastAsia="宋体"/>
          <w:color w:val="auto"/>
          <w:highlight w:val="none"/>
          <w:lang w:val="en-US" w:eastAsia="zh-CN"/>
        </w:rPr>
      </w:pPr>
      <w:r>
        <w:rPr>
          <w:rFonts w:hint="eastAsia" w:ascii="宋体" w:hAnsi="宋体" w:cs="宋体"/>
          <w:b w:val="0"/>
          <w:bCs w:val="0"/>
          <w:color w:val="auto"/>
          <w:spacing w:val="-8"/>
          <w:sz w:val="24"/>
          <w:szCs w:val="24"/>
          <w:highlight w:val="none"/>
          <w:lang w:val="en-US" w:eastAsia="zh-CN"/>
        </w:rPr>
        <w:t>九、响应方案说明</w:t>
      </w:r>
    </w:p>
    <w:p w14:paraId="6B0A9F19">
      <w:pPr>
        <w:shd w:val="clear"/>
        <w:spacing w:before="98" w:line="360" w:lineRule="auto"/>
        <w:ind w:firstLine="448" w:firstLineChars="200"/>
        <w:outlineLvl w:val="3"/>
        <w:rPr>
          <w:rFonts w:hint="eastAsia" w:ascii="宋体" w:hAnsi="宋体" w:eastAsia="宋体" w:cs="宋体"/>
          <w:b w:val="0"/>
          <w:bCs w:val="0"/>
          <w:color w:val="auto"/>
          <w:spacing w:val="-8"/>
          <w:sz w:val="24"/>
          <w:szCs w:val="24"/>
          <w:highlight w:val="none"/>
          <w:lang w:val="en-US" w:eastAsia="zh-CN"/>
        </w:rPr>
      </w:pPr>
      <w:r>
        <w:rPr>
          <w:rFonts w:hint="eastAsia" w:ascii="宋体" w:hAnsi="宋体" w:eastAsia="宋体" w:cs="宋体"/>
          <w:b w:val="0"/>
          <w:bCs w:val="0"/>
          <w:color w:val="auto"/>
          <w:spacing w:val="-8"/>
          <w:sz w:val="24"/>
          <w:szCs w:val="24"/>
          <w:highlight w:val="none"/>
          <w:lang w:val="en-US" w:eastAsia="zh-CN"/>
        </w:rPr>
        <w:t>十、供应商认为有必要补充说明的事项</w:t>
      </w:r>
    </w:p>
    <w:p w14:paraId="7625CC58">
      <w:pPr>
        <w:shd w:val="clear"/>
        <w:spacing w:before="98" w:line="360" w:lineRule="auto"/>
        <w:ind w:firstLine="450" w:firstLineChars="200"/>
        <w:outlineLvl w:val="3"/>
        <w:rPr>
          <w:rFonts w:hint="eastAsia" w:ascii="宋体" w:hAnsi="宋体" w:eastAsia="宋体" w:cs="宋体"/>
          <w:b/>
          <w:bCs/>
          <w:color w:val="auto"/>
          <w:spacing w:val="-8"/>
          <w:sz w:val="24"/>
          <w:szCs w:val="24"/>
          <w:highlight w:val="none"/>
          <w:lang w:val="en-US" w:eastAsia="zh-CN"/>
        </w:rPr>
      </w:pPr>
    </w:p>
    <w:p w14:paraId="7429B6E8">
      <w:pPr>
        <w:shd w:val="clear"/>
        <w:spacing w:before="98" w:line="360" w:lineRule="auto"/>
        <w:ind w:firstLine="3313"/>
        <w:outlineLvl w:val="9"/>
        <w:rPr>
          <w:rFonts w:hint="eastAsia" w:ascii="宋体" w:hAnsi="宋体" w:eastAsia="宋体" w:cs="宋体"/>
          <w:b/>
          <w:bCs/>
          <w:color w:val="auto"/>
          <w:spacing w:val="-8"/>
          <w:sz w:val="24"/>
          <w:szCs w:val="24"/>
          <w:highlight w:val="none"/>
        </w:rPr>
      </w:pPr>
    </w:p>
    <w:p w14:paraId="4304467B">
      <w:pPr>
        <w:shd w:val="clear"/>
        <w:spacing w:before="98" w:line="360" w:lineRule="auto"/>
        <w:ind w:firstLine="3313"/>
        <w:outlineLvl w:val="9"/>
        <w:rPr>
          <w:rFonts w:hint="eastAsia" w:ascii="宋体" w:hAnsi="宋体" w:eastAsia="宋体" w:cs="宋体"/>
          <w:b/>
          <w:bCs/>
          <w:color w:val="auto"/>
          <w:spacing w:val="-8"/>
          <w:sz w:val="24"/>
          <w:szCs w:val="24"/>
          <w:highlight w:val="none"/>
        </w:rPr>
      </w:pPr>
    </w:p>
    <w:p w14:paraId="1F201AD2">
      <w:pPr>
        <w:shd w:val="clear"/>
        <w:spacing w:before="98" w:line="360" w:lineRule="auto"/>
        <w:ind w:firstLine="3313"/>
        <w:outlineLvl w:val="9"/>
        <w:rPr>
          <w:rFonts w:hint="eastAsia" w:ascii="宋体" w:hAnsi="宋体" w:eastAsia="宋体" w:cs="宋体"/>
          <w:b/>
          <w:bCs/>
          <w:color w:val="auto"/>
          <w:spacing w:val="-8"/>
          <w:sz w:val="24"/>
          <w:szCs w:val="24"/>
          <w:highlight w:val="none"/>
        </w:rPr>
      </w:pPr>
    </w:p>
    <w:p w14:paraId="4871A208">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0DB29982">
      <w:pPr>
        <w:pStyle w:val="8"/>
        <w:rPr>
          <w:rFonts w:hint="eastAsia" w:ascii="宋体" w:hAnsi="宋体" w:eastAsia="宋体" w:cs="宋体"/>
          <w:b/>
          <w:bCs/>
          <w:color w:val="auto"/>
          <w:spacing w:val="-8"/>
          <w:sz w:val="30"/>
          <w:szCs w:val="30"/>
          <w:highlight w:val="none"/>
        </w:rPr>
      </w:pPr>
    </w:p>
    <w:p w14:paraId="2BEBC383">
      <w:pPr>
        <w:rPr>
          <w:rFonts w:hint="eastAsia" w:ascii="宋体" w:hAnsi="宋体" w:eastAsia="宋体" w:cs="宋体"/>
          <w:b/>
          <w:bCs/>
          <w:color w:val="auto"/>
          <w:spacing w:val="-8"/>
          <w:sz w:val="30"/>
          <w:szCs w:val="30"/>
          <w:highlight w:val="none"/>
        </w:rPr>
      </w:pPr>
    </w:p>
    <w:p w14:paraId="3E0C6D6A">
      <w:pPr>
        <w:pStyle w:val="8"/>
        <w:rPr>
          <w:rFonts w:hint="eastAsia" w:ascii="宋体" w:hAnsi="宋体" w:eastAsia="宋体" w:cs="宋体"/>
          <w:b/>
          <w:bCs/>
          <w:color w:val="auto"/>
          <w:spacing w:val="-8"/>
          <w:sz w:val="30"/>
          <w:szCs w:val="30"/>
          <w:highlight w:val="none"/>
        </w:rPr>
      </w:pPr>
    </w:p>
    <w:p w14:paraId="06618C81">
      <w:pPr>
        <w:rPr>
          <w:rFonts w:hint="eastAsia"/>
          <w:color w:val="auto"/>
          <w:highlight w:val="none"/>
        </w:rPr>
      </w:pPr>
    </w:p>
    <w:p w14:paraId="369E7871">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05DE8DCE">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3B94B60E">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54CEB198">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7A15BF6E">
      <w:pPr>
        <w:shd w:val="clear"/>
        <w:spacing w:before="98" w:line="220" w:lineRule="auto"/>
        <w:outlineLvl w:val="9"/>
        <w:rPr>
          <w:rFonts w:hint="eastAsia" w:ascii="宋体" w:hAnsi="宋体" w:eastAsia="宋体" w:cs="宋体"/>
          <w:b/>
          <w:bCs/>
          <w:color w:val="auto"/>
          <w:spacing w:val="-8"/>
          <w:sz w:val="30"/>
          <w:szCs w:val="30"/>
          <w:highlight w:val="none"/>
        </w:rPr>
      </w:pPr>
    </w:p>
    <w:p w14:paraId="6BC105B0">
      <w:pPr>
        <w:pStyle w:val="2"/>
        <w:rPr>
          <w:rFonts w:hint="eastAsia" w:ascii="宋体" w:hAnsi="宋体" w:eastAsia="宋体" w:cs="宋体"/>
          <w:b/>
          <w:bCs/>
          <w:color w:val="auto"/>
          <w:spacing w:val="-8"/>
          <w:sz w:val="30"/>
          <w:szCs w:val="30"/>
          <w:highlight w:val="none"/>
        </w:rPr>
      </w:pPr>
    </w:p>
    <w:p w14:paraId="031CF9A3">
      <w:pPr>
        <w:pStyle w:val="2"/>
        <w:rPr>
          <w:rFonts w:hint="eastAsia" w:ascii="宋体" w:hAnsi="宋体" w:eastAsia="宋体" w:cs="宋体"/>
          <w:b/>
          <w:bCs/>
          <w:color w:val="auto"/>
          <w:spacing w:val="-8"/>
          <w:sz w:val="30"/>
          <w:szCs w:val="30"/>
          <w:highlight w:val="none"/>
        </w:rPr>
      </w:pPr>
    </w:p>
    <w:p w14:paraId="71AE70BA">
      <w:pPr>
        <w:pStyle w:val="2"/>
        <w:rPr>
          <w:rFonts w:hint="eastAsia" w:ascii="宋体" w:hAnsi="宋体" w:eastAsia="宋体" w:cs="宋体"/>
          <w:b/>
          <w:bCs/>
          <w:color w:val="auto"/>
          <w:spacing w:val="-8"/>
          <w:sz w:val="30"/>
          <w:szCs w:val="30"/>
          <w:highlight w:val="none"/>
        </w:rPr>
      </w:pPr>
    </w:p>
    <w:p w14:paraId="6341AC13">
      <w:pPr>
        <w:pStyle w:val="2"/>
        <w:rPr>
          <w:rFonts w:hint="eastAsia" w:ascii="宋体" w:hAnsi="宋体" w:eastAsia="宋体" w:cs="宋体"/>
          <w:b/>
          <w:bCs/>
          <w:color w:val="auto"/>
          <w:spacing w:val="-8"/>
          <w:sz w:val="30"/>
          <w:szCs w:val="30"/>
          <w:highlight w:val="none"/>
        </w:rPr>
      </w:pPr>
    </w:p>
    <w:p w14:paraId="0D5340C5">
      <w:pPr>
        <w:shd w:val="clear"/>
        <w:spacing w:before="98" w:line="220" w:lineRule="auto"/>
        <w:outlineLvl w:val="9"/>
        <w:rPr>
          <w:rFonts w:hint="eastAsia" w:ascii="宋体" w:hAnsi="宋体" w:eastAsia="宋体" w:cs="宋体"/>
          <w:b/>
          <w:bCs/>
          <w:color w:val="auto"/>
          <w:spacing w:val="-8"/>
          <w:sz w:val="30"/>
          <w:szCs w:val="30"/>
          <w:highlight w:val="none"/>
        </w:rPr>
      </w:pPr>
    </w:p>
    <w:p w14:paraId="4760745E">
      <w:pPr>
        <w:keepNext w:val="0"/>
        <w:keepLines w:val="0"/>
        <w:pageBreakBefore w:val="0"/>
        <w:widowControl w:val="0"/>
        <w:shd w:val="clear"/>
        <w:kinsoku/>
        <w:wordWrap/>
        <w:overflowPunct/>
        <w:topLinePunct w:val="0"/>
        <w:autoSpaceDE/>
        <w:autoSpaceDN/>
        <w:bidi w:val="0"/>
        <w:adjustRightInd/>
        <w:snapToGrid/>
        <w:spacing w:before="98" w:line="360" w:lineRule="auto"/>
        <w:ind w:firstLine="3313"/>
        <w:textAlignment w:val="auto"/>
        <w:outlineLvl w:val="3"/>
        <w:rPr>
          <w:rFonts w:hint="eastAsia" w:ascii="宋体" w:hAnsi="宋体" w:eastAsia="宋体" w:cs="宋体"/>
          <w:b/>
          <w:bCs/>
          <w:color w:val="auto"/>
          <w:sz w:val="30"/>
          <w:szCs w:val="30"/>
          <w:highlight w:val="none"/>
        </w:rPr>
      </w:pPr>
      <w:r>
        <w:rPr>
          <w:rFonts w:hint="eastAsia" w:ascii="宋体" w:hAnsi="宋体" w:eastAsia="宋体" w:cs="宋体"/>
          <w:b/>
          <w:bCs/>
          <w:color w:val="auto"/>
          <w:spacing w:val="-8"/>
          <w:sz w:val="30"/>
          <w:szCs w:val="30"/>
          <w:highlight w:val="none"/>
          <w:lang w:val="en-US" w:eastAsia="zh-CN"/>
        </w:rPr>
        <w:t>一、</w:t>
      </w:r>
      <w:r>
        <w:rPr>
          <w:rFonts w:hint="eastAsia" w:ascii="宋体" w:hAnsi="宋体" w:cs="宋体"/>
          <w:b/>
          <w:bCs/>
          <w:color w:val="auto"/>
          <w:spacing w:val="-8"/>
          <w:sz w:val="30"/>
          <w:szCs w:val="30"/>
          <w:highlight w:val="none"/>
          <w:lang w:val="en-US" w:eastAsia="zh-CN"/>
        </w:rPr>
        <w:t>响应</w:t>
      </w:r>
      <w:r>
        <w:rPr>
          <w:rFonts w:hint="eastAsia" w:ascii="宋体" w:hAnsi="宋体" w:eastAsia="宋体" w:cs="宋体"/>
          <w:b/>
          <w:bCs/>
          <w:color w:val="auto"/>
          <w:spacing w:val="-8"/>
          <w:sz w:val="30"/>
          <w:szCs w:val="30"/>
          <w:highlight w:val="none"/>
        </w:rPr>
        <w:t>函</w:t>
      </w:r>
    </w:p>
    <w:p w14:paraId="2FDC9448">
      <w:pPr>
        <w:keepNext w:val="0"/>
        <w:keepLines w:val="0"/>
        <w:pageBreakBefore w:val="0"/>
        <w:widowControl w:val="0"/>
        <w:shd w:val="clear"/>
        <w:kinsoku/>
        <w:wordWrap/>
        <w:overflowPunct/>
        <w:topLinePunct w:val="0"/>
        <w:autoSpaceDE/>
        <w:autoSpaceDN/>
        <w:bidi w:val="0"/>
        <w:adjustRightInd/>
        <w:snapToGrid/>
        <w:spacing w:before="61" w:line="360" w:lineRule="auto"/>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23"/>
          <w:w w:val="98"/>
          <w:sz w:val="24"/>
          <w:szCs w:val="24"/>
          <w:highlight w:val="none"/>
        </w:rPr>
        <w:t>致</w:t>
      </w:r>
      <w:r>
        <w:rPr>
          <w:rFonts w:hint="eastAsia" w:ascii="宋体" w:hAnsi="宋体" w:eastAsia="宋体" w:cs="宋体"/>
          <w:color w:val="auto"/>
          <w:spacing w:val="-56"/>
          <w:sz w:val="24"/>
          <w:szCs w:val="24"/>
          <w:highlight w:val="none"/>
        </w:rPr>
        <w:t>：</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56"/>
          <w:sz w:val="24"/>
          <w:szCs w:val="24"/>
          <w:highlight w:val="none"/>
          <w:u w:val="none" w:color="auto"/>
        </w:rPr>
        <w:t>（</w:t>
      </w:r>
      <w:r>
        <w:rPr>
          <w:rFonts w:hint="eastAsia" w:ascii="宋体" w:hAnsi="宋体" w:eastAsia="宋体" w:cs="宋体"/>
          <w:color w:val="auto"/>
          <w:spacing w:val="-56"/>
          <w:sz w:val="24"/>
          <w:szCs w:val="24"/>
          <w:highlight w:val="none"/>
          <w:u w:val="none" w:color="auto"/>
          <w:lang w:val="en-US" w:eastAsia="zh-CN"/>
        </w:rPr>
        <w:t xml:space="preserve">          </w:t>
      </w:r>
      <w:r>
        <w:rPr>
          <w:rFonts w:hint="eastAsia" w:ascii="宋体" w:hAnsi="宋体" w:eastAsia="宋体" w:cs="宋体"/>
          <w:color w:val="auto"/>
          <w:spacing w:val="8"/>
          <w:sz w:val="24"/>
          <w:szCs w:val="24"/>
          <w:highlight w:val="none"/>
          <w:u w:val="none" w:color="auto"/>
          <w:lang w:val="en-US" w:eastAsia="zh-CN"/>
        </w:rPr>
        <w:t>采购人名称）</w:t>
      </w:r>
    </w:p>
    <w:p w14:paraId="67B6FD14">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根据贵方</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eastAsia="zh-CN"/>
        </w:rPr>
        <w:t>（</w:t>
      </w:r>
      <w:r>
        <w:rPr>
          <w:rFonts w:hint="eastAsia" w:ascii="宋体" w:hAnsi="宋体" w:cs="宋体"/>
          <w:color w:val="auto"/>
          <w:spacing w:val="4"/>
          <w:sz w:val="24"/>
          <w:szCs w:val="24"/>
          <w:highlight w:val="none"/>
          <w:u w:val="single"/>
          <w:lang w:val="en-US" w:eastAsia="zh-CN"/>
        </w:rPr>
        <w:t>项目名称</w:t>
      </w:r>
      <w:r>
        <w:rPr>
          <w:rFonts w:hint="eastAsia" w:ascii="宋体" w:hAnsi="宋体" w:cs="宋体"/>
          <w:color w:val="auto"/>
          <w:spacing w:val="4"/>
          <w:sz w:val="24"/>
          <w:szCs w:val="24"/>
          <w:highlight w:val="none"/>
          <w:u w:val="single"/>
          <w:lang w:eastAsia="zh-CN"/>
        </w:rPr>
        <w:t>）</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(项目编号：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）的磋商文件，签字代表</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（全名、职务）</w:t>
      </w:r>
      <w:r>
        <w:rPr>
          <w:rFonts w:hint="eastAsia" w:ascii="宋体" w:hAnsi="宋体" w:eastAsia="宋体" w:cs="宋体"/>
          <w:color w:val="auto"/>
          <w:spacing w:val="4"/>
          <w:sz w:val="24"/>
          <w:szCs w:val="24"/>
          <w:highlight w:val="none"/>
        </w:rPr>
        <w:t>经正式授权并代表供应商</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(供应商名称)</w:t>
      </w:r>
      <w:r>
        <w:rPr>
          <w:rFonts w:hint="eastAsia" w:ascii="宋体" w:hAnsi="宋体" w:eastAsia="宋体" w:cs="宋体"/>
          <w:color w:val="auto"/>
          <w:spacing w:val="4"/>
          <w:sz w:val="24"/>
          <w:szCs w:val="24"/>
          <w:highlight w:val="none"/>
        </w:rPr>
        <w:t>提交磋商响应文件正本</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份、副本</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份</w:t>
      </w:r>
      <w:r>
        <w:rPr>
          <w:rFonts w:hint="eastAsia" w:ascii="宋体" w:hAnsi="宋体" w:cs="宋体"/>
          <w:color w:val="auto"/>
          <w:spacing w:val="4"/>
          <w:sz w:val="24"/>
          <w:szCs w:val="24"/>
          <w:highlight w:val="none"/>
          <w:lang w:eastAsia="zh-CN"/>
        </w:rPr>
        <w:t>、</w:t>
      </w:r>
      <w:r>
        <w:rPr>
          <w:rFonts w:hint="eastAsia" w:ascii="宋体" w:hAnsi="宋体" w:cs="宋体"/>
          <w:color w:val="auto"/>
          <w:spacing w:val="4"/>
          <w:sz w:val="24"/>
          <w:szCs w:val="24"/>
          <w:highlight w:val="none"/>
          <w:lang w:val="en-US" w:eastAsia="zh-CN"/>
        </w:rPr>
        <w:t>电子版U盘</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份。</w:t>
      </w:r>
    </w:p>
    <w:p w14:paraId="538347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我方承诺如下：</w:t>
      </w:r>
    </w:p>
    <w:p w14:paraId="3D1F8602">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1.磋商报价为人民币：</w:t>
      </w:r>
      <w:r>
        <w:rPr>
          <w:rFonts w:hint="eastAsia" w:ascii="宋体" w:hAnsi="宋体" w:cs="宋体"/>
          <w:color w:val="auto"/>
          <w:spacing w:val="4"/>
          <w:sz w:val="24"/>
          <w:szCs w:val="24"/>
          <w:highlight w:val="none"/>
          <w:lang w:val="en-US" w:eastAsia="zh-CN"/>
        </w:rPr>
        <w:t>大写</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元）。</w:t>
      </w:r>
    </w:p>
    <w:p w14:paraId="5BBA38F8">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2.如果成交，我们根据磋商文件的规定，履行合同的责任和义务。</w:t>
      </w:r>
    </w:p>
    <w:p w14:paraId="7E48AC5C">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3.我们已详细阅读和审核全部磋商文件（含修改部分）及有关附件，我们知道必须放弃提出含糊不清或误解的问题的权利。</w:t>
      </w:r>
    </w:p>
    <w:p w14:paraId="6C132671">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4.我们同意在磋商有效期内（自磋商之日起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天内），本磋商响应函对我方具有约束力。</w:t>
      </w:r>
    </w:p>
    <w:p w14:paraId="55F233FC">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5.同意提供贵方可能另外要求的与本磋商有关的任何证据和资料。 </w:t>
      </w:r>
    </w:p>
    <w:p w14:paraId="25DF006D">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6.我们同意，如果成交，向</w:t>
      </w:r>
      <w:r>
        <w:rPr>
          <w:rFonts w:hint="eastAsia" w:ascii="宋体" w:hAnsi="宋体" w:eastAsia="宋体" w:cs="宋体"/>
          <w:color w:val="auto"/>
          <w:spacing w:val="4"/>
          <w:sz w:val="24"/>
          <w:szCs w:val="24"/>
          <w:highlight w:val="none"/>
          <w:lang w:val="en-US" w:eastAsia="zh-CN"/>
        </w:rPr>
        <w:t>陕西中海招标有限公司</w:t>
      </w:r>
      <w:r>
        <w:rPr>
          <w:rFonts w:hint="eastAsia" w:ascii="宋体" w:hAnsi="宋体" w:eastAsia="宋体" w:cs="宋体"/>
          <w:color w:val="auto"/>
          <w:spacing w:val="4"/>
          <w:sz w:val="24"/>
          <w:szCs w:val="24"/>
          <w:highlight w:val="none"/>
        </w:rPr>
        <w:t>交纳招标代理服务费。</w:t>
      </w:r>
    </w:p>
    <w:p w14:paraId="66010581">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7.与本磋商有关的一切正式往来通讯为：</w:t>
      </w:r>
    </w:p>
    <w:p w14:paraId="5B151549">
      <w:pPr>
        <w:pStyle w:val="2"/>
        <w:rPr>
          <w:rFonts w:hint="eastAsia" w:ascii="宋体" w:hAnsi="宋体" w:eastAsia="宋体" w:cs="宋体"/>
          <w:color w:val="auto"/>
          <w:spacing w:val="4"/>
          <w:sz w:val="24"/>
          <w:szCs w:val="24"/>
          <w:highlight w:val="none"/>
        </w:rPr>
      </w:pPr>
    </w:p>
    <w:p w14:paraId="762CC9A0">
      <w:pPr>
        <w:pStyle w:val="2"/>
        <w:rPr>
          <w:rFonts w:hint="eastAsia" w:ascii="宋体" w:hAnsi="宋体" w:eastAsia="宋体" w:cs="宋体"/>
          <w:color w:val="auto"/>
          <w:spacing w:val="4"/>
          <w:sz w:val="24"/>
          <w:szCs w:val="24"/>
          <w:highlight w:val="none"/>
        </w:rPr>
      </w:pPr>
    </w:p>
    <w:p w14:paraId="252DDCB1">
      <w:pPr>
        <w:pStyle w:val="2"/>
        <w:ind w:left="0" w:leftChars="0" w:firstLine="0" w:firstLineChars="0"/>
        <w:rPr>
          <w:rFonts w:hint="eastAsia" w:ascii="宋体" w:hAnsi="宋体" w:eastAsia="宋体" w:cs="宋体"/>
          <w:color w:val="auto"/>
          <w:spacing w:val="4"/>
          <w:sz w:val="24"/>
          <w:szCs w:val="24"/>
          <w:highlight w:val="none"/>
        </w:rPr>
      </w:pPr>
    </w:p>
    <w:p w14:paraId="074A190F">
      <w:pPr>
        <w:pStyle w:val="8"/>
        <w:rPr>
          <w:rFonts w:hint="eastAsia"/>
          <w:color w:val="auto"/>
          <w:highlight w:val="none"/>
        </w:rPr>
      </w:pPr>
    </w:p>
    <w:p w14:paraId="349BBD05">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供应商名称（公章）：</w:t>
      </w:r>
      <w:r>
        <w:rPr>
          <w:rFonts w:hint="eastAsia" w:ascii="宋体" w:hAnsi="宋体" w:eastAsia="宋体" w:cs="宋体"/>
          <w:color w:val="auto"/>
          <w:spacing w:val="4"/>
          <w:sz w:val="24"/>
          <w:szCs w:val="24"/>
          <w:highlight w:val="none"/>
          <w:u w:val="single"/>
        </w:rPr>
        <w:t xml:space="preserve">                 </w:t>
      </w:r>
    </w:p>
    <w:p w14:paraId="190CBC3C">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法定代表人（签字或盖章）：</w:t>
      </w:r>
      <w:r>
        <w:rPr>
          <w:rFonts w:hint="eastAsia" w:ascii="宋体" w:hAnsi="宋体" w:eastAsia="宋体" w:cs="宋体"/>
          <w:color w:val="auto"/>
          <w:spacing w:val="4"/>
          <w:sz w:val="24"/>
          <w:szCs w:val="24"/>
          <w:highlight w:val="none"/>
          <w:u w:val="single"/>
        </w:rPr>
        <w:t xml:space="preserve">           </w:t>
      </w:r>
    </w:p>
    <w:p w14:paraId="1C5A0367">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联系地址：</w:t>
      </w:r>
      <w:r>
        <w:rPr>
          <w:rFonts w:hint="eastAsia" w:ascii="宋体" w:hAnsi="宋体" w:eastAsia="宋体" w:cs="宋体"/>
          <w:color w:val="auto"/>
          <w:spacing w:val="4"/>
          <w:sz w:val="24"/>
          <w:szCs w:val="24"/>
          <w:highlight w:val="none"/>
          <w:u w:val="single"/>
        </w:rPr>
        <w:t xml:space="preserve">                           </w:t>
      </w:r>
    </w:p>
    <w:p w14:paraId="479D6B6B">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邮政编码：</w:t>
      </w:r>
      <w:r>
        <w:rPr>
          <w:rFonts w:hint="eastAsia" w:ascii="宋体" w:hAnsi="宋体" w:eastAsia="宋体" w:cs="宋体"/>
          <w:color w:val="auto"/>
          <w:spacing w:val="4"/>
          <w:sz w:val="24"/>
          <w:szCs w:val="24"/>
          <w:highlight w:val="none"/>
          <w:u w:val="single"/>
        </w:rPr>
        <w:t xml:space="preserve">                           </w:t>
      </w:r>
    </w:p>
    <w:p w14:paraId="7671C274">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电    话：</w:t>
      </w:r>
      <w:r>
        <w:rPr>
          <w:rFonts w:hint="eastAsia" w:ascii="宋体" w:hAnsi="宋体" w:eastAsia="宋体" w:cs="宋体"/>
          <w:color w:val="auto"/>
          <w:spacing w:val="4"/>
          <w:sz w:val="24"/>
          <w:szCs w:val="24"/>
          <w:highlight w:val="none"/>
          <w:u w:val="single"/>
        </w:rPr>
        <w:t xml:space="preserve">                           </w:t>
      </w:r>
    </w:p>
    <w:p w14:paraId="5BBEFAE3">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传    真：</w:t>
      </w:r>
      <w:r>
        <w:rPr>
          <w:rFonts w:hint="eastAsia" w:ascii="宋体" w:hAnsi="宋体" w:eastAsia="宋体" w:cs="宋体"/>
          <w:color w:val="auto"/>
          <w:spacing w:val="4"/>
          <w:sz w:val="24"/>
          <w:szCs w:val="24"/>
          <w:highlight w:val="none"/>
          <w:u w:val="single"/>
        </w:rPr>
        <w:t xml:space="preserve">                           </w:t>
      </w:r>
    </w:p>
    <w:p w14:paraId="7EDA7D7B">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none"/>
          <w:lang w:eastAsia="zh-CN"/>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p>
    <w:p w14:paraId="593A553D">
      <w:pPr>
        <w:spacing w:line="420" w:lineRule="atLeast"/>
        <w:ind w:firstLine="576" w:firstLineChars="200"/>
        <w:jc w:val="left"/>
        <w:rPr>
          <w:rFonts w:hint="eastAsia" w:ascii="宋体" w:hAnsi="宋体" w:eastAsia="宋体" w:cs="宋体"/>
          <w:color w:val="auto"/>
          <w:spacing w:val="4"/>
          <w:sz w:val="28"/>
          <w:szCs w:val="28"/>
          <w:highlight w:val="none"/>
        </w:rPr>
      </w:pPr>
    </w:p>
    <w:p w14:paraId="67A84AB5">
      <w:pPr>
        <w:shd w:val="clear"/>
        <w:spacing w:line="259" w:lineRule="auto"/>
        <w:rPr>
          <w:rFonts w:hint="eastAsia" w:ascii="宋体" w:hAnsi="宋体" w:eastAsia="宋体" w:cs="宋体"/>
          <w:color w:val="auto"/>
          <w:sz w:val="21"/>
          <w:highlight w:val="none"/>
        </w:rPr>
      </w:pPr>
    </w:p>
    <w:p w14:paraId="5AC76B16">
      <w:pPr>
        <w:shd w:val="clear"/>
        <w:spacing w:line="259" w:lineRule="auto"/>
        <w:rPr>
          <w:rFonts w:hint="eastAsia" w:ascii="宋体" w:hAnsi="宋体" w:eastAsia="宋体" w:cs="宋体"/>
          <w:color w:val="auto"/>
          <w:sz w:val="21"/>
          <w:highlight w:val="none"/>
        </w:rPr>
      </w:pPr>
    </w:p>
    <w:p w14:paraId="51DAF54B">
      <w:pPr>
        <w:shd w:val="clear"/>
        <w:spacing w:line="259" w:lineRule="auto"/>
        <w:rPr>
          <w:rFonts w:hint="eastAsia" w:ascii="宋体" w:hAnsi="宋体" w:eastAsia="宋体" w:cs="宋体"/>
          <w:color w:val="auto"/>
          <w:sz w:val="21"/>
          <w:highlight w:val="none"/>
        </w:rPr>
      </w:pPr>
    </w:p>
    <w:p w14:paraId="3BE4E42C">
      <w:pPr>
        <w:shd w:val="clear"/>
        <w:spacing w:line="260" w:lineRule="auto"/>
        <w:rPr>
          <w:rFonts w:hint="eastAsia" w:ascii="宋体" w:hAnsi="宋体" w:eastAsia="宋体" w:cs="宋体"/>
          <w:color w:val="auto"/>
          <w:sz w:val="21"/>
          <w:highlight w:val="none"/>
        </w:rPr>
      </w:pPr>
    </w:p>
    <w:p w14:paraId="33E0DC23">
      <w:pPr>
        <w:shd w:val="clear"/>
        <w:spacing w:before="97" w:line="219" w:lineRule="auto"/>
        <w:outlineLvl w:val="9"/>
        <w:rPr>
          <w:rFonts w:hint="eastAsia" w:ascii="宋体" w:hAnsi="宋体" w:eastAsia="宋体" w:cs="宋体"/>
          <w:color w:val="auto"/>
          <w:spacing w:val="-4"/>
          <w:sz w:val="30"/>
          <w:szCs w:val="30"/>
          <w:highlight w:val="none"/>
        </w:rPr>
      </w:pPr>
    </w:p>
    <w:p w14:paraId="7DE1AD21">
      <w:pPr>
        <w:keepNext w:val="0"/>
        <w:keepLines w:val="0"/>
        <w:pageBreakBefore w:val="0"/>
        <w:numPr>
          <w:ilvl w:val="0"/>
          <w:numId w:val="0"/>
        </w:numPr>
        <w:shd w:val="clear"/>
        <w:kinsoku/>
        <w:wordWrap/>
        <w:overflowPunct/>
        <w:topLinePunct w:val="0"/>
        <w:bidi w:val="0"/>
        <w:snapToGrid/>
        <w:spacing w:before="98" w:line="360" w:lineRule="auto"/>
        <w:jc w:val="center"/>
        <w:textAlignment w:val="auto"/>
        <w:outlineLvl w:val="3"/>
        <w:rPr>
          <w:rFonts w:hint="default" w:ascii="宋体" w:hAnsi="宋体" w:eastAsia="宋体" w:cs="宋体"/>
          <w:color w:val="auto"/>
          <w:highlight w:val="none"/>
          <w:lang w:val="en-US"/>
        </w:rPr>
      </w:pPr>
      <w:bookmarkStart w:id="42" w:name="_bookmark584"/>
      <w:bookmarkEnd w:id="42"/>
      <w:bookmarkStart w:id="43" w:name="_bookmark612"/>
      <w:bookmarkEnd w:id="43"/>
      <w:r>
        <w:rPr>
          <w:rFonts w:hint="eastAsia" w:ascii="宋体" w:hAnsi="宋体" w:cs="宋体"/>
          <w:b/>
          <w:bCs/>
          <w:color w:val="auto"/>
          <w:spacing w:val="-8"/>
          <w:sz w:val="30"/>
          <w:szCs w:val="30"/>
          <w:highlight w:val="none"/>
          <w:lang w:val="en-US" w:eastAsia="zh-CN"/>
        </w:rPr>
        <w:t>二、响应报价表</w:t>
      </w:r>
    </w:p>
    <w:p w14:paraId="64A77A82">
      <w:pPr>
        <w:bidi w:val="0"/>
        <w:rPr>
          <w:rFonts w:hint="eastAsia"/>
          <w:color w:val="auto"/>
          <w:highlight w:val="none"/>
          <w:lang w:val="en-US" w:eastAsia="zh-CN"/>
        </w:rPr>
      </w:pPr>
    </w:p>
    <w:p w14:paraId="361DD005">
      <w:pPr>
        <w:bidi w:val="0"/>
        <w:jc w:val="center"/>
        <w:rPr>
          <w:rFonts w:hint="default"/>
          <w:lang w:val="en-US" w:eastAsia="zh-CN"/>
        </w:rPr>
      </w:pPr>
      <w:r>
        <w:rPr>
          <w:rFonts w:hint="eastAsia" w:ascii="宋体" w:hAnsi="宋体" w:eastAsia="宋体" w:cs="宋体"/>
          <w:b/>
          <w:color w:val="auto"/>
          <w:sz w:val="24"/>
          <w:szCs w:val="24"/>
          <w:highlight w:val="none"/>
          <w:lang w:val="en-US" w:eastAsia="zh-CN"/>
        </w:rPr>
        <w:t>开标一览表</w:t>
      </w:r>
    </w:p>
    <w:p w14:paraId="478A943E">
      <w:pPr>
        <w:keepNext w:val="0"/>
        <w:keepLines w:val="0"/>
        <w:pageBreakBefore w:val="0"/>
        <w:kinsoku/>
        <w:wordWrap/>
        <w:overflowPunct/>
        <w:topLinePunct w:val="0"/>
        <w:bidi w:val="0"/>
        <w:snapToGrid/>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项目名称：</w:t>
      </w:r>
    </w:p>
    <w:p w14:paraId="4D269F9C">
      <w:pPr>
        <w:keepNext w:val="0"/>
        <w:keepLines w:val="0"/>
        <w:pageBreakBefore w:val="0"/>
        <w:kinsoku/>
        <w:wordWrap/>
        <w:overflowPunct/>
        <w:topLinePunct w:val="0"/>
        <w:bidi w:val="0"/>
        <w:snapToGrid/>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                                   </w:t>
      </w:r>
    </w:p>
    <w:p w14:paraId="53421FE9">
      <w:pPr>
        <w:keepNext w:val="0"/>
        <w:keepLines w:val="0"/>
        <w:pageBreakBefore w:val="0"/>
        <w:kinsoku/>
        <w:wordWrap/>
        <w:overflowPunct/>
        <w:topLinePunct w:val="0"/>
        <w:bidi w:val="0"/>
        <w:snapToGrid/>
        <w:spacing w:line="360" w:lineRule="auto"/>
        <w:ind w:firstLine="7469" w:firstLineChars="31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单位：元</w:t>
      </w:r>
    </w:p>
    <w:tbl>
      <w:tblPr>
        <w:tblStyle w:val="16"/>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9"/>
        <w:gridCol w:w="2981"/>
        <w:gridCol w:w="1581"/>
      </w:tblGrid>
      <w:tr w14:paraId="38242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619" w:type="dxa"/>
            <w:noWrap w:val="0"/>
            <w:vAlign w:val="center"/>
          </w:tcPr>
          <w:p w14:paraId="010047D9">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磋商报价</w:t>
            </w:r>
          </w:p>
        </w:tc>
        <w:tc>
          <w:tcPr>
            <w:tcW w:w="2981" w:type="dxa"/>
            <w:noWrap w:val="0"/>
            <w:vAlign w:val="center"/>
          </w:tcPr>
          <w:p w14:paraId="5E4CBD9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服务期</w:t>
            </w:r>
          </w:p>
        </w:tc>
        <w:tc>
          <w:tcPr>
            <w:tcW w:w="1581" w:type="dxa"/>
            <w:noWrap w:val="0"/>
            <w:vAlign w:val="center"/>
          </w:tcPr>
          <w:p w14:paraId="0B72509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75AEA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4619" w:type="dxa"/>
            <w:noWrap w:val="0"/>
            <w:vAlign w:val="center"/>
          </w:tcPr>
          <w:p w14:paraId="33947E78">
            <w:pPr>
              <w:keepNext w:val="0"/>
              <w:keepLines w:val="0"/>
              <w:pageBreakBefore w:val="0"/>
              <w:kinsoku/>
              <w:wordWrap/>
              <w:overflowPunct/>
              <w:topLinePunct w:val="0"/>
              <w:bidi w:val="0"/>
              <w:snapToGrid/>
              <w:spacing w:line="360" w:lineRule="auto"/>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大写：             元</w:t>
            </w:r>
          </w:p>
          <w:p w14:paraId="05BE0737">
            <w:pPr>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tc>
        <w:tc>
          <w:tcPr>
            <w:tcW w:w="2981" w:type="dxa"/>
            <w:noWrap w:val="0"/>
            <w:vAlign w:val="center"/>
          </w:tcPr>
          <w:p w14:paraId="72AE8B80">
            <w:pPr>
              <w:keepNext w:val="0"/>
              <w:keepLines w:val="0"/>
              <w:pageBreakBefore w:val="0"/>
              <w:widowControl/>
              <w:kinsoku/>
              <w:wordWrap/>
              <w:overflowPunct/>
              <w:topLinePunct w:val="0"/>
              <w:bidi w:val="0"/>
              <w:snapToGrid/>
              <w:spacing w:line="360" w:lineRule="auto"/>
              <w:jc w:val="left"/>
              <w:textAlignment w:val="auto"/>
              <w:rPr>
                <w:rFonts w:hint="eastAsia" w:ascii="宋体" w:hAnsi="宋体" w:eastAsia="宋体" w:cs="宋体"/>
                <w:color w:val="auto"/>
                <w:sz w:val="24"/>
                <w:szCs w:val="24"/>
                <w:highlight w:val="none"/>
              </w:rPr>
            </w:pPr>
          </w:p>
        </w:tc>
        <w:tc>
          <w:tcPr>
            <w:tcW w:w="1581" w:type="dxa"/>
            <w:noWrap w:val="0"/>
            <w:vAlign w:val="center"/>
          </w:tcPr>
          <w:p w14:paraId="5B2200B6">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sz w:val="24"/>
                <w:szCs w:val="24"/>
              </w:rPr>
            </w:pPr>
            <w:r>
              <w:rPr>
                <w:rFonts w:hint="eastAsia" w:ascii="仿宋" w:hAnsi="仿宋" w:eastAsia="仿宋"/>
                <w:sz w:val="24"/>
                <w:szCs w:val="24"/>
              </w:rPr>
              <w:t>是否小微</w:t>
            </w:r>
          </w:p>
          <w:p w14:paraId="692279CB">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仿宋" w:hAnsi="仿宋" w:eastAsia="仿宋"/>
                <w:sz w:val="24"/>
                <w:szCs w:val="24"/>
              </w:rPr>
              <w:t>企业</w:t>
            </w:r>
          </w:p>
        </w:tc>
      </w:tr>
      <w:tr w14:paraId="6CA7C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181" w:type="dxa"/>
            <w:gridSpan w:val="3"/>
            <w:noWrap w:val="0"/>
            <w:vAlign w:val="center"/>
          </w:tcPr>
          <w:p w14:paraId="4036C500">
            <w:pPr>
              <w:keepNext w:val="0"/>
              <w:keepLines w:val="0"/>
              <w:pageBreakBefore w:val="0"/>
              <w:kinsoku/>
              <w:wordWrap/>
              <w:overflowPunct/>
              <w:topLinePunct w:val="0"/>
              <w:bidi w:val="0"/>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备注：表内报价内容以元为单位，保留小数点后两位。</w:t>
            </w:r>
          </w:p>
        </w:tc>
      </w:tr>
    </w:tbl>
    <w:p w14:paraId="3EFA79A1">
      <w:pPr>
        <w:keepNext w:val="0"/>
        <w:keepLines w:val="0"/>
        <w:pageBreakBefore w:val="0"/>
        <w:kinsoku/>
        <w:wordWrap/>
        <w:overflowPunct/>
        <w:topLinePunct w:val="0"/>
        <w:bidi w:val="0"/>
        <w:snapToGrid/>
        <w:spacing w:line="360" w:lineRule="auto"/>
        <w:textAlignment w:val="auto"/>
        <w:rPr>
          <w:rFonts w:hint="eastAsia" w:ascii="宋体" w:hAnsi="宋体" w:eastAsia="宋体" w:cs="宋体"/>
          <w:b/>
          <w:color w:val="auto"/>
          <w:sz w:val="24"/>
          <w:szCs w:val="24"/>
          <w:highlight w:val="none"/>
        </w:rPr>
      </w:pPr>
    </w:p>
    <w:p w14:paraId="55B45239">
      <w:pPr>
        <w:spacing w:line="560" w:lineRule="exact"/>
        <w:ind w:firstLine="480" w:firstLineChars="200"/>
        <w:jc w:val="both"/>
        <w:rPr>
          <w:rFonts w:ascii="仿宋" w:hAnsi="仿宋" w:eastAsia="仿宋"/>
          <w:sz w:val="24"/>
          <w:szCs w:val="24"/>
        </w:rPr>
      </w:pPr>
      <w:r>
        <w:rPr>
          <w:rFonts w:ascii="仿宋" w:hAnsi="仿宋" w:eastAsia="仿宋"/>
          <w:sz w:val="24"/>
          <w:szCs w:val="24"/>
        </w:rPr>
        <w:t>注：监狱企业、残疾人福利性单位视同小微企业。</w:t>
      </w:r>
    </w:p>
    <w:p w14:paraId="6B127C34">
      <w:pPr>
        <w:keepNext w:val="0"/>
        <w:keepLines w:val="0"/>
        <w:pageBreakBefore w:val="0"/>
        <w:kinsoku/>
        <w:wordWrap/>
        <w:overflowPunct/>
        <w:topLinePunct w:val="0"/>
        <w:bidi w:val="0"/>
        <w:snapToGrid/>
        <w:spacing w:line="360" w:lineRule="auto"/>
        <w:jc w:val="left"/>
        <w:textAlignment w:val="auto"/>
        <w:rPr>
          <w:rFonts w:hint="eastAsia" w:ascii="宋体" w:hAnsi="宋体" w:eastAsia="宋体" w:cs="宋体"/>
          <w:color w:val="auto"/>
          <w:sz w:val="24"/>
          <w:szCs w:val="24"/>
          <w:highlight w:val="none"/>
        </w:rPr>
      </w:pPr>
    </w:p>
    <w:p w14:paraId="4DF23B6F">
      <w:pPr>
        <w:pStyle w:val="2"/>
        <w:keepNext w:val="0"/>
        <w:keepLines w:val="0"/>
        <w:pageBreakBefore w:val="0"/>
        <w:kinsoku/>
        <w:wordWrap/>
        <w:overflowPunct/>
        <w:topLinePunct w:val="0"/>
        <w:bidi w:val="0"/>
        <w:snapToGrid/>
        <w:spacing w:line="360" w:lineRule="auto"/>
        <w:ind w:firstLine="480"/>
        <w:textAlignment w:val="auto"/>
        <w:rPr>
          <w:rFonts w:hint="eastAsia" w:ascii="宋体" w:hAnsi="宋体" w:eastAsia="宋体" w:cs="宋体"/>
          <w:color w:val="auto"/>
          <w:sz w:val="24"/>
          <w:szCs w:val="24"/>
          <w:highlight w:val="none"/>
        </w:rPr>
      </w:pPr>
    </w:p>
    <w:p w14:paraId="28BDE51C">
      <w:pPr>
        <w:pStyle w:val="2"/>
        <w:keepNext w:val="0"/>
        <w:keepLines w:val="0"/>
        <w:pageBreakBefore w:val="0"/>
        <w:kinsoku/>
        <w:wordWrap/>
        <w:overflowPunct/>
        <w:topLinePunct w:val="0"/>
        <w:bidi w:val="0"/>
        <w:snapToGrid/>
        <w:spacing w:line="360" w:lineRule="auto"/>
        <w:ind w:firstLine="0" w:firstLineChars="0"/>
        <w:textAlignment w:val="auto"/>
        <w:rPr>
          <w:rFonts w:hint="eastAsia" w:ascii="宋体" w:hAnsi="宋体" w:eastAsia="宋体" w:cs="宋体"/>
          <w:color w:val="auto"/>
          <w:sz w:val="24"/>
          <w:szCs w:val="24"/>
          <w:highlight w:val="none"/>
        </w:rPr>
      </w:pPr>
    </w:p>
    <w:p w14:paraId="1F1FAE14">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1FCFC5F3">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法定代表人/被授权人（</w:t>
      </w:r>
      <w:r>
        <w:rPr>
          <w:rFonts w:hint="eastAsia" w:ascii="宋体" w:hAnsi="宋体" w:eastAsia="宋体" w:cs="宋体"/>
          <w:color w:val="auto"/>
          <w:spacing w:val="4"/>
          <w:sz w:val="24"/>
          <w:szCs w:val="24"/>
          <w:highlight w:val="none"/>
        </w:rPr>
        <w:t>签字或盖章</w:t>
      </w:r>
      <w:r>
        <w:rPr>
          <w:rFonts w:hint="eastAsia" w:ascii="宋体" w:hAnsi="宋体" w:eastAsia="宋体" w:cs="宋体"/>
          <w:color w:val="auto"/>
          <w:sz w:val="24"/>
          <w:szCs w:val="24"/>
          <w:highlight w:val="none"/>
        </w:rPr>
        <w:t>）：</w:t>
      </w:r>
    </w:p>
    <w:p w14:paraId="1BF023AD">
      <w:pPr>
        <w:keepNext w:val="0"/>
        <w:keepLines w:val="0"/>
        <w:pageBreakBefore w:val="0"/>
        <w:widowControl w:val="0"/>
        <w:kinsoku/>
        <w:wordWrap/>
        <w:overflowPunct/>
        <w:topLinePunct w:val="0"/>
        <w:autoSpaceDE/>
        <w:autoSpaceDN/>
        <w:bidi w:val="0"/>
        <w:adjustRightInd/>
        <w:snapToGrid/>
        <w:spacing w:line="360" w:lineRule="auto"/>
        <w:ind w:firstLine="3648" w:firstLineChars="1471"/>
        <w:jc w:val="left"/>
        <w:textAlignment w:val="auto"/>
        <w:rPr>
          <w:rFonts w:hint="eastAsia" w:ascii="宋体" w:hAnsi="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p>
    <w:p w14:paraId="0FF84354">
      <w:pPr>
        <w:bidi w:val="0"/>
        <w:rPr>
          <w:rFonts w:hint="eastAsia"/>
          <w:color w:val="auto"/>
          <w:highlight w:val="none"/>
          <w:lang w:eastAsia="zh-CN"/>
        </w:rPr>
      </w:pPr>
    </w:p>
    <w:p w14:paraId="6F8A03FE">
      <w:pPr>
        <w:bidi w:val="0"/>
        <w:rPr>
          <w:rFonts w:hint="eastAsia"/>
          <w:color w:val="auto"/>
          <w:highlight w:val="none"/>
          <w:lang w:val="en-US" w:eastAsia="zh-CN"/>
        </w:rPr>
      </w:pPr>
    </w:p>
    <w:p w14:paraId="415790C4">
      <w:pPr>
        <w:bidi w:val="0"/>
        <w:rPr>
          <w:rFonts w:hint="eastAsia"/>
          <w:color w:val="auto"/>
          <w:highlight w:val="none"/>
          <w:lang w:eastAsia="zh-CN"/>
        </w:rPr>
      </w:pPr>
    </w:p>
    <w:p w14:paraId="67CA3D5A">
      <w:pPr>
        <w:bidi w:val="0"/>
        <w:rPr>
          <w:rFonts w:hint="eastAsia"/>
          <w:color w:val="auto"/>
          <w:highlight w:val="none"/>
          <w:lang w:val="en-US" w:eastAsia="zh-CN"/>
        </w:rPr>
      </w:pPr>
    </w:p>
    <w:p w14:paraId="03E892EE">
      <w:pPr>
        <w:bidi w:val="0"/>
        <w:rPr>
          <w:rFonts w:hint="eastAsia"/>
          <w:color w:val="auto"/>
          <w:highlight w:val="none"/>
          <w:lang w:val="en-US" w:eastAsia="zh-CN"/>
        </w:rPr>
      </w:pPr>
    </w:p>
    <w:p w14:paraId="1303C122">
      <w:pPr>
        <w:bidi w:val="0"/>
        <w:rPr>
          <w:rFonts w:hint="eastAsia"/>
          <w:color w:val="auto"/>
          <w:highlight w:val="none"/>
          <w:lang w:val="en-US" w:eastAsia="zh-CN"/>
        </w:rPr>
      </w:pPr>
    </w:p>
    <w:p w14:paraId="5DF16D09">
      <w:pPr>
        <w:bidi w:val="0"/>
        <w:rPr>
          <w:rFonts w:hint="eastAsia"/>
          <w:color w:val="auto"/>
          <w:highlight w:val="none"/>
          <w:lang w:val="en-US" w:eastAsia="zh-CN"/>
        </w:rPr>
      </w:pPr>
    </w:p>
    <w:p w14:paraId="4AF12869">
      <w:pPr>
        <w:bidi w:val="0"/>
        <w:rPr>
          <w:rFonts w:hint="eastAsia"/>
          <w:color w:val="auto"/>
          <w:highlight w:val="none"/>
          <w:lang w:val="en-US" w:eastAsia="zh-CN"/>
        </w:rPr>
      </w:pPr>
    </w:p>
    <w:p w14:paraId="6247610D">
      <w:pPr>
        <w:bidi w:val="0"/>
        <w:rPr>
          <w:rFonts w:hint="eastAsia"/>
          <w:color w:val="auto"/>
          <w:highlight w:val="none"/>
          <w:lang w:val="en-US" w:eastAsia="zh-CN"/>
        </w:rPr>
      </w:pPr>
    </w:p>
    <w:p w14:paraId="602029EC">
      <w:pPr>
        <w:bidi w:val="0"/>
        <w:rPr>
          <w:rFonts w:hint="eastAsia"/>
          <w:color w:val="auto"/>
          <w:highlight w:val="none"/>
          <w:lang w:eastAsia="zh-CN"/>
        </w:rPr>
      </w:pPr>
    </w:p>
    <w:p w14:paraId="0AAA2BE2">
      <w:pPr>
        <w:bidi w:val="0"/>
        <w:rPr>
          <w:rFonts w:hint="eastAsia"/>
          <w:color w:val="auto"/>
          <w:highlight w:val="none"/>
          <w:lang w:val="en-US" w:eastAsia="zh-CN"/>
        </w:rPr>
      </w:pPr>
    </w:p>
    <w:p w14:paraId="664FD93A">
      <w:pPr>
        <w:bidi w:val="0"/>
        <w:rPr>
          <w:rFonts w:hint="eastAsia"/>
          <w:color w:val="auto"/>
          <w:highlight w:val="none"/>
          <w:lang w:eastAsia="zh-CN"/>
        </w:rPr>
      </w:pPr>
    </w:p>
    <w:p w14:paraId="16213525">
      <w:pPr>
        <w:bidi w:val="0"/>
        <w:rPr>
          <w:rFonts w:hint="eastAsia"/>
          <w:color w:val="auto"/>
          <w:highlight w:val="none"/>
          <w:lang w:val="en-US" w:eastAsia="zh-CN"/>
        </w:rPr>
      </w:pPr>
    </w:p>
    <w:p w14:paraId="70C909B3">
      <w:pPr>
        <w:rPr>
          <w:rFonts w:hint="eastAsia"/>
          <w:color w:val="auto"/>
          <w:highlight w:val="none"/>
          <w:lang w:eastAsia="zh-CN"/>
        </w:rPr>
      </w:pPr>
    </w:p>
    <w:p w14:paraId="2AF2CCF2">
      <w:pPr>
        <w:pStyle w:val="2"/>
        <w:rPr>
          <w:rFonts w:hint="eastAsia"/>
          <w:lang w:eastAsia="zh-CN"/>
        </w:rPr>
      </w:pPr>
    </w:p>
    <w:p w14:paraId="656A9048">
      <w:pPr>
        <w:bidi w:val="0"/>
        <w:jc w:val="center"/>
        <w:rPr>
          <w:rFonts w:hint="eastAsia" w:ascii="宋体" w:hAnsi="宋体" w:cs="宋体"/>
          <w:b/>
          <w:sz w:val="28"/>
          <w:szCs w:val="28"/>
          <w:lang w:val="en-US" w:eastAsia="zh-CN"/>
        </w:rPr>
      </w:pPr>
    </w:p>
    <w:p w14:paraId="3D48B93E">
      <w:pPr>
        <w:keepNext w:val="0"/>
        <w:keepLines w:val="0"/>
        <w:pageBreakBefore w:val="0"/>
        <w:widowControl w:val="0"/>
        <w:shd w:val="clear"/>
        <w:kinsoku/>
        <w:wordWrap/>
        <w:overflowPunct/>
        <w:topLinePunct w:val="0"/>
        <w:bidi w:val="0"/>
        <w:spacing w:before="98" w:line="360" w:lineRule="auto"/>
        <w:jc w:val="center"/>
        <w:textAlignment w:val="auto"/>
        <w:outlineLvl w:val="3"/>
        <w:rPr>
          <w:rFonts w:hint="eastAsia" w:ascii="宋体" w:hAnsi="宋体" w:eastAsia="宋体" w:cs="宋体"/>
          <w:color w:val="auto"/>
          <w:sz w:val="21"/>
          <w:highlight w:val="none"/>
        </w:rPr>
      </w:pPr>
      <w:r>
        <w:rPr>
          <w:rFonts w:hint="eastAsia" w:ascii="宋体" w:hAnsi="宋体" w:cs="宋体"/>
          <w:b/>
          <w:bCs/>
          <w:color w:val="auto"/>
          <w:spacing w:val="-8"/>
          <w:sz w:val="30"/>
          <w:szCs w:val="30"/>
          <w:highlight w:val="none"/>
          <w:lang w:val="en-US" w:eastAsia="zh-CN"/>
        </w:rPr>
        <w:t>三</w:t>
      </w:r>
      <w:r>
        <w:rPr>
          <w:rFonts w:hint="eastAsia" w:ascii="宋体" w:hAnsi="宋体" w:eastAsia="宋体" w:cs="宋体"/>
          <w:b/>
          <w:bCs/>
          <w:color w:val="auto"/>
          <w:spacing w:val="-8"/>
          <w:sz w:val="30"/>
          <w:szCs w:val="30"/>
          <w:highlight w:val="none"/>
        </w:rPr>
        <w:t>、法定代表人身份证明书</w:t>
      </w:r>
    </w:p>
    <w:p w14:paraId="47CEAC93">
      <w:pPr>
        <w:keepNext w:val="0"/>
        <w:keepLines w:val="0"/>
        <w:pageBreakBefore w:val="0"/>
        <w:widowControl w:val="0"/>
        <w:shd w:val="clear"/>
        <w:kinsoku/>
        <w:wordWrap/>
        <w:overflowPunct/>
        <w:topLinePunct w:val="0"/>
        <w:bidi w:val="0"/>
        <w:spacing w:before="100" w:line="360" w:lineRule="auto"/>
        <w:ind w:firstLine="525" w:firstLineChars="21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18CC7F28">
      <w:pPr>
        <w:keepNext w:val="0"/>
        <w:keepLines w:val="0"/>
        <w:pageBreakBefore w:val="0"/>
        <w:widowControl w:val="0"/>
        <w:shd w:val="clear"/>
        <w:kinsoku/>
        <w:wordWrap/>
        <w:overflowPunct/>
        <w:topLinePunct w:val="0"/>
        <w:bidi w:val="0"/>
        <w:spacing w:before="100" w:line="360" w:lineRule="auto"/>
        <w:ind w:firstLine="525" w:firstLineChars="21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color="auto"/>
        </w:rPr>
        <w:t xml:space="preserve">                          </w:t>
      </w:r>
    </w:p>
    <w:p w14:paraId="5B3222B1">
      <w:pPr>
        <w:keepNext w:val="0"/>
        <w:keepLines w:val="0"/>
        <w:pageBreakBefore w:val="0"/>
        <w:widowControl w:val="0"/>
        <w:shd w:val="clear"/>
        <w:kinsoku/>
        <w:wordWrap/>
        <w:overflowPunct/>
        <w:topLinePunct w:val="0"/>
        <w:bidi w:val="0"/>
        <w:spacing w:before="227" w:line="360" w:lineRule="auto"/>
        <w:ind w:firstLine="525" w:firstLineChars="21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pacing w:val="-30"/>
          <w:sz w:val="24"/>
          <w:szCs w:val="24"/>
          <w:highlight w:val="none"/>
        </w:rPr>
        <w:t>年</w:t>
      </w:r>
      <w:r>
        <w:rPr>
          <w:rFonts w:hint="eastAsia" w:ascii="宋体" w:hAnsi="宋体" w:eastAsia="宋体" w:cs="宋体"/>
          <w:color w:val="auto"/>
          <w:spacing w:val="12"/>
          <w:sz w:val="24"/>
          <w:szCs w:val="24"/>
          <w:highlight w:val="none"/>
          <w:u w:val="single" w:color="auto"/>
        </w:rPr>
        <w:t xml:space="preserve">      </w:t>
      </w:r>
      <w:r>
        <w:rPr>
          <w:rFonts w:hint="eastAsia" w:ascii="宋体" w:hAnsi="宋体" w:eastAsia="宋体" w:cs="宋体"/>
          <w:color w:val="auto"/>
          <w:spacing w:val="-30"/>
          <w:sz w:val="24"/>
          <w:szCs w:val="24"/>
          <w:highlight w:val="none"/>
        </w:rPr>
        <w:t>月</w:t>
      </w:r>
      <w:r>
        <w:rPr>
          <w:rFonts w:hint="eastAsia" w:ascii="宋体" w:hAnsi="宋体" w:eastAsia="宋体" w:cs="宋体"/>
          <w:color w:val="auto"/>
          <w:spacing w:val="20"/>
          <w:sz w:val="24"/>
          <w:szCs w:val="24"/>
          <w:highlight w:val="none"/>
          <w:u w:val="single" w:color="auto"/>
        </w:rPr>
        <w:t xml:space="preserve">  </w:t>
      </w:r>
      <w:r>
        <w:rPr>
          <w:rFonts w:hint="eastAsia" w:ascii="宋体" w:hAnsi="宋体" w:cs="宋体"/>
          <w:color w:val="auto"/>
          <w:spacing w:val="20"/>
          <w:sz w:val="24"/>
          <w:szCs w:val="24"/>
          <w:highlight w:val="none"/>
          <w:u w:val="single" w:color="auto"/>
          <w:lang w:val="en-US" w:eastAsia="zh-CN"/>
        </w:rPr>
        <w:t xml:space="preserve"> </w:t>
      </w:r>
      <w:r>
        <w:rPr>
          <w:rFonts w:hint="eastAsia" w:ascii="宋体" w:hAnsi="宋体" w:eastAsia="宋体" w:cs="宋体"/>
          <w:color w:val="auto"/>
          <w:spacing w:val="20"/>
          <w:sz w:val="24"/>
          <w:szCs w:val="24"/>
          <w:highlight w:val="none"/>
          <w:u w:val="single" w:color="auto"/>
        </w:rPr>
        <w:t xml:space="preserve">  </w:t>
      </w:r>
      <w:r>
        <w:rPr>
          <w:rFonts w:hint="eastAsia" w:ascii="宋体" w:hAnsi="宋体" w:eastAsia="宋体" w:cs="宋体"/>
          <w:color w:val="auto"/>
          <w:spacing w:val="-30"/>
          <w:sz w:val="24"/>
          <w:szCs w:val="24"/>
          <w:highlight w:val="none"/>
        </w:rPr>
        <w:t>日</w:t>
      </w:r>
    </w:p>
    <w:p w14:paraId="7A67FC8D">
      <w:pPr>
        <w:keepNext w:val="0"/>
        <w:keepLines w:val="0"/>
        <w:pageBreakBefore w:val="0"/>
        <w:widowControl w:val="0"/>
        <w:shd w:val="clear"/>
        <w:kinsoku/>
        <w:wordWrap/>
        <w:overflowPunct/>
        <w:topLinePunct w:val="0"/>
        <w:bidi w:val="0"/>
        <w:spacing w:before="224" w:line="360" w:lineRule="auto"/>
        <w:ind w:firstLine="516" w:firstLineChars="21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color="auto"/>
        </w:rPr>
        <w:t xml:space="preserve">        </w:t>
      </w:r>
      <w:r>
        <w:rPr>
          <w:rFonts w:hint="eastAsia" w:ascii="宋体" w:hAnsi="宋体" w:cs="宋体"/>
          <w:color w:val="auto"/>
          <w:sz w:val="24"/>
          <w:szCs w:val="24"/>
          <w:highlight w:val="none"/>
          <w:u w:val="single" w:color="auto"/>
          <w:lang w:val="en-US" w:eastAsia="zh-CN"/>
        </w:rPr>
        <w:t xml:space="preserve">              </w:t>
      </w:r>
      <w:r>
        <w:rPr>
          <w:rFonts w:hint="eastAsia" w:ascii="宋体" w:hAnsi="宋体" w:eastAsia="宋体" w:cs="宋体"/>
          <w:color w:val="auto"/>
          <w:sz w:val="24"/>
          <w:szCs w:val="24"/>
          <w:highlight w:val="none"/>
          <w:u w:val="single" w:color="auto"/>
        </w:rPr>
        <w:t xml:space="preserve">    </w:t>
      </w:r>
    </w:p>
    <w:p w14:paraId="0A7089A9">
      <w:pPr>
        <w:keepNext w:val="0"/>
        <w:keepLines w:val="0"/>
        <w:pageBreakBefore w:val="0"/>
        <w:widowControl w:val="0"/>
        <w:shd w:val="clear"/>
        <w:kinsoku/>
        <w:wordWrap/>
        <w:overflowPunct/>
        <w:topLinePunct w:val="0"/>
        <w:bidi w:val="0"/>
        <w:spacing w:before="226" w:line="360" w:lineRule="auto"/>
        <w:ind w:firstLine="516" w:firstLineChars="215"/>
        <w:textAlignment w:val="auto"/>
        <w:rPr>
          <w:rFonts w:hint="eastAsia" w:ascii="宋体" w:hAnsi="宋体" w:cs="宋体"/>
          <w:color w:val="auto"/>
          <w:sz w:val="24"/>
          <w:szCs w:val="24"/>
          <w:highlight w:val="none"/>
          <w:u w:val="single" w:color="auto"/>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color="auto"/>
        </w:rPr>
        <w:t xml:space="preserve">      </w:t>
      </w:r>
      <w:r>
        <w:rPr>
          <w:rFonts w:hint="eastAsia" w:ascii="宋体" w:hAnsi="宋体" w:cs="宋体"/>
          <w:color w:val="auto"/>
          <w:sz w:val="24"/>
          <w:szCs w:val="24"/>
          <w:highlight w:val="none"/>
          <w:u w:val="single" w:color="auto"/>
          <w:lang w:val="en-US" w:eastAsia="zh-CN"/>
        </w:rPr>
        <w:t xml:space="preserve">  </w:t>
      </w:r>
      <w:r>
        <w:rPr>
          <w:rFonts w:hint="eastAsia" w:ascii="宋体" w:hAnsi="宋体" w:cs="宋体"/>
          <w:color w:val="auto"/>
          <w:sz w:val="24"/>
          <w:szCs w:val="24"/>
          <w:highlight w:val="none"/>
          <w:u w:val="none" w:color="auto"/>
          <w:lang w:val="en-US" w:eastAsia="zh-CN"/>
        </w:rPr>
        <w:t xml:space="preserve">  职务： </w:t>
      </w:r>
      <w:r>
        <w:rPr>
          <w:rFonts w:hint="eastAsia" w:ascii="宋体" w:hAnsi="宋体" w:cs="宋体"/>
          <w:color w:val="auto"/>
          <w:sz w:val="24"/>
          <w:szCs w:val="24"/>
          <w:highlight w:val="none"/>
          <w:u w:val="single" w:color="auto"/>
          <w:lang w:val="en-US" w:eastAsia="zh-CN"/>
        </w:rPr>
        <w:t xml:space="preserve">        </w:t>
      </w:r>
    </w:p>
    <w:p w14:paraId="3A953606">
      <w:pPr>
        <w:keepNext w:val="0"/>
        <w:keepLines w:val="0"/>
        <w:pageBreakBefore w:val="0"/>
        <w:widowControl w:val="0"/>
        <w:shd w:val="clear"/>
        <w:kinsoku/>
        <w:wordWrap/>
        <w:overflowPunct/>
        <w:topLinePunct w:val="0"/>
        <w:bidi w:val="0"/>
        <w:spacing w:before="226" w:line="360" w:lineRule="auto"/>
        <w:ind w:firstLine="604" w:firstLineChars="31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系</w:t>
      </w:r>
      <w:r>
        <w:rPr>
          <w:rFonts w:hint="eastAsia" w:ascii="宋体" w:hAnsi="宋体" w:eastAsia="宋体" w:cs="宋体"/>
          <w:color w:val="auto"/>
          <w:spacing w:val="5"/>
          <w:sz w:val="24"/>
          <w:szCs w:val="24"/>
          <w:highlight w:val="none"/>
          <w:u w:val="single" w:color="auto"/>
        </w:rPr>
        <w:t xml:space="preserve">        </w:t>
      </w:r>
      <w:r>
        <w:rPr>
          <w:rFonts w:hint="eastAsia" w:ascii="宋体" w:hAnsi="宋体" w:cs="宋体"/>
          <w:color w:val="auto"/>
          <w:spacing w:val="5"/>
          <w:sz w:val="24"/>
          <w:szCs w:val="24"/>
          <w:highlight w:val="none"/>
          <w:u w:val="single" w:color="auto"/>
          <w:lang w:val="en-US" w:eastAsia="zh-CN"/>
        </w:rPr>
        <w:t xml:space="preserve">  </w:t>
      </w:r>
      <w:r>
        <w:rPr>
          <w:rFonts w:hint="eastAsia" w:ascii="宋体" w:hAnsi="宋体" w:eastAsia="宋体" w:cs="宋体"/>
          <w:color w:val="auto"/>
          <w:spacing w:val="5"/>
          <w:sz w:val="24"/>
          <w:szCs w:val="24"/>
          <w:highlight w:val="none"/>
          <w:u w:val="single" w:color="auto"/>
        </w:rPr>
        <w:t xml:space="preserve">  </w:t>
      </w:r>
      <w:r>
        <w:rPr>
          <w:rFonts w:hint="eastAsia" w:ascii="宋体" w:hAnsi="宋体" w:cs="宋体"/>
          <w:color w:val="auto"/>
          <w:spacing w:val="5"/>
          <w:sz w:val="24"/>
          <w:szCs w:val="24"/>
          <w:highlight w:val="none"/>
          <w:u w:val="single" w:color="auto"/>
          <w:lang w:val="en-US" w:eastAsia="zh-CN"/>
        </w:rPr>
        <w:t xml:space="preserve">   </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24"/>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 的法定代表人</w:t>
      </w:r>
      <w:r>
        <w:rPr>
          <w:rFonts w:hint="eastAsia" w:ascii="宋体" w:hAnsi="宋体" w:eastAsia="宋体" w:cs="宋体"/>
          <w:color w:val="auto"/>
          <w:spacing w:val="-8"/>
          <w:sz w:val="24"/>
          <w:szCs w:val="24"/>
          <w:highlight w:val="none"/>
        </w:rPr>
        <w:t>。</w:t>
      </w:r>
    </w:p>
    <w:p w14:paraId="144189C7">
      <w:pPr>
        <w:keepNext w:val="0"/>
        <w:keepLines w:val="0"/>
        <w:pageBreakBefore w:val="0"/>
        <w:widowControl w:val="0"/>
        <w:shd w:val="clear"/>
        <w:kinsoku/>
        <w:wordWrap/>
        <w:overflowPunct/>
        <w:topLinePunct w:val="0"/>
        <w:bidi w:val="0"/>
        <w:spacing w:before="2" w:line="360" w:lineRule="auto"/>
        <w:ind w:firstLine="67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特此证明。</w:t>
      </w:r>
    </w:p>
    <w:p w14:paraId="747EB12C">
      <w:pPr>
        <w:keepNext w:val="0"/>
        <w:keepLines w:val="0"/>
        <w:pageBreakBefore w:val="0"/>
        <w:widowControl w:val="0"/>
        <w:shd w:val="clear"/>
        <w:kinsoku/>
        <w:wordWrap/>
        <w:overflowPunct/>
        <w:topLinePunct w:val="0"/>
        <w:bidi w:val="0"/>
        <w:spacing w:line="360" w:lineRule="auto"/>
        <w:textAlignment w:val="auto"/>
        <w:rPr>
          <w:rFonts w:hint="eastAsia" w:ascii="宋体" w:hAnsi="宋体" w:eastAsia="宋体" w:cs="宋体"/>
          <w:color w:val="auto"/>
          <w:sz w:val="24"/>
          <w:szCs w:val="24"/>
          <w:highlight w:val="none"/>
        </w:rPr>
      </w:pPr>
    </w:p>
    <w:p w14:paraId="72483F8D">
      <w:pPr>
        <w:keepNext w:val="0"/>
        <w:keepLines w:val="0"/>
        <w:pageBreakBefore w:val="0"/>
        <w:widowControl w:val="0"/>
        <w:shd w:val="clear"/>
        <w:kinsoku/>
        <w:wordWrap/>
        <w:overflowPunct/>
        <w:topLinePunct w:val="0"/>
        <w:autoSpaceDE w:val="0"/>
        <w:autoSpaceDN w:val="0"/>
        <w:bidi w:val="0"/>
        <w:adjustRightInd w:val="0"/>
        <w:snapToGrid w:val="0"/>
        <w:spacing w:before="156" w:beforeLines="5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附：法定代表人身份证复印件</w:t>
      </w:r>
      <w:r>
        <w:rPr>
          <w:rFonts w:hint="eastAsia" w:ascii="宋体" w:hAnsi="宋体" w:eastAsia="宋体" w:cs="宋体"/>
          <w:color w:val="auto"/>
          <w:sz w:val="24"/>
          <w:szCs w:val="24"/>
          <w:highlight w:val="none"/>
          <w:lang w:eastAsia="zh-CN"/>
        </w:rPr>
        <w:t>（正反面）</w:t>
      </w:r>
    </w:p>
    <w:tbl>
      <w:tblPr>
        <w:tblStyle w:val="16"/>
        <w:tblpPr w:leftFromText="180" w:rightFromText="180" w:vertAnchor="text" w:horzAnchor="margin" w:tblpXSpec="center" w:tblpY="104"/>
        <w:tblW w:w="88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420"/>
        <w:gridCol w:w="4420"/>
      </w:tblGrid>
      <w:tr w14:paraId="32FE5F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75" w:hRule="atLeast"/>
        </w:trPr>
        <w:tc>
          <w:tcPr>
            <w:tcW w:w="4420" w:type="dxa"/>
            <w:tcBorders>
              <w:tl2br w:val="nil"/>
              <w:tr2bl w:val="nil"/>
            </w:tcBorders>
            <w:noWrap w:val="0"/>
            <w:vAlign w:val="center"/>
          </w:tcPr>
          <w:p w14:paraId="2126F800">
            <w:pPr>
              <w:keepNext w:val="0"/>
              <w:keepLines w:val="0"/>
              <w:pageBreakBefore w:val="0"/>
              <w:widowControl w:val="0"/>
              <w:shd w:val="clear"/>
              <w:kinsoku/>
              <w:wordWrap/>
              <w:overflowPunct/>
              <w:topLinePunct w:val="0"/>
              <w:bidi w:val="0"/>
              <w:snapToGrid w:val="0"/>
              <w:spacing w:line="360" w:lineRule="auto"/>
              <w:jc w:val="center"/>
              <w:textAlignment w:val="auto"/>
              <w:rPr>
                <w:rFonts w:hint="eastAsia"/>
                <w:color w:val="auto"/>
                <w:highlight w:val="none"/>
              </w:rPr>
            </w:pPr>
          </w:p>
          <w:p w14:paraId="3795CC23">
            <w:pPr>
              <w:pStyle w:val="4"/>
              <w:numPr>
                <w:ilvl w:val="1"/>
                <w:numId w:val="0"/>
              </w:numPr>
              <w:ind w:left="420" w:leftChars="0"/>
              <w:rPr>
                <w:rFonts w:hint="eastAsia"/>
                <w:color w:val="auto"/>
                <w:highlight w:val="none"/>
              </w:rPr>
            </w:pPr>
          </w:p>
        </w:tc>
        <w:tc>
          <w:tcPr>
            <w:tcW w:w="4420" w:type="dxa"/>
            <w:tcBorders>
              <w:tl2br w:val="nil"/>
              <w:tr2bl w:val="nil"/>
            </w:tcBorders>
            <w:noWrap w:val="0"/>
            <w:vAlign w:val="center"/>
          </w:tcPr>
          <w:p w14:paraId="04550580">
            <w:pPr>
              <w:keepNext w:val="0"/>
              <w:keepLines w:val="0"/>
              <w:pageBreakBefore w:val="0"/>
              <w:widowControl w:val="0"/>
              <w:shd w:val="clear"/>
              <w:kinsoku/>
              <w:wordWrap/>
              <w:overflowPunct/>
              <w:topLinePunct w:val="0"/>
              <w:bidi w:val="0"/>
              <w:snapToGrid w:val="0"/>
              <w:spacing w:line="360" w:lineRule="auto"/>
              <w:jc w:val="center"/>
              <w:textAlignment w:val="auto"/>
              <w:rPr>
                <w:rFonts w:hint="eastAsia" w:ascii="宋体" w:hAnsi="宋体" w:eastAsia="宋体" w:cs="宋体"/>
                <w:color w:val="auto"/>
                <w:sz w:val="24"/>
                <w:szCs w:val="24"/>
                <w:highlight w:val="none"/>
              </w:rPr>
            </w:pPr>
          </w:p>
        </w:tc>
      </w:tr>
    </w:tbl>
    <w:p w14:paraId="5EE21635">
      <w:pPr>
        <w:keepNext w:val="0"/>
        <w:keepLines w:val="0"/>
        <w:pageBreakBefore w:val="0"/>
        <w:widowControl w:val="0"/>
        <w:shd w:val="clear"/>
        <w:kinsoku/>
        <w:wordWrap/>
        <w:overflowPunct/>
        <w:topLinePunct w:val="0"/>
        <w:bidi w:val="0"/>
        <w:spacing w:before="101" w:line="360" w:lineRule="auto"/>
        <w:ind w:firstLine="80"/>
        <w:textAlignment w:val="auto"/>
        <w:rPr>
          <w:rFonts w:hint="eastAsia" w:ascii="宋体" w:hAnsi="宋体" w:eastAsia="宋体" w:cs="宋体"/>
          <w:color w:val="auto"/>
          <w:spacing w:val="-25"/>
          <w:position w:val="8"/>
          <w:sz w:val="24"/>
          <w:szCs w:val="24"/>
          <w:highlight w:val="none"/>
        </w:rPr>
      </w:pPr>
    </w:p>
    <w:p w14:paraId="79EDF147">
      <w:pPr>
        <w:keepNext w:val="0"/>
        <w:keepLines w:val="0"/>
        <w:pageBreakBefore w:val="0"/>
        <w:widowControl w:val="0"/>
        <w:shd w:val="clear"/>
        <w:kinsoku/>
        <w:wordWrap/>
        <w:overflowPunct/>
        <w:topLinePunct w:val="0"/>
        <w:bidi w:val="0"/>
        <w:spacing w:before="101" w:line="360" w:lineRule="auto"/>
        <w:ind w:firstLine="80"/>
        <w:textAlignment w:val="auto"/>
        <w:rPr>
          <w:rFonts w:hint="eastAsia" w:ascii="宋体" w:hAnsi="宋体" w:eastAsia="宋体" w:cs="宋体"/>
          <w:color w:val="auto"/>
          <w:spacing w:val="-25"/>
          <w:position w:val="8"/>
          <w:sz w:val="24"/>
          <w:szCs w:val="24"/>
          <w:highlight w:val="none"/>
        </w:rPr>
      </w:pPr>
    </w:p>
    <w:p w14:paraId="7452A60E">
      <w:pPr>
        <w:keepNext w:val="0"/>
        <w:keepLines w:val="0"/>
        <w:pageBreakBefore w:val="0"/>
        <w:widowControl w:val="0"/>
        <w:kinsoku/>
        <w:wordWrap/>
        <w:overflowPunct/>
        <w:topLinePunct w:val="0"/>
        <w:autoSpaceDE/>
        <w:autoSpaceDN/>
        <w:bidi w:val="0"/>
        <w:adjustRightInd/>
        <w:snapToGrid/>
        <w:spacing w:line="480" w:lineRule="auto"/>
        <w:ind w:firstLine="4080" w:firstLineChars="17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20EC12C5">
      <w:pPr>
        <w:keepNext w:val="0"/>
        <w:keepLines w:val="0"/>
        <w:pageBreakBefore w:val="0"/>
        <w:widowControl w:val="0"/>
        <w:kinsoku/>
        <w:wordWrap/>
        <w:overflowPunct/>
        <w:topLinePunct w:val="0"/>
        <w:autoSpaceDE/>
        <w:autoSpaceDN/>
        <w:bidi w:val="0"/>
        <w:adjustRightInd/>
        <w:snapToGrid/>
        <w:spacing w:line="360" w:lineRule="auto"/>
        <w:ind w:firstLine="4141" w:firstLineChars="1670"/>
        <w:jc w:val="left"/>
        <w:textAlignment w:val="auto"/>
        <w:rPr>
          <w:rFonts w:hint="eastAsia" w:ascii="宋体" w:hAnsi="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p>
    <w:p w14:paraId="1E3A9EED">
      <w:pPr>
        <w:keepNext w:val="0"/>
        <w:keepLines w:val="0"/>
        <w:pageBreakBefore w:val="0"/>
        <w:widowControl w:val="0"/>
        <w:shd w:val="clear"/>
        <w:kinsoku/>
        <w:wordWrap/>
        <w:overflowPunct/>
        <w:topLinePunct w:val="0"/>
        <w:bidi w:val="0"/>
        <w:spacing w:line="360" w:lineRule="auto"/>
        <w:textAlignment w:val="auto"/>
        <w:rPr>
          <w:rFonts w:hint="eastAsia" w:ascii="宋体" w:hAnsi="宋体" w:eastAsia="宋体" w:cs="宋体"/>
          <w:color w:val="auto"/>
          <w:sz w:val="21"/>
          <w:highlight w:val="none"/>
        </w:rPr>
      </w:pPr>
    </w:p>
    <w:p w14:paraId="37928942">
      <w:pPr>
        <w:shd w:val="clear"/>
        <w:spacing w:line="274" w:lineRule="auto"/>
        <w:rPr>
          <w:rFonts w:hint="eastAsia" w:ascii="宋体" w:hAnsi="宋体" w:eastAsia="宋体" w:cs="宋体"/>
          <w:color w:val="auto"/>
          <w:sz w:val="21"/>
          <w:highlight w:val="none"/>
        </w:rPr>
      </w:pPr>
    </w:p>
    <w:p w14:paraId="7DC7717C">
      <w:pPr>
        <w:shd w:val="clear"/>
        <w:spacing w:line="274" w:lineRule="auto"/>
        <w:rPr>
          <w:rFonts w:hint="eastAsia" w:ascii="宋体" w:hAnsi="宋体" w:eastAsia="宋体" w:cs="宋体"/>
          <w:color w:val="auto"/>
          <w:sz w:val="21"/>
          <w:highlight w:val="none"/>
        </w:rPr>
      </w:pPr>
    </w:p>
    <w:p w14:paraId="5548681C">
      <w:pPr>
        <w:shd w:val="clear"/>
        <w:spacing w:line="274" w:lineRule="auto"/>
        <w:rPr>
          <w:rFonts w:hint="eastAsia" w:ascii="宋体" w:hAnsi="宋体" w:eastAsia="宋体" w:cs="宋体"/>
          <w:color w:val="auto"/>
          <w:sz w:val="21"/>
          <w:highlight w:val="none"/>
        </w:rPr>
      </w:pPr>
    </w:p>
    <w:p w14:paraId="2146E44C">
      <w:pPr>
        <w:shd w:val="clear"/>
        <w:spacing w:before="98" w:line="220" w:lineRule="auto"/>
        <w:outlineLvl w:val="3"/>
        <w:rPr>
          <w:rFonts w:hint="eastAsia" w:ascii="宋体" w:hAnsi="宋体" w:eastAsia="宋体" w:cs="宋体"/>
          <w:b/>
          <w:bCs/>
          <w:color w:val="auto"/>
          <w:spacing w:val="-8"/>
          <w:sz w:val="30"/>
          <w:szCs w:val="30"/>
          <w:highlight w:val="none"/>
          <w:lang w:val="en-US" w:eastAsia="zh-CN"/>
        </w:rPr>
      </w:pPr>
      <w:bookmarkStart w:id="44" w:name="_bookmark586"/>
      <w:bookmarkEnd w:id="44"/>
      <w:bookmarkStart w:id="45" w:name="_bookmark614"/>
      <w:bookmarkEnd w:id="45"/>
    </w:p>
    <w:p w14:paraId="4234A0A6">
      <w:pPr>
        <w:shd w:val="clear"/>
        <w:spacing w:before="98" w:line="220" w:lineRule="auto"/>
        <w:outlineLvl w:val="3"/>
        <w:rPr>
          <w:rFonts w:hint="eastAsia" w:ascii="宋体" w:hAnsi="宋体" w:eastAsia="宋体" w:cs="宋体"/>
          <w:b/>
          <w:bCs/>
          <w:color w:val="auto"/>
          <w:spacing w:val="-8"/>
          <w:sz w:val="30"/>
          <w:szCs w:val="30"/>
          <w:highlight w:val="none"/>
          <w:lang w:val="en-US" w:eastAsia="zh-CN"/>
        </w:rPr>
      </w:pPr>
    </w:p>
    <w:p w14:paraId="007C7633">
      <w:pPr>
        <w:keepNext w:val="0"/>
        <w:keepLines w:val="0"/>
        <w:pageBreakBefore w:val="0"/>
        <w:widowControl w:val="0"/>
        <w:shd w:val="clear"/>
        <w:kinsoku/>
        <w:wordWrap/>
        <w:overflowPunct/>
        <w:topLinePunct w:val="0"/>
        <w:autoSpaceDE/>
        <w:autoSpaceDN/>
        <w:bidi w:val="0"/>
        <w:adjustRightInd/>
        <w:snapToGrid/>
        <w:spacing w:before="98" w:line="360" w:lineRule="auto"/>
        <w:jc w:val="center"/>
        <w:textAlignment w:val="auto"/>
        <w:outlineLvl w:val="3"/>
        <w:rPr>
          <w:rFonts w:hint="eastAsia" w:ascii="宋体" w:hAnsi="宋体" w:eastAsia="宋体" w:cs="宋体"/>
          <w:color w:val="auto"/>
          <w:sz w:val="21"/>
          <w:highlight w:val="none"/>
        </w:rPr>
      </w:pPr>
      <w:r>
        <w:rPr>
          <w:rFonts w:hint="eastAsia" w:ascii="宋体" w:hAnsi="宋体" w:cs="宋体"/>
          <w:b/>
          <w:bCs/>
          <w:color w:val="auto"/>
          <w:spacing w:val="-8"/>
          <w:sz w:val="30"/>
          <w:szCs w:val="30"/>
          <w:highlight w:val="none"/>
          <w:lang w:val="en-US" w:eastAsia="zh-CN"/>
        </w:rPr>
        <w:t>四</w:t>
      </w:r>
      <w:r>
        <w:rPr>
          <w:rFonts w:hint="eastAsia" w:ascii="宋体" w:hAnsi="宋体" w:eastAsia="宋体" w:cs="宋体"/>
          <w:b/>
          <w:bCs/>
          <w:color w:val="auto"/>
          <w:spacing w:val="-8"/>
          <w:sz w:val="30"/>
          <w:szCs w:val="30"/>
          <w:highlight w:val="none"/>
        </w:rPr>
        <w:t>、 法定代表人授权委托书</w:t>
      </w:r>
    </w:p>
    <w:p w14:paraId="13208C66">
      <w:pPr>
        <w:keepNext w:val="0"/>
        <w:keepLines w:val="0"/>
        <w:pageBreakBefore w:val="0"/>
        <w:widowControl w:val="0"/>
        <w:shd w:val="clear"/>
        <w:kinsoku/>
        <w:wordWrap/>
        <w:overflowPunct/>
        <w:topLinePunct w:val="0"/>
        <w:autoSpaceDE/>
        <w:autoSpaceDN/>
        <w:bidi w:val="0"/>
        <w:adjustRightInd/>
        <w:snapToGrid/>
        <w:spacing w:before="78" w:line="360" w:lineRule="auto"/>
        <w:ind w:left="23" w:right="12"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本人</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pacing w:val="-20"/>
          <w:sz w:val="24"/>
          <w:szCs w:val="24"/>
          <w:highlight w:val="none"/>
        </w:rPr>
        <w:t>（姓名）系</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pacing w:val="-20"/>
          <w:sz w:val="24"/>
          <w:szCs w:val="24"/>
          <w:highlight w:val="none"/>
        </w:rPr>
        <w:t>（</w:t>
      </w:r>
      <w:r>
        <w:rPr>
          <w:rFonts w:hint="eastAsia" w:ascii="宋体" w:hAnsi="宋体" w:eastAsia="宋体" w:cs="宋体"/>
          <w:color w:val="auto"/>
          <w:spacing w:val="4"/>
          <w:sz w:val="24"/>
          <w:szCs w:val="24"/>
          <w:highlight w:val="none"/>
          <w:lang w:eastAsia="zh-CN"/>
        </w:rPr>
        <w:t>供应商</w:t>
      </w:r>
      <w:r>
        <w:rPr>
          <w:rFonts w:hint="eastAsia" w:ascii="宋体" w:hAnsi="宋体" w:eastAsia="宋体" w:cs="宋体"/>
          <w:color w:val="auto"/>
          <w:spacing w:val="4"/>
          <w:sz w:val="24"/>
          <w:szCs w:val="24"/>
          <w:highlight w:val="none"/>
        </w:rPr>
        <w:t>名称）的法定代表人， 现委托</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95"/>
          <w:sz w:val="24"/>
          <w:szCs w:val="24"/>
          <w:highlight w:val="none"/>
        </w:rPr>
        <w:t xml:space="preserve"> </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4"/>
          <w:sz w:val="24"/>
          <w:szCs w:val="24"/>
          <w:highlight w:val="none"/>
        </w:rPr>
        <w:t xml:space="preserve">姓名）为我方代理人。代理人根据授权，以我方名义签署、澄清、说明、补正、递交、撤回、修改 </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pacing w:val="8"/>
          <w:sz w:val="24"/>
          <w:szCs w:val="24"/>
          <w:highlight w:val="none"/>
          <w:u w:val="single" w:color="auto"/>
          <w:lang w:eastAsia="zh-CN"/>
        </w:rPr>
        <w:t>（</w:t>
      </w:r>
      <w:r>
        <w:rPr>
          <w:rFonts w:hint="eastAsia" w:ascii="宋体" w:hAnsi="宋体" w:eastAsia="宋体" w:cs="宋体"/>
          <w:color w:val="auto"/>
          <w:spacing w:val="8"/>
          <w:sz w:val="24"/>
          <w:szCs w:val="24"/>
          <w:highlight w:val="none"/>
          <w:u w:val="single" w:color="auto"/>
          <w:lang w:val="en-US" w:eastAsia="zh-CN"/>
        </w:rPr>
        <w:t>项目名称</w:t>
      </w:r>
      <w:r>
        <w:rPr>
          <w:rFonts w:hint="eastAsia" w:ascii="宋体" w:hAnsi="宋体" w:eastAsia="宋体" w:cs="宋体"/>
          <w:color w:val="auto"/>
          <w:spacing w:val="8"/>
          <w:sz w:val="24"/>
          <w:szCs w:val="24"/>
          <w:highlight w:val="none"/>
          <w:u w:val="single" w:color="auto"/>
          <w:lang w:eastAsia="zh-CN"/>
        </w:rPr>
        <w:t>）</w:t>
      </w:r>
      <w:r>
        <w:rPr>
          <w:rFonts w:hint="eastAsia" w:ascii="宋体" w:hAnsi="宋体" w:cs="宋体"/>
          <w:color w:val="auto"/>
          <w:spacing w:val="8"/>
          <w:sz w:val="24"/>
          <w:szCs w:val="24"/>
          <w:highlight w:val="none"/>
          <w:u w:val="single" w:color="auto"/>
          <w:lang w:val="en-US" w:eastAsia="zh-CN"/>
        </w:rPr>
        <w:t xml:space="preserve">        </w:t>
      </w:r>
      <w:r>
        <w:rPr>
          <w:rFonts w:hint="eastAsia" w:ascii="宋体" w:hAnsi="宋体" w:cs="宋体"/>
          <w:color w:val="auto"/>
          <w:spacing w:val="-1"/>
          <w:sz w:val="24"/>
          <w:szCs w:val="24"/>
          <w:highlight w:val="none"/>
          <w:lang w:val="en-US" w:eastAsia="zh-CN"/>
        </w:rPr>
        <w:t>响应</w:t>
      </w:r>
      <w:r>
        <w:rPr>
          <w:rFonts w:hint="eastAsia" w:ascii="宋体" w:hAnsi="宋体" w:eastAsia="宋体" w:cs="宋体"/>
          <w:color w:val="auto"/>
          <w:spacing w:val="-1"/>
          <w:sz w:val="24"/>
          <w:szCs w:val="24"/>
          <w:highlight w:val="none"/>
        </w:rPr>
        <w:t>文件、签</w:t>
      </w:r>
      <w:r>
        <w:rPr>
          <w:rFonts w:hint="eastAsia" w:ascii="宋体" w:hAnsi="宋体" w:eastAsia="宋体" w:cs="宋体"/>
          <w:color w:val="auto"/>
          <w:spacing w:val="-2"/>
          <w:sz w:val="24"/>
          <w:szCs w:val="24"/>
          <w:highlight w:val="none"/>
        </w:rPr>
        <w:t>订合同和处理有关事宜，其法律后果由我方承担。</w:t>
      </w:r>
    </w:p>
    <w:p w14:paraId="3568A05E">
      <w:pPr>
        <w:keepNext w:val="0"/>
        <w:keepLines w:val="0"/>
        <w:pageBreakBefore w:val="0"/>
        <w:widowControl w:val="0"/>
        <w:shd w:val="clear"/>
        <w:kinsoku/>
        <w:wordWrap/>
        <w:overflowPunct/>
        <w:topLinePunct w:val="0"/>
        <w:autoSpaceDE/>
        <w:autoSpaceDN/>
        <w:bidi w:val="0"/>
        <w:adjustRightInd/>
        <w:snapToGrid/>
        <w:spacing w:before="78" w:line="360" w:lineRule="auto"/>
        <w:ind w:firstLine="502"/>
        <w:textAlignment w:val="auto"/>
        <w:rPr>
          <w:rFonts w:hint="eastAsia" w:ascii="宋体" w:hAnsi="宋体" w:cs="宋体" w:eastAsiaTheme="minorEastAsia"/>
          <w:color w:val="auto"/>
          <w:sz w:val="24"/>
          <w:szCs w:val="24"/>
          <w:highlight w:val="none"/>
          <w:lang w:eastAsia="zh-CN"/>
        </w:rPr>
      </w:pPr>
      <w:r>
        <w:rPr>
          <w:rFonts w:hint="eastAsia" w:ascii="宋体" w:hAnsi="宋体" w:eastAsia="宋体" w:cs="宋体"/>
          <w:color w:val="auto"/>
          <w:spacing w:val="-2"/>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自本授权委托书签署之日起至</w:t>
      </w:r>
      <w:r>
        <w:rPr>
          <w:rFonts w:hint="eastAsia" w:asciiTheme="minorEastAsia" w:hAnsiTheme="minorEastAsia" w:eastAsiaTheme="minorEastAsia" w:cstheme="minorEastAsia"/>
          <w:color w:val="auto"/>
          <w:sz w:val="24"/>
          <w:szCs w:val="24"/>
          <w:highlight w:val="none"/>
          <w:u w:val="single"/>
          <w:lang w:val="en-US" w:eastAsia="zh-CN"/>
        </w:rPr>
        <w:t>响应</w:t>
      </w:r>
      <w:r>
        <w:rPr>
          <w:rFonts w:hint="eastAsia" w:asciiTheme="minorEastAsia" w:hAnsiTheme="minorEastAsia" w:eastAsiaTheme="minorEastAsia" w:cstheme="minorEastAsia"/>
          <w:color w:val="auto"/>
          <w:sz w:val="24"/>
          <w:szCs w:val="24"/>
          <w:highlight w:val="none"/>
          <w:u w:val="single"/>
        </w:rPr>
        <w:t>文件有效期满</w:t>
      </w:r>
      <w:r>
        <w:rPr>
          <w:rFonts w:hint="eastAsia" w:asciiTheme="minorEastAsia" w:hAnsiTheme="minorEastAsia" w:eastAsiaTheme="minorEastAsia" w:cstheme="minorEastAsia"/>
          <w:color w:val="auto"/>
          <w:sz w:val="24"/>
          <w:szCs w:val="24"/>
          <w:highlight w:val="none"/>
          <w:u w:val="single"/>
          <w:lang w:eastAsia="zh-CN"/>
        </w:rPr>
        <w:t>。</w:t>
      </w:r>
    </w:p>
    <w:p w14:paraId="6905F5C1">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highlight w:val="none"/>
        </w:rPr>
      </w:pPr>
    </w:p>
    <w:p w14:paraId="07FB3D7A">
      <w:pPr>
        <w:keepNext w:val="0"/>
        <w:keepLines w:val="0"/>
        <w:pageBreakBefore w:val="0"/>
        <w:widowControl w:val="0"/>
        <w:shd w:val="clear"/>
        <w:kinsoku/>
        <w:wordWrap/>
        <w:overflowPunct/>
        <w:topLinePunct w:val="0"/>
        <w:autoSpaceDE/>
        <w:autoSpaceDN/>
        <w:bidi w:val="0"/>
        <w:adjustRightInd/>
        <w:snapToGrid/>
        <w:spacing w:before="78" w:line="360" w:lineRule="auto"/>
        <w:ind w:firstLine="50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代理人无转委托权。</w:t>
      </w:r>
    </w:p>
    <w:p w14:paraId="3253C43F">
      <w:pPr>
        <w:keepNext w:val="0"/>
        <w:keepLines w:val="0"/>
        <w:pageBreakBefore w:val="0"/>
        <w:widowControl w:val="0"/>
        <w:shd w:val="clear"/>
        <w:kinsoku/>
        <w:wordWrap/>
        <w:overflowPunct/>
        <w:topLinePunct w:val="0"/>
        <w:autoSpaceDE/>
        <w:autoSpaceDN/>
        <w:bidi w:val="0"/>
        <w:adjustRightInd/>
        <w:snapToGrid/>
        <w:spacing w:line="360" w:lineRule="auto"/>
        <w:ind w:firstLine="505" w:firstLineChars="204"/>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附：法定代表人、被授权人身份证复印件</w:t>
      </w:r>
      <w:r>
        <w:rPr>
          <w:rFonts w:hint="eastAsia" w:ascii="宋体" w:hAnsi="宋体" w:eastAsia="宋体" w:cs="宋体"/>
          <w:color w:val="auto"/>
          <w:spacing w:val="4"/>
          <w:sz w:val="24"/>
          <w:szCs w:val="24"/>
          <w:highlight w:val="none"/>
          <w:lang w:eastAsia="zh-CN"/>
        </w:rPr>
        <w:t>（正反面）</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115"/>
        <w:gridCol w:w="4025"/>
      </w:tblGrid>
      <w:tr w14:paraId="770556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12" w:hRule="atLeast"/>
          <w:jc w:val="center"/>
        </w:trPr>
        <w:tc>
          <w:tcPr>
            <w:tcW w:w="4115" w:type="dxa"/>
            <w:tcBorders>
              <w:tl2br w:val="nil"/>
              <w:tr2bl w:val="nil"/>
            </w:tcBorders>
            <w:vAlign w:val="center"/>
          </w:tcPr>
          <w:p w14:paraId="090AB1A3">
            <w:pPr>
              <w:pStyle w:val="8"/>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法定代表人身份证复印件</w:t>
            </w:r>
            <w:r>
              <w:rPr>
                <w:rFonts w:hint="eastAsia" w:ascii="宋体" w:hAnsi="宋体" w:eastAsia="宋体" w:cs="宋体"/>
                <w:color w:val="auto"/>
                <w:sz w:val="24"/>
                <w:szCs w:val="24"/>
                <w:highlight w:val="none"/>
                <w:lang w:eastAsia="zh-CN"/>
              </w:rPr>
              <w:t>）</w:t>
            </w:r>
          </w:p>
        </w:tc>
        <w:tc>
          <w:tcPr>
            <w:tcW w:w="4025" w:type="dxa"/>
            <w:tcBorders>
              <w:tl2br w:val="nil"/>
              <w:tr2bl w:val="nil"/>
            </w:tcBorders>
            <w:vAlign w:val="center"/>
          </w:tcPr>
          <w:p w14:paraId="262DEB2D">
            <w:pPr>
              <w:pStyle w:val="8"/>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委托代理人身份证复印件</w:t>
            </w:r>
            <w:r>
              <w:rPr>
                <w:rFonts w:hint="eastAsia" w:ascii="宋体" w:hAnsi="宋体" w:eastAsia="宋体" w:cs="宋体"/>
                <w:color w:val="auto"/>
                <w:sz w:val="24"/>
                <w:szCs w:val="24"/>
                <w:highlight w:val="none"/>
                <w:lang w:eastAsia="zh-CN"/>
              </w:rPr>
              <w:t>）</w:t>
            </w:r>
          </w:p>
        </w:tc>
      </w:tr>
      <w:tr w14:paraId="0FCF43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77" w:hRule="atLeast"/>
          <w:jc w:val="center"/>
        </w:trPr>
        <w:tc>
          <w:tcPr>
            <w:tcW w:w="4115" w:type="dxa"/>
            <w:tcBorders>
              <w:tl2br w:val="nil"/>
              <w:tr2bl w:val="nil"/>
            </w:tcBorders>
            <w:vAlign w:val="center"/>
          </w:tcPr>
          <w:p w14:paraId="387C5CB3">
            <w:pPr>
              <w:pStyle w:val="8"/>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法定代表人身份证复印件</w:t>
            </w:r>
            <w:r>
              <w:rPr>
                <w:rFonts w:hint="eastAsia" w:ascii="宋体" w:hAnsi="宋体" w:eastAsia="宋体" w:cs="宋体"/>
                <w:color w:val="auto"/>
                <w:sz w:val="24"/>
                <w:szCs w:val="24"/>
                <w:highlight w:val="none"/>
                <w:lang w:eastAsia="zh-CN"/>
              </w:rPr>
              <w:t>）</w:t>
            </w:r>
          </w:p>
        </w:tc>
        <w:tc>
          <w:tcPr>
            <w:tcW w:w="4025" w:type="dxa"/>
            <w:tcBorders>
              <w:tl2br w:val="nil"/>
              <w:tr2bl w:val="nil"/>
            </w:tcBorders>
            <w:vAlign w:val="center"/>
          </w:tcPr>
          <w:p w14:paraId="6D249061">
            <w:pPr>
              <w:pStyle w:val="8"/>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委托代理人身份证复印件</w:t>
            </w:r>
            <w:r>
              <w:rPr>
                <w:rFonts w:hint="eastAsia" w:ascii="宋体" w:hAnsi="宋体" w:eastAsia="宋体" w:cs="宋体"/>
                <w:color w:val="auto"/>
                <w:sz w:val="24"/>
                <w:szCs w:val="24"/>
                <w:highlight w:val="none"/>
                <w:lang w:eastAsia="zh-CN"/>
              </w:rPr>
              <w:t>）</w:t>
            </w:r>
          </w:p>
        </w:tc>
      </w:tr>
    </w:tbl>
    <w:p w14:paraId="321B9260">
      <w:pPr>
        <w:keepNext w:val="0"/>
        <w:keepLines w:val="0"/>
        <w:pageBreakBefore w:val="0"/>
        <w:widowControl w:val="0"/>
        <w:shd w:val="clear"/>
        <w:kinsoku/>
        <w:wordWrap/>
        <w:overflowPunct/>
        <w:topLinePunct w:val="0"/>
        <w:autoSpaceDE/>
        <w:autoSpaceDN/>
        <w:bidi w:val="0"/>
        <w:adjustRightInd/>
        <w:snapToGrid/>
        <w:spacing w:before="78" w:line="360" w:lineRule="auto"/>
        <w:textAlignment w:val="auto"/>
        <w:rPr>
          <w:rFonts w:hint="eastAsia" w:ascii="宋体" w:hAnsi="宋体" w:eastAsia="宋体" w:cs="宋体"/>
          <w:color w:val="auto"/>
          <w:spacing w:val="-2"/>
          <w:sz w:val="24"/>
          <w:szCs w:val="24"/>
          <w:highlight w:val="none"/>
          <w:lang w:eastAsia="zh-CN"/>
        </w:rPr>
      </w:pPr>
    </w:p>
    <w:p w14:paraId="263C58DF">
      <w:pPr>
        <w:keepNext w:val="0"/>
        <w:keepLines w:val="0"/>
        <w:pageBreakBefore w:val="0"/>
        <w:widowControl w:val="0"/>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（盖单位章）</w:t>
      </w:r>
    </w:p>
    <w:p w14:paraId="5E462D59">
      <w:pPr>
        <w:keepNext w:val="0"/>
        <w:keepLines w:val="0"/>
        <w:pageBreakBefore w:val="0"/>
        <w:widowControl w:val="0"/>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法定</w:t>
      </w:r>
      <w:r>
        <w:rPr>
          <w:rFonts w:hint="eastAsia" w:ascii="宋体" w:hAnsi="宋体" w:eastAsia="宋体" w:cs="宋体"/>
          <w:color w:val="auto"/>
          <w:sz w:val="24"/>
          <w:szCs w:val="24"/>
          <w:highlight w:val="none"/>
        </w:rPr>
        <w:t>代表人：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p>
    <w:p w14:paraId="5BA64EAC">
      <w:pPr>
        <w:keepNext w:val="0"/>
        <w:keepLines w:val="0"/>
        <w:pageBreakBefore w:val="0"/>
        <w:widowControl w:val="0"/>
        <w:kinsoku/>
        <w:wordWrap/>
        <w:overflowPunct/>
        <w:topLinePunct w:val="0"/>
        <w:autoSpaceDE/>
        <w:autoSpaceDN/>
        <w:bidi w:val="0"/>
        <w:adjustRightInd/>
        <w:snapToGrid/>
        <w:spacing w:line="360" w:lineRule="auto"/>
        <w:ind w:firstLine="2640" w:firstLineChars="110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lang w:val="en-US" w:eastAsia="zh-CN"/>
        </w:rPr>
        <w:t xml:space="preserve">                 </w:t>
      </w:r>
    </w:p>
    <w:p w14:paraId="731F9DBD">
      <w:pPr>
        <w:keepNext w:val="0"/>
        <w:keepLines w:val="0"/>
        <w:pageBreakBefore w:val="0"/>
        <w:widowControl w:val="0"/>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p>
    <w:p w14:paraId="22FD8E2B">
      <w:pPr>
        <w:keepNext w:val="0"/>
        <w:keepLines w:val="0"/>
        <w:pageBreakBefore w:val="0"/>
        <w:widowControl w:val="0"/>
        <w:tabs>
          <w:tab w:val="left" w:pos="4248"/>
        </w:tabs>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0A93684F">
      <w:pPr>
        <w:keepNext w:val="0"/>
        <w:keepLines w:val="0"/>
        <w:pageBreakBefore w:val="0"/>
        <w:widowControl w:val="0"/>
        <w:tabs>
          <w:tab w:val="left" w:pos="4248"/>
        </w:tabs>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sectPr>
          <w:footerReference r:id="rId5" w:type="default"/>
          <w:pgSz w:w="11907" w:h="16839"/>
          <w:pgMar w:top="1417" w:right="1531" w:bottom="1417" w:left="1531" w:header="850" w:footer="850" w:gutter="0"/>
          <w:pgNumType w:fmt="decimal"/>
          <w:cols w:space="720" w:num="1"/>
        </w:sectPr>
      </w:pPr>
      <w:r>
        <w:rPr>
          <w:rFonts w:hint="eastAsia" w:ascii="宋体" w:hAnsi="宋体" w:eastAsia="宋体" w:cs="宋体"/>
          <w:b w:val="0"/>
          <w:bCs w:val="0"/>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eastAsia="zh-CN"/>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eastAsia="zh-CN"/>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日</w:t>
      </w:r>
    </w:p>
    <w:p w14:paraId="13D367F3">
      <w:pPr>
        <w:shd w:val="clear"/>
        <w:spacing w:before="98" w:line="220" w:lineRule="auto"/>
        <w:ind w:firstLine="3313"/>
        <w:outlineLvl w:val="3"/>
        <w:rPr>
          <w:rFonts w:hint="eastAsia" w:ascii="宋体" w:hAnsi="宋体" w:eastAsia="宋体" w:cs="宋体"/>
          <w:color w:val="auto"/>
          <w:sz w:val="24"/>
          <w:szCs w:val="24"/>
          <w:highlight w:val="none"/>
        </w:rPr>
      </w:pPr>
      <w:bookmarkStart w:id="46" w:name="_bookmark620"/>
      <w:bookmarkEnd w:id="46"/>
      <w:bookmarkStart w:id="47" w:name="_bookmark592"/>
      <w:bookmarkEnd w:id="47"/>
      <w:bookmarkStart w:id="48" w:name="_bookmark623"/>
      <w:bookmarkEnd w:id="48"/>
      <w:bookmarkStart w:id="49" w:name="_bookmark593"/>
      <w:bookmarkEnd w:id="49"/>
      <w:bookmarkStart w:id="50" w:name="_bookmark590"/>
      <w:bookmarkEnd w:id="50"/>
      <w:r>
        <w:rPr>
          <w:rFonts w:hint="eastAsia" w:ascii="宋体" w:hAnsi="宋体" w:cs="宋体"/>
          <w:b/>
          <w:bCs/>
          <w:color w:val="auto"/>
          <w:spacing w:val="-8"/>
          <w:sz w:val="30"/>
          <w:szCs w:val="30"/>
          <w:highlight w:val="none"/>
          <w:lang w:val="en-US" w:eastAsia="zh-CN"/>
        </w:rPr>
        <w:t>五</w:t>
      </w:r>
      <w:r>
        <w:rPr>
          <w:rFonts w:hint="eastAsia" w:ascii="宋体" w:hAnsi="宋体" w:eastAsia="宋体" w:cs="宋体"/>
          <w:b/>
          <w:bCs/>
          <w:color w:val="auto"/>
          <w:spacing w:val="-8"/>
          <w:sz w:val="30"/>
          <w:szCs w:val="30"/>
          <w:highlight w:val="none"/>
          <w:lang w:val="en-US" w:eastAsia="zh-CN"/>
        </w:rPr>
        <w:t>、 技术响应偏离表</w:t>
      </w:r>
    </w:p>
    <w:p w14:paraId="5079D03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010201F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bl>
      <w:tblPr>
        <w:tblStyle w:val="16"/>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2557"/>
        <w:gridCol w:w="2762"/>
        <w:gridCol w:w="2076"/>
      </w:tblGrid>
      <w:tr w14:paraId="56873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center"/>
          </w:tcPr>
          <w:p w14:paraId="0B2210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57" w:type="dxa"/>
            <w:noWrap w:val="0"/>
            <w:vAlign w:val="center"/>
          </w:tcPr>
          <w:p w14:paraId="47947939">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磋商文件技术</w:t>
            </w:r>
            <w:r>
              <w:rPr>
                <w:rFonts w:hint="eastAsia" w:ascii="宋体" w:hAnsi="宋体" w:cs="宋体"/>
                <w:color w:val="auto"/>
                <w:sz w:val="24"/>
                <w:szCs w:val="24"/>
                <w:highlight w:val="none"/>
                <w:lang w:val="en-US" w:eastAsia="zh-CN"/>
              </w:rPr>
              <w:t>指标</w:t>
            </w:r>
          </w:p>
        </w:tc>
        <w:tc>
          <w:tcPr>
            <w:tcW w:w="2762" w:type="dxa"/>
            <w:noWrap w:val="0"/>
            <w:vAlign w:val="center"/>
          </w:tcPr>
          <w:p w14:paraId="136E3044">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响应文件技术</w:t>
            </w:r>
            <w:r>
              <w:rPr>
                <w:rFonts w:hint="eastAsia" w:ascii="宋体" w:hAnsi="宋体" w:cs="宋体"/>
                <w:color w:val="auto"/>
                <w:sz w:val="24"/>
                <w:szCs w:val="24"/>
                <w:highlight w:val="none"/>
                <w:lang w:val="en-US" w:eastAsia="zh-CN"/>
              </w:rPr>
              <w:t>指标</w:t>
            </w:r>
          </w:p>
        </w:tc>
        <w:tc>
          <w:tcPr>
            <w:tcW w:w="2076" w:type="dxa"/>
            <w:noWrap w:val="0"/>
            <w:vAlign w:val="center"/>
          </w:tcPr>
          <w:p w14:paraId="3DE0227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偏离</w:t>
            </w:r>
            <w:r>
              <w:rPr>
                <w:rFonts w:hint="eastAsia" w:ascii="宋体" w:hAnsi="宋体" w:cs="宋体"/>
                <w:color w:val="auto"/>
                <w:sz w:val="24"/>
                <w:szCs w:val="24"/>
                <w:highlight w:val="none"/>
                <w:lang w:val="en-US" w:eastAsia="zh-CN"/>
              </w:rPr>
              <w:t>说明</w:t>
            </w:r>
          </w:p>
        </w:tc>
      </w:tr>
      <w:tr w14:paraId="6F70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5D58542">
            <w:pPr>
              <w:rPr>
                <w:rFonts w:hint="eastAsia" w:ascii="宋体" w:hAnsi="宋体" w:eastAsia="宋体" w:cs="宋体"/>
                <w:color w:val="auto"/>
                <w:sz w:val="24"/>
                <w:szCs w:val="24"/>
                <w:highlight w:val="none"/>
              </w:rPr>
            </w:pPr>
          </w:p>
        </w:tc>
        <w:tc>
          <w:tcPr>
            <w:tcW w:w="2557" w:type="dxa"/>
            <w:noWrap w:val="0"/>
            <w:vAlign w:val="top"/>
          </w:tcPr>
          <w:p w14:paraId="7CC182B1">
            <w:pPr>
              <w:rPr>
                <w:rFonts w:hint="eastAsia" w:ascii="宋体" w:hAnsi="宋体" w:eastAsia="宋体" w:cs="宋体"/>
                <w:color w:val="auto"/>
                <w:sz w:val="24"/>
                <w:szCs w:val="24"/>
                <w:highlight w:val="none"/>
              </w:rPr>
            </w:pPr>
          </w:p>
        </w:tc>
        <w:tc>
          <w:tcPr>
            <w:tcW w:w="2762" w:type="dxa"/>
            <w:noWrap w:val="0"/>
            <w:vAlign w:val="top"/>
          </w:tcPr>
          <w:p w14:paraId="3C9BCD04">
            <w:pPr>
              <w:rPr>
                <w:rFonts w:hint="eastAsia" w:ascii="宋体" w:hAnsi="宋体" w:eastAsia="宋体" w:cs="宋体"/>
                <w:color w:val="auto"/>
                <w:sz w:val="24"/>
                <w:szCs w:val="24"/>
                <w:highlight w:val="none"/>
              </w:rPr>
            </w:pPr>
          </w:p>
        </w:tc>
        <w:tc>
          <w:tcPr>
            <w:tcW w:w="2076" w:type="dxa"/>
            <w:noWrap w:val="0"/>
            <w:vAlign w:val="top"/>
          </w:tcPr>
          <w:p w14:paraId="27344F1A">
            <w:pPr>
              <w:rPr>
                <w:rFonts w:hint="eastAsia" w:ascii="宋体" w:hAnsi="宋体" w:eastAsia="宋体" w:cs="宋体"/>
                <w:color w:val="auto"/>
                <w:sz w:val="24"/>
                <w:szCs w:val="24"/>
                <w:highlight w:val="none"/>
              </w:rPr>
            </w:pPr>
          </w:p>
        </w:tc>
      </w:tr>
      <w:tr w14:paraId="0E5B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5B54C5C7">
            <w:pPr>
              <w:rPr>
                <w:rFonts w:hint="eastAsia" w:ascii="宋体" w:hAnsi="宋体" w:eastAsia="宋体" w:cs="宋体"/>
                <w:color w:val="auto"/>
                <w:sz w:val="24"/>
                <w:szCs w:val="24"/>
                <w:highlight w:val="none"/>
              </w:rPr>
            </w:pPr>
          </w:p>
        </w:tc>
        <w:tc>
          <w:tcPr>
            <w:tcW w:w="2557" w:type="dxa"/>
            <w:noWrap w:val="0"/>
            <w:vAlign w:val="top"/>
          </w:tcPr>
          <w:p w14:paraId="54CA876B">
            <w:pPr>
              <w:rPr>
                <w:rFonts w:hint="eastAsia" w:ascii="宋体" w:hAnsi="宋体" w:eastAsia="宋体" w:cs="宋体"/>
                <w:color w:val="auto"/>
                <w:sz w:val="24"/>
                <w:szCs w:val="24"/>
                <w:highlight w:val="none"/>
              </w:rPr>
            </w:pPr>
          </w:p>
        </w:tc>
        <w:tc>
          <w:tcPr>
            <w:tcW w:w="2762" w:type="dxa"/>
            <w:noWrap w:val="0"/>
            <w:vAlign w:val="top"/>
          </w:tcPr>
          <w:p w14:paraId="78946304">
            <w:pPr>
              <w:rPr>
                <w:rFonts w:hint="eastAsia" w:ascii="宋体" w:hAnsi="宋体" w:eastAsia="宋体" w:cs="宋体"/>
                <w:color w:val="auto"/>
                <w:sz w:val="24"/>
                <w:szCs w:val="24"/>
                <w:highlight w:val="none"/>
              </w:rPr>
            </w:pPr>
          </w:p>
        </w:tc>
        <w:tc>
          <w:tcPr>
            <w:tcW w:w="2076" w:type="dxa"/>
            <w:noWrap w:val="0"/>
            <w:vAlign w:val="top"/>
          </w:tcPr>
          <w:p w14:paraId="2AC12459">
            <w:pPr>
              <w:rPr>
                <w:rFonts w:hint="eastAsia" w:ascii="宋体" w:hAnsi="宋体" w:eastAsia="宋体" w:cs="宋体"/>
                <w:color w:val="auto"/>
                <w:sz w:val="24"/>
                <w:szCs w:val="24"/>
                <w:highlight w:val="none"/>
              </w:rPr>
            </w:pPr>
          </w:p>
        </w:tc>
      </w:tr>
      <w:tr w14:paraId="0B52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3A4E18E4">
            <w:pPr>
              <w:rPr>
                <w:rFonts w:hint="eastAsia" w:ascii="宋体" w:hAnsi="宋体" w:eastAsia="宋体" w:cs="宋体"/>
                <w:color w:val="auto"/>
                <w:sz w:val="24"/>
                <w:szCs w:val="24"/>
                <w:highlight w:val="none"/>
              </w:rPr>
            </w:pPr>
          </w:p>
        </w:tc>
        <w:tc>
          <w:tcPr>
            <w:tcW w:w="2557" w:type="dxa"/>
            <w:noWrap w:val="0"/>
            <w:vAlign w:val="top"/>
          </w:tcPr>
          <w:p w14:paraId="1374DE00">
            <w:pPr>
              <w:rPr>
                <w:rFonts w:hint="eastAsia" w:ascii="宋体" w:hAnsi="宋体" w:eastAsia="宋体" w:cs="宋体"/>
                <w:color w:val="auto"/>
                <w:sz w:val="24"/>
                <w:szCs w:val="24"/>
                <w:highlight w:val="none"/>
              </w:rPr>
            </w:pPr>
          </w:p>
        </w:tc>
        <w:tc>
          <w:tcPr>
            <w:tcW w:w="2762" w:type="dxa"/>
            <w:noWrap w:val="0"/>
            <w:vAlign w:val="top"/>
          </w:tcPr>
          <w:p w14:paraId="668DAAF1">
            <w:pPr>
              <w:rPr>
                <w:rFonts w:hint="eastAsia" w:ascii="宋体" w:hAnsi="宋体" w:eastAsia="宋体" w:cs="宋体"/>
                <w:color w:val="auto"/>
                <w:sz w:val="24"/>
                <w:szCs w:val="24"/>
                <w:highlight w:val="none"/>
              </w:rPr>
            </w:pPr>
          </w:p>
        </w:tc>
        <w:tc>
          <w:tcPr>
            <w:tcW w:w="2076" w:type="dxa"/>
            <w:noWrap w:val="0"/>
            <w:vAlign w:val="top"/>
          </w:tcPr>
          <w:p w14:paraId="1B653CC2">
            <w:pPr>
              <w:rPr>
                <w:rFonts w:hint="eastAsia" w:ascii="宋体" w:hAnsi="宋体" w:eastAsia="宋体" w:cs="宋体"/>
                <w:color w:val="auto"/>
                <w:sz w:val="24"/>
                <w:szCs w:val="24"/>
                <w:highlight w:val="none"/>
              </w:rPr>
            </w:pPr>
          </w:p>
        </w:tc>
      </w:tr>
      <w:tr w14:paraId="2A03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11F96590">
            <w:pPr>
              <w:rPr>
                <w:rFonts w:hint="eastAsia" w:ascii="宋体" w:hAnsi="宋体" w:eastAsia="宋体" w:cs="宋体"/>
                <w:color w:val="auto"/>
                <w:sz w:val="24"/>
                <w:szCs w:val="24"/>
                <w:highlight w:val="none"/>
              </w:rPr>
            </w:pPr>
          </w:p>
        </w:tc>
        <w:tc>
          <w:tcPr>
            <w:tcW w:w="2557" w:type="dxa"/>
            <w:noWrap w:val="0"/>
            <w:vAlign w:val="top"/>
          </w:tcPr>
          <w:p w14:paraId="21620F4E">
            <w:pPr>
              <w:rPr>
                <w:rFonts w:hint="eastAsia" w:ascii="宋体" w:hAnsi="宋体" w:eastAsia="宋体" w:cs="宋体"/>
                <w:color w:val="auto"/>
                <w:sz w:val="24"/>
                <w:szCs w:val="24"/>
                <w:highlight w:val="none"/>
              </w:rPr>
            </w:pPr>
          </w:p>
        </w:tc>
        <w:tc>
          <w:tcPr>
            <w:tcW w:w="2762" w:type="dxa"/>
            <w:noWrap w:val="0"/>
            <w:vAlign w:val="top"/>
          </w:tcPr>
          <w:p w14:paraId="0835E90F">
            <w:pPr>
              <w:rPr>
                <w:rFonts w:hint="eastAsia" w:ascii="宋体" w:hAnsi="宋体" w:eastAsia="宋体" w:cs="宋体"/>
                <w:color w:val="auto"/>
                <w:sz w:val="24"/>
                <w:szCs w:val="24"/>
                <w:highlight w:val="none"/>
              </w:rPr>
            </w:pPr>
          </w:p>
        </w:tc>
        <w:tc>
          <w:tcPr>
            <w:tcW w:w="2076" w:type="dxa"/>
            <w:noWrap w:val="0"/>
            <w:vAlign w:val="top"/>
          </w:tcPr>
          <w:p w14:paraId="7D9FAA2C">
            <w:pPr>
              <w:rPr>
                <w:rFonts w:hint="eastAsia" w:ascii="宋体" w:hAnsi="宋体" w:eastAsia="宋体" w:cs="宋体"/>
                <w:color w:val="auto"/>
                <w:sz w:val="24"/>
                <w:szCs w:val="24"/>
                <w:highlight w:val="none"/>
              </w:rPr>
            </w:pPr>
          </w:p>
        </w:tc>
      </w:tr>
      <w:tr w14:paraId="12A1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6DE435F">
            <w:pPr>
              <w:rPr>
                <w:rFonts w:hint="eastAsia" w:ascii="宋体" w:hAnsi="宋体" w:eastAsia="宋体" w:cs="宋体"/>
                <w:color w:val="auto"/>
                <w:sz w:val="24"/>
                <w:szCs w:val="24"/>
                <w:highlight w:val="none"/>
              </w:rPr>
            </w:pPr>
          </w:p>
        </w:tc>
        <w:tc>
          <w:tcPr>
            <w:tcW w:w="2557" w:type="dxa"/>
            <w:noWrap w:val="0"/>
            <w:vAlign w:val="top"/>
          </w:tcPr>
          <w:p w14:paraId="7C3C673B">
            <w:pPr>
              <w:rPr>
                <w:rFonts w:hint="eastAsia" w:ascii="宋体" w:hAnsi="宋体" w:eastAsia="宋体" w:cs="宋体"/>
                <w:color w:val="auto"/>
                <w:sz w:val="24"/>
                <w:szCs w:val="24"/>
                <w:highlight w:val="none"/>
              </w:rPr>
            </w:pPr>
          </w:p>
        </w:tc>
        <w:tc>
          <w:tcPr>
            <w:tcW w:w="2762" w:type="dxa"/>
            <w:noWrap w:val="0"/>
            <w:vAlign w:val="top"/>
          </w:tcPr>
          <w:p w14:paraId="280DA204">
            <w:pPr>
              <w:rPr>
                <w:rFonts w:hint="eastAsia" w:ascii="宋体" w:hAnsi="宋体" w:eastAsia="宋体" w:cs="宋体"/>
                <w:color w:val="auto"/>
                <w:sz w:val="24"/>
                <w:szCs w:val="24"/>
                <w:highlight w:val="none"/>
              </w:rPr>
            </w:pPr>
          </w:p>
        </w:tc>
        <w:tc>
          <w:tcPr>
            <w:tcW w:w="2076" w:type="dxa"/>
            <w:noWrap w:val="0"/>
            <w:vAlign w:val="top"/>
          </w:tcPr>
          <w:p w14:paraId="4264D072">
            <w:pPr>
              <w:rPr>
                <w:rFonts w:hint="eastAsia" w:ascii="宋体" w:hAnsi="宋体" w:eastAsia="宋体" w:cs="宋体"/>
                <w:color w:val="auto"/>
                <w:sz w:val="24"/>
                <w:szCs w:val="24"/>
                <w:highlight w:val="none"/>
              </w:rPr>
            </w:pPr>
          </w:p>
        </w:tc>
      </w:tr>
    </w:tbl>
    <w:p w14:paraId="1336EC3E">
      <w:pPr>
        <w:jc w:val="left"/>
        <w:rPr>
          <w:rFonts w:hint="eastAsia" w:ascii="宋体" w:hAnsi="宋体" w:eastAsia="宋体" w:cs="宋体"/>
          <w:color w:val="auto"/>
          <w:sz w:val="24"/>
          <w:szCs w:val="24"/>
          <w:highlight w:val="none"/>
        </w:rPr>
      </w:pPr>
    </w:p>
    <w:p w14:paraId="42A416FA">
      <w:pPr>
        <w:keepNext w:val="0"/>
        <w:keepLines w:val="0"/>
        <w:pageBreakBefore w:val="0"/>
        <w:tabs>
          <w:tab w:val="left" w:pos="864"/>
        </w:tabs>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说明</w:t>
      </w:r>
      <w:r>
        <w:rPr>
          <w:rFonts w:hint="eastAsia" w:ascii="宋体" w:hAnsi="宋体" w:eastAsia="宋体" w:cs="宋体"/>
          <w:color w:val="auto"/>
          <w:sz w:val="24"/>
          <w:szCs w:val="24"/>
          <w:highlight w:val="none"/>
        </w:rPr>
        <w:t>：</w:t>
      </w:r>
      <w:r>
        <w:rPr>
          <w:rFonts w:hint="eastAsia" w:ascii="宋体" w:hAnsi="宋体" w:cs="宋体"/>
          <w:b w:val="0"/>
          <w:bCs w:val="0"/>
          <w:color w:val="auto"/>
          <w:sz w:val="24"/>
          <w:szCs w:val="24"/>
          <w:highlight w:val="none"/>
          <w:lang w:val="en-US" w:eastAsia="zh-CN"/>
        </w:rPr>
        <w:t xml:space="preserve"> </w:t>
      </w:r>
    </w:p>
    <w:p w14:paraId="4A7D1497">
      <w:pPr>
        <w:keepNext w:val="0"/>
        <w:keepLines w:val="0"/>
        <w:pageBreakBefore w:val="0"/>
        <w:tabs>
          <w:tab w:val="left" w:pos="864"/>
        </w:tabs>
        <w:kinsoku/>
        <w:wordWrap/>
        <w:overflowPunct/>
        <w:topLinePunct w:val="0"/>
        <w:autoSpaceDE/>
        <w:autoSpaceDN/>
        <w:bidi w:val="0"/>
        <w:adjustRightInd/>
        <w:snapToGrid/>
        <w:spacing w:line="360" w:lineRule="auto"/>
        <w:ind w:firstLine="720" w:firstLineChars="3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1.本表应严格按照磋商内容及要求中所包含的技术参数进行填写；偏离说明填写：</w:t>
      </w:r>
      <w:r>
        <w:rPr>
          <w:rFonts w:hint="eastAsia" w:ascii="宋体" w:hAnsi="宋体" w:cs="宋体"/>
          <w:b/>
          <w:bCs/>
          <w:color w:val="auto"/>
          <w:sz w:val="24"/>
          <w:szCs w:val="24"/>
          <w:highlight w:val="none"/>
          <w:lang w:val="en-US" w:eastAsia="zh-CN"/>
        </w:rPr>
        <w:t>正偏离或负偏离</w:t>
      </w:r>
      <w:r>
        <w:rPr>
          <w:rFonts w:hint="eastAsia" w:ascii="宋体" w:hAnsi="宋体" w:cs="宋体"/>
          <w:b w:val="0"/>
          <w:bCs w:val="0"/>
          <w:color w:val="auto"/>
          <w:sz w:val="24"/>
          <w:szCs w:val="24"/>
          <w:highlight w:val="none"/>
          <w:lang w:val="en-US" w:eastAsia="zh-CN"/>
        </w:rPr>
        <w:t xml:space="preserve">。若完全响应磋商文件的不用在此表列出。 </w:t>
      </w:r>
    </w:p>
    <w:p w14:paraId="1B7DFCB6">
      <w:pPr>
        <w:keepNext w:val="0"/>
        <w:keepLines w:val="0"/>
        <w:pageBreakBefore w:val="0"/>
        <w:tabs>
          <w:tab w:val="left" w:pos="864"/>
        </w:tabs>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2.供应商必须据实填写，不得虚假响应，否则将取消其磋商或中标资格，并按有关规定进行处罚。</w:t>
      </w:r>
    </w:p>
    <w:p w14:paraId="29FEA8D3">
      <w:pPr>
        <w:pStyle w:val="2"/>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p>
    <w:p w14:paraId="4DF368BE">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2433EAC6">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法定代表人/被授权人（</w:t>
      </w:r>
      <w:r>
        <w:rPr>
          <w:rFonts w:hint="eastAsia" w:ascii="宋体" w:hAnsi="宋体" w:eastAsia="宋体" w:cs="宋体"/>
          <w:color w:val="auto"/>
          <w:spacing w:val="4"/>
          <w:sz w:val="24"/>
          <w:szCs w:val="24"/>
          <w:highlight w:val="none"/>
        </w:rPr>
        <w:t>签字或盖章</w:t>
      </w:r>
      <w:r>
        <w:rPr>
          <w:rFonts w:hint="eastAsia" w:ascii="宋体" w:hAnsi="宋体" w:eastAsia="宋体" w:cs="宋体"/>
          <w:color w:val="auto"/>
          <w:sz w:val="24"/>
          <w:szCs w:val="24"/>
          <w:highlight w:val="none"/>
        </w:rPr>
        <w:t>）：</w:t>
      </w:r>
    </w:p>
    <w:p w14:paraId="3298A560">
      <w:pPr>
        <w:keepNext w:val="0"/>
        <w:keepLines w:val="0"/>
        <w:pageBreakBefore w:val="0"/>
        <w:widowControl w:val="0"/>
        <w:kinsoku/>
        <w:wordWrap/>
        <w:overflowPunct/>
        <w:topLinePunct w:val="0"/>
        <w:autoSpaceDE/>
        <w:autoSpaceDN/>
        <w:bidi w:val="0"/>
        <w:adjustRightInd/>
        <w:snapToGrid/>
        <w:spacing w:line="360" w:lineRule="auto"/>
        <w:ind w:firstLine="3648" w:firstLineChars="1471"/>
        <w:jc w:val="left"/>
        <w:textAlignment w:val="auto"/>
        <w:rPr>
          <w:rFonts w:hint="eastAsia" w:ascii="宋体" w:hAnsi="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p>
    <w:p w14:paraId="49B24CBB">
      <w:pPr>
        <w:jc w:val="both"/>
        <w:rPr>
          <w:rFonts w:hint="eastAsia" w:ascii="宋体" w:hAnsi="宋体" w:cs="宋体"/>
          <w:b/>
          <w:bCs/>
          <w:color w:val="auto"/>
          <w:sz w:val="24"/>
          <w:szCs w:val="24"/>
          <w:highlight w:val="none"/>
          <w:lang w:val="en-US" w:eastAsia="zh-CN"/>
        </w:rPr>
      </w:pPr>
    </w:p>
    <w:p w14:paraId="4D10058B">
      <w:pPr>
        <w:shd w:val="clear"/>
        <w:spacing w:before="98" w:line="220" w:lineRule="auto"/>
        <w:ind w:firstLine="3313"/>
        <w:outlineLvl w:val="3"/>
        <w:rPr>
          <w:rFonts w:hint="eastAsia" w:ascii="宋体" w:hAnsi="宋体" w:eastAsia="宋体" w:cs="宋体"/>
          <w:b/>
          <w:bCs/>
          <w:color w:val="auto"/>
          <w:spacing w:val="-8"/>
          <w:sz w:val="30"/>
          <w:szCs w:val="30"/>
          <w:highlight w:val="none"/>
          <w:lang w:val="en-US" w:eastAsia="zh-CN"/>
        </w:rPr>
      </w:pPr>
      <w:r>
        <w:rPr>
          <w:rFonts w:hint="eastAsia" w:ascii="宋体" w:hAnsi="宋体" w:cs="宋体"/>
          <w:b/>
          <w:bCs/>
          <w:color w:val="auto"/>
          <w:spacing w:val="-8"/>
          <w:sz w:val="30"/>
          <w:szCs w:val="30"/>
          <w:highlight w:val="none"/>
          <w:lang w:val="en-US" w:eastAsia="zh-CN"/>
        </w:rPr>
        <w:t>六</w:t>
      </w:r>
      <w:r>
        <w:rPr>
          <w:rFonts w:hint="eastAsia" w:ascii="宋体" w:hAnsi="宋体" w:eastAsia="宋体" w:cs="宋体"/>
          <w:b/>
          <w:bCs/>
          <w:color w:val="auto"/>
          <w:spacing w:val="-8"/>
          <w:sz w:val="30"/>
          <w:szCs w:val="30"/>
          <w:highlight w:val="none"/>
          <w:lang w:val="en-US" w:eastAsia="zh-CN"/>
        </w:rPr>
        <w:t>、商务响应偏离表</w:t>
      </w:r>
    </w:p>
    <w:p w14:paraId="7FE03FD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03F929D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bl>
      <w:tblPr>
        <w:tblStyle w:val="16"/>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2557"/>
        <w:gridCol w:w="2762"/>
        <w:gridCol w:w="2076"/>
      </w:tblGrid>
      <w:tr w14:paraId="7F97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center"/>
          </w:tcPr>
          <w:p w14:paraId="3C6AFAC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57" w:type="dxa"/>
            <w:noWrap w:val="0"/>
            <w:vAlign w:val="center"/>
          </w:tcPr>
          <w:p w14:paraId="7B734C63">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磋商文件</w:t>
            </w:r>
            <w:r>
              <w:rPr>
                <w:rFonts w:hint="eastAsia" w:ascii="宋体" w:hAnsi="宋体" w:cs="宋体"/>
                <w:color w:val="auto"/>
                <w:sz w:val="24"/>
                <w:szCs w:val="24"/>
                <w:highlight w:val="none"/>
                <w:lang w:val="en-US" w:eastAsia="zh-CN"/>
              </w:rPr>
              <w:t>商务条款</w:t>
            </w:r>
          </w:p>
        </w:tc>
        <w:tc>
          <w:tcPr>
            <w:tcW w:w="2762" w:type="dxa"/>
            <w:noWrap w:val="0"/>
            <w:vAlign w:val="center"/>
          </w:tcPr>
          <w:p w14:paraId="77DAB253">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响应文件</w:t>
            </w:r>
            <w:r>
              <w:rPr>
                <w:rFonts w:hint="eastAsia" w:ascii="宋体" w:hAnsi="宋体" w:cs="宋体"/>
                <w:color w:val="auto"/>
                <w:sz w:val="24"/>
                <w:szCs w:val="24"/>
                <w:highlight w:val="none"/>
                <w:lang w:val="en-US" w:eastAsia="zh-CN"/>
              </w:rPr>
              <w:t>商务条款</w:t>
            </w:r>
          </w:p>
        </w:tc>
        <w:tc>
          <w:tcPr>
            <w:tcW w:w="2076" w:type="dxa"/>
            <w:noWrap w:val="0"/>
            <w:vAlign w:val="center"/>
          </w:tcPr>
          <w:p w14:paraId="275575C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偏离</w:t>
            </w:r>
            <w:r>
              <w:rPr>
                <w:rFonts w:hint="eastAsia" w:ascii="宋体" w:hAnsi="宋体" w:cs="宋体"/>
                <w:color w:val="auto"/>
                <w:sz w:val="24"/>
                <w:szCs w:val="24"/>
                <w:highlight w:val="none"/>
                <w:lang w:val="en-US" w:eastAsia="zh-CN"/>
              </w:rPr>
              <w:t>说明</w:t>
            </w:r>
          </w:p>
        </w:tc>
      </w:tr>
      <w:tr w14:paraId="0BC7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3219CC2">
            <w:pPr>
              <w:rPr>
                <w:rFonts w:hint="eastAsia" w:ascii="宋体" w:hAnsi="宋体" w:eastAsia="宋体" w:cs="宋体"/>
                <w:color w:val="auto"/>
                <w:sz w:val="24"/>
                <w:szCs w:val="24"/>
                <w:highlight w:val="none"/>
              </w:rPr>
            </w:pPr>
          </w:p>
        </w:tc>
        <w:tc>
          <w:tcPr>
            <w:tcW w:w="2557" w:type="dxa"/>
            <w:noWrap w:val="0"/>
            <w:vAlign w:val="top"/>
          </w:tcPr>
          <w:p w14:paraId="748DA2AC">
            <w:pPr>
              <w:rPr>
                <w:rFonts w:hint="eastAsia" w:ascii="宋体" w:hAnsi="宋体" w:eastAsia="宋体" w:cs="宋体"/>
                <w:color w:val="auto"/>
                <w:sz w:val="24"/>
                <w:szCs w:val="24"/>
                <w:highlight w:val="none"/>
              </w:rPr>
            </w:pPr>
          </w:p>
        </w:tc>
        <w:tc>
          <w:tcPr>
            <w:tcW w:w="2762" w:type="dxa"/>
            <w:noWrap w:val="0"/>
            <w:vAlign w:val="top"/>
          </w:tcPr>
          <w:p w14:paraId="4149BC75">
            <w:pPr>
              <w:rPr>
                <w:rFonts w:hint="eastAsia" w:ascii="宋体" w:hAnsi="宋体" w:eastAsia="宋体" w:cs="宋体"/>
                <w:color w:val="auto"/>
                <w:sz w:val="24"/>
                <w:szCs w:val="24"/>
                <w:highlight w:val="none"/>
              </w:rPr>
            </w:pPr>
          </w:p>
        </w:tc>
        <w:tc>
          <w:tcPr>
            <w:tcW w:w="2076" w:type="dxa"/>
            <w:noWrap w:val="0"/>
            <w:vAlign w:val="top"/>
          </w:tcPr>
          <w:p w14:paraId="71F2B714">
            <w:pPr>
              <w:rPr>
                <w:rFonts w:hint="eastAsia" w:ascii="宋体" w:hAnsi="宋体" w:eastAsia="宋体" w:cs="宋体"/>
                <w:color w:val="auto"/>
                <w:sz w:val="24"/>
                <w:szCs w:val="24"/>
                <w:highlight w:val="none"/>
              </w:rPr>
            </w:pPr>
          </w:p>
        </w:tc>
      </w:tr>
      <w:tr w14:paraId="772E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2FA62E1D">
            <w:pPr>
              <w:rPr>
                <w:rFonts w:hint="eastAsia" w:ascii="宋体" w:hAnsi="宋体" w:eastAsia="宋体" w:cs="宋体"/>
                <w:color w:val="auto"/>
                <w:sz w:val="24"/>
                <w:szCs w:val="24"/>
                <w:highlight w:val="none"/>
              </w:rPr>
            </w:pPr>
          </w:p>
        </w:tc>
        <w:tc>
          <w:tcPr>
            <w:tcW w:w="2557" w:type="dxa"/>
            <w:noWrap w:val="0"/>
            <w:vAlign w:val="top"/>
          </w:tcPr>
          <w:p w14:paraId="3F49488C">
            <w:pPr>
              <w:rPr>
                <w:rFonts w:hint="eastAsia" w:ascii="宋体" w:hAnsi="宋体" w:eastAsia="宋体" w:cs="宋体"/>
                <w:color w:val="auto"/>
                <w:sz w:val="24"/>
                <w:szCs w:val="24"/>
                <w:highlight w:val="none"/>
              </w:rPr>
            </w:pPr>
          </w:p>
        </w:tc>
        <w:tc>
          <w:tcPr>
            <w:tcW w:w="2762" w:type="dxa"/>
            <w:noWrap w:val="0"/>
            <w:vAlign w:val="top"/>
          </w:tcPr>
          <w:p w14:paraId="4FF6D092">
            <w:pPr>
              <w:rPr>
                <w:rFonts w:hint="eastAsia" w:ascii="宋体" w:hAnsi="宋体" w:eastAsia="宋体" w:cs="宋体"/>
                <w:color w:val="auto"/>
                <w:sz w:val="24"/>
                <w:szCs w:val="24"/>
                <w:highlight w:val="none"/>
              </w:rPr>
            </w:pPr>
          </w:p>
        </w:tc>
        <w:tc>
          <w:tcPr>
            <w:tcW w:w="2076" w:type="dxa"/>
            <w:noWrap w:val="0"/>
            <w:vAlign w:val="top"/>
          </w:tcPr>
          <w:p w14:paraId="604EAE8E">
            <w:pPr>
              <w:rPr>
                <w:rFonts w:hint="eastAsia" w:ascii="宋体" w:hAnsi="宋体" w:eastAsia="宋体" w:cs="宋体"/>
                <w:color w:val="auto"/>
                <w:sz w:val="24"/>
                <w:szCs w:val="24"/>
                <w:highlight w:val="none"/>
              </w:rPr>
            </w:pPr>
          </w:p>
        </w:tc>
      </w:tr>
      <w:tr w14:paraId="76FF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86BB22B">
            <w:pPr>
              <w:rPr>
                <w:rFonts w:hint="eastAsia" w:ascii="宋体" w:hAnsi="宋体" w:eastAsia="宋体" w:cs="宋体"/>
                <w:color w:val="auto"/>
                <w:sz w:val="24"/>
                <w:szCs w:val="24"/>
                <w:highlight w:val="none"/>
              </w:rPr>
            </w:pPr>
          </w:p>
        </w:tc>
        <w:tc>
          <w:tcPr>
            <w:tcW w:w="2557" w:type="dxa"/>
            <w:noWrap w:val="0"/>
            <w:vAlign w:val="top"/>
          </w:tcPr>
          <w:p w14:paraId="315DEE4E">
            <w:pPr>
              <w:rPr>
                <w:rFonts w:hint="eastAsia" w:ascii="宋体" w:hAnsi="宋体" w:eastAsia="宋体" w:cs="宋体"/>
                <w:color w:val="auto"/>
                <w:sz w:val="24"/>
                <w:szCs w:val="24"/>
                <w:highlight w:val="none"/>
              </w:rPr>
            </w:pPr>
          </w:p>
        </w:tc>
        <w:tc>
          <w:tcPr>
            <w:tcW w:w="2762" w:type="dxa"/>
            <w:noWrap w:val="0"/>
            <w:vAlign w:val="top"/>
          </w:tcPr>
          <w:p w14:paraId="2D330969">
            <w:pPr>
              <w:rPr>
                <w:rFonts w:hint="eastAsia" w:ascii="宋体" w:hAnsi="宋体" w:eastAsia="宋体" w:cs="宋体"/>
                <w:color w:val="auto"/>
                <w:sz w:val="24"/>
                <w:szCs w:val="24"/>
                <w:highlight w:val="none"/>
              </w:rPr>
            </w:pPr>
          </w:p>
        </w:tc>
        <w:tc>
          <w:tcPr>
            <w:tcW w:w="2076" w:type="dxa"/>
            <w:noWrap w:val="0"/>
            <w:vAlign w:val="top"/>
          </w:tcPr>
          <w:p w14:paraId="0BF0DB29">
            <w:pPr>
              <w:rPr>
                <w:rFonts w:hint="eastAsia" w:ascii="宋体" w:hAnsi="宋体" w:eastAsia="宋体" w:cs="宋体"/>
                <w:color w:val="auto"/>
                <w:sz w:val="24"/>
                <w:szCs w:val="24"/>
                <w:highlight w:val="none"/>
              </w:rPr>
            </w:pPr>
          </w:p>
        </w:tc>
      </w:tr>
      <w:tr w14:paraId="28A5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71BA01A4">
            <w:pPr>
              <w:rPr>
                <w:rFonts w:hint="eastAsia" w:ascii="宋体" w:hAnsi="宋体" w:eastAsia="宋体" w:cs="宋体"/>
                <w:color w:val="auto"/>
                <w:sz w:val="24"/>
                <w:szCs w:val="24"/>
                <w:highlight w:val="none"/>
              </w:rPr>
            </w:pPr>
          </w:p>
        </w:tc>
        <w:tc>
          <w:tcPr>
            <w:tcW w:w="2557" w:type="dxa"/>
            <w:noWrap w:val="0"/>
            <w:vAlign w:val="top"/>
          </w:tcPr>
          <w:p w14:paraId="7396ABFF">
            <w:pPr>
              <w:rPr>
                <w:rFonts w:hint="eastAsia" w:ascii="宋体" w:hAnsi="宋体" w:eastAsia="宋体" w:cs="宋体"/>
                <w:color w:val="auto"/>
                <w:sz w:val="24"/>
                <w:szCs w:val="24"/>
                <w:highlight w:val="none"/>
              </w:rPr>
            </w:pPr>
          </w:p>
        </w:tc>
        <w:tc>
          <w:tcPr>
            <w:tcW w:w="2762" w:type="dxa"/>
            <w:noWrap w:val="0"/>
            <w:vAlign w:val="top"/>
          </w:tcPr>
          <w:p w14:paraId="26273CB3">
            <w:pPr>
              <w:rPr>
                <w:rFonts w:hint="eastAsia" w:ascii="宋体" w:hAnsi="宋体" w:eastAsia="宋体" w:cs="宋体"/>
                <w:color w:val="auto"/>
                <w:sz w:val="24"/>
                <w:szCs w:val="24"/>
                <w:highlight w:val="none"/>
              </w:rPr>
            </w:pPr>
          </w:p>
        </w:tc>
        <w:tc>
          <w:tcPr>
            <w:tcW w:w="2076" w:type="dxa"/>
            <w:noWrap w:val="0"/>
            <w:vAlign w:val="top"/>
          </w:tcPr>
          <w:p w14:paraId="47A18913">
            <w:pPr>
              <w:rPr>
                <w:rFonts w:hint="eastAsia" w:ascii="宋体" w:hAnsi="宋体" w:eastAsia="宋体" w:cs="宋体"/>
                <w:color w:val="auto"/>
                <w:sz w:val="24"/>
                <w:szCs w:val="24"/>
                <w:highlight w:val="none"/>
              </w:rPr>
            </w:pPr>
          </w:p>
        </w:tc>
      </w:tr>
      <w:tr w14:paraId="150F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2DDAE78">
            <w:pPr>
              <w:rPr>
                <w:rFonts w:hint="eastAsia" w:ascii="宋体" w:hAnsi="宋体" w:eastAsia="宋体" w:cs="宋体"/>
                <w:color w:val="auto"/>
                <w:sz w:val="24"/>
                <w:szCs w:val="24"/>
                <w:highlight w:val="none"/>
              </w:rPr>
            </w:pPr>
          </w:p>
        </w:tc>
        <w:tc>
          <w:tcPr>
            <w:tcW w:w="2557" w:type="dxa"/>
            <w:noWrap w:val="0"/>
            <w:vAlign w:val="top"/>
          </w:tcPr>
          <w:p w14:paraId="42BE2AA4">
            <w:pPr>
              <w:rPr>
                <w:rFonts w:hint="eastAsia" w:ascii="宋体" w:hAnsi="宋体" w:eastAsia="宋体" w:cs="宋体"/>
                <w:color w:val="auto"/>
                <w:sz w:val="24"/>
                <w:szCs w:val="24"/>
                <w:highlight w:val="none"/>
              </w:rPr>
            </w:pPr>
          </w:p>
        </w:tc>
        <w:tc>
          <w:tcPr>
            <w:tcW w:w="2762" w:type="dxa"/>
            <w:noWrap w:val="0"/>
            <w:vAlign w:val="top"/>
          </w:tcPr>
          <w:p w14:paraId="36A01A85">
            <w:pPr>
              <w:rPr>
                <w:rFonts w:hint="eastAsia" w:ascii="宋体" w:hAnsi="宋体" w:eastAsia="宋体" w:cs="宋体"/>
                <w:color w:val="auto"/>
                <w:sz w:val="24"/>
                <w:szCs w:val="24"/>
                <w:highlight w:val="none"/>
              </w:rPr>
            </w:pPr>
          </w:p>
        </w:tc>
        <w:tc>
          <w:tcPr>
            <w:tcW w:w="2076" w:type="dxa"/>
            <w:noWrap w:val="0"/>
            <w:vAlign w:val="top"/>
          </w:tcPr>
          <w:p w14:paraId="09218963">
            <w:pPr>
              <w:rPr>
                <w:rFonts w:hint="eastAsia" w:ascii="宋体" w:hAnsi="宋体" w:eastAsia="宋体" w:cs="宋体"/>
                <w:color w:val="auto"/>
                <w:sz w:val="24"/>
                <w:szCs w:val="24"/>
                <w:highlight w:val="none"/>
              </w:rPr>
            </w:pPr>
          </w:p>
        </w:tc>
      </w:tr>
    </w:tbl>
    <w:p w14:paraId="0CF42D38">
      <w:pPr>
        <w:jc w:val="left"/>
        <w:rPr>
          <w:rFonts w:hint="eastAsia" w:ascii="宋体" w:hAnsi="宋体" w:eastAsia="宋体" w:cs="宋体"/>
          <w:color w:val="auto"/>
          <w:sz w:val="24"/>
          <w:szCs w:val="24"/>
          <w:highlight w:val="none"/>
        </w:rPr>
      </w:pPr>
    </w:p>
    <w:p w14:paraId="381589E9">
      <w:pPr>
        <w:keepNext w:val="0"/>
        <w:keepLines w:val="0"/>
        <w:pageBreakBefore w:val="0"/>
        <w:tabs>
          <w:tab w:val="left" w:pos="864"/>
        </w:tabs>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说明</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 xml:space="preserve"> 1.本表应严格按照磋商内容及要求中所包含的商务条款进行填写；偏离说明填写：</w:t>
      </w:r>
      <w:r>
        <w:rPr>
          <w:rFonts w:hint="eastAsia" w:ascii="宋体" w:hAnsi="宋体" w:cs="宋体"/>
          <w:b/>
          <w:bCs/>
          <w:color w:val="auto"/>
          <w:sz w:val="24"/>
          <w:szCs w:val="24"/>
          <w:highlight w:val="none"/>
          <w:lang w:val="en-US" w:eastAsia="zh-CN"/>
        </w:rPr>
        <w:t>正偏离或负偏离</w:t>
      </w:r>
      <w:r>
        <w:rPr>
          <w:rFonts w:hint="eastAsia" w:ascii="宋体" w:hAnsi="宋体" w:cs="宋体"/>
          <w:b w:val="0"/>
          <w:bCs w:val="0"/>
          <w:color w:val="auto"/>
          <w:sz w:val="24"/>
          <w:szCs w:val="24"/>
          <w:highlight w:val="none"/>
          <w:lang w:val="en-US" w:eastAsia="zh-CN"/>
        </w:rPr>
        <w:t xml:space="preserve">。若完全响应磋商文件的不用在此表列出。 </w:t>
      </w:r>
    </w:p>
    <w:p w14:paraId="74B1098A">
      <w:pPr>
        <w:keepNext w:val="0"/>
        <w:keepLines w:val="0"/>
        <w:pageBreakBefore w:val="0"/>
        <w:tabs>
          <w:tab w:val="left" w:pos="864"/>
        </w:tabs>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2.供应商必须据实填写，不得虚假响应，否则将取消其磋商或中标资格，并按有关规定进行处罚。</w:t>
      </w:r>
    </w:p>
    <w:p w14:paraId="1B6E809F">
      <w:pPr>
        <w:pStyle w:val="2"/>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p>
    <w:p w14:paraId="1D8A4231">
      <w:pPr>
        <w:rPr>
          <w:rFonts w:hint="eastAsia"/>
          <w:color w:val="auto"/>
          <w:highlight w:val="none"/>
        </w:rPr>
      </w:pPr>
    </w:p>
    <w:p w14:paraId="10D6FD6A">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48ED91C0">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法定代表人/被授权人（</w:t>
      </w:r>
      <w:r>
        <w:rPr>
          <w:rFonts w:hint="eastAsia" w:ascii="宋体" w:hAnsi="宋体" w:eastAsia="宋体" w:cs="宋体"/>
          <w:color w:val="auto"/>
          <w:spacing w:val="4"/>
          <w:sz w:val="24"/>
          <w:szCs w:val="24"/>
          <w:highlight w:val="none"/>
        </w:rPr>
        <w:t>签字或盖章</w:t>
      </w:r>
      <w:r>
        <w:rPr>
          <w:rFonts w:hint="eastAsia" w:ascii="宋体" w:hAnsi="宋体" w:eastAsia="宋体" w:cs="宋体"/>
          <w:color w:val="auto"/>
          <w:sz w:val="24"/>
          <w:szCs w:val="24"/>
          <w:highlight w:val="none"/>
        </w:rPr>
        <w:t>）：</w:t>
      </w:r>
    </w:p>
    <w:p w14:paraId="1C9E582A">
      <w:pPr>
        <w:spacing w:line="360" w:lineRule="auto"/>
        <w:ind w:firstLine="3720" w:firstLineChars="15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r>
        <w:rPr>
          <w:rFonts w:hint="eastAsia" w:ascii="宋体" w:hAnsi="宋体" w:eastAsia="宋体" w:cs="宋体"/>
          <w:color w:val="auto"/>
          <w:sz w:val="24"/>
          <w:szCs w:val="24"/>
          <w:highlight w:val="none"/>
        </w:rPr>
        <w:t xml:space="preserve">     </w:t>
      </w:r>
    </w:p>
    <w:p w14:paraId="3D645B46">
      <w:pPr>
        <w:pStyle w:val="8"/>
        <w:rPr>
          <w:rFonts w:hint="eastAsia" w:ascii="宋体" w:hAnsi="宋体" w:eastAsia="宋体" w:cs="宋体"/>
          <w:color w:val="auto"/>
          <w:sz w:val="24"/>
          <w:szCs w:val="24"/>
          <w:highlight w:val="none"/>
        </w:rPr>
      </w:pPr>
    </w:p>
    <w:p w14:paraId="06F0798D">
      <w:pPr>
        <w:rPr>
          <w:rFonts w:hint="eastAsia"/>
          <w:color w:val="auto"/>
          <w:highlight w:val="none"/>
        </w:rPr>
      </w:pPr>
    </w:p>
    <w:p w14:paraId="37956A3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b/>
          <w:bCs/>
          <w:color w:val="auto"/>
          <w:sz w:val="32"/>
          <w:szCs w:val="32"/>
          <w:highlight w:val="none"/>
        </w:rPr>
      </w:pPr>
      <w:r>
        <w:rPr>
          <w:rFonts w:hint="eastAsia"/>
          <w:b/>
          <w:bCs/>
          <w:color w:val="auto"/>
          <w:sz w:val="32"/>
          <w:szCs w:val="32"/>
          <w:highlight w:val="none"/>
          <w:lang w:val="en-US" w:eastAsia="zh-CN"/>
        </w:rPr>
        <w:t>七、</w:t>
      </w:r>
      <w:r>
        <w:rPr>
          <w:rFonts w:hint="eastAsia" w:ascii="Calibri" w:hAnsi="Calibri" w:cs="Times New Roman"/>
          <w:b/>
          <w:color w:val="auto"/>
          <w:kern w:val="2"/>
          <w:sz w:val="32"/>
          <w:szCs w:val="32"/>
          <w:highlight w:val="none"/>
          <w:lang w:val="en-US" w:eastAsia="zh-CN" w:bidi="ar-SA"/>
        </w:rPr>
        <w:t>磋商</w:t>
      </w:r>
      <w:r>
        <w:rPr>
          <w:rFonts w:hint="eastAsia" w:ascii="Calibri" w:hAnsi="Calibri" w:eastAsia="宋体" w:cs="Times New Roman"/>
          <w:b/>
          <w:color w:val="auto"/>
          <w:kern w:val="2"/>
          <w:sz w:val="32"/>
          <w:szCs w:val="32"/>
          <w:highlight w:val="none"/>
          <w:lang w:val="en-US" w:eastAsia="zh-CN" w:bidi="ar-SA"/>
        </w:rPr>
        <w:t>保证金</w:t>
      </w:r>
    </w:p>
    <w:p w14:paraId="1E4FCB00">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color w:val="auto"/>
          <w:sz w:val="24"/>
          <w:szCs w:val="24"/>
          <w:highlight w:val="none"/>
          <w:lang w:eastAsia="zh-CN"/>
        </w:rPr>
      </w:pPr>
    </w:p>
    <w:p w14:paraId="7F946DE6">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eastAsia="宋体"/>
          <w:color w:val="auto"/>
          <w:sz w:val="24"/>
          <w:szCs w:val="24"/>
          <w:highlight w:val="none"/>
          <w:lang w:val="en-US" w:eastAsia="zh-CN"/>
        </w:rPr>
      </w:pPr>
      <w:r>
        <w:rPr>
          <w:rFonts w:hint="eastAsia"/>
          <w:color w:val="auto"/>
          <w:sz w:val="24"/>
          <w:szCs w:val="24"/>
          <w:highlight w:val="none"/>
          <w:lang w:eastAsia="zh-CN"/>
        </w:rPr>
        <w:t>附</w:t>
      </w:r>
      <w:r>
        <w:rPr>
          <w:rFonts w:hint="eastAsia"/>
          <w:color w:val="auto"/>
          <w:sz w:val="24"/>
          <w:szCs w:val="24"/>
          <w:highlight w:val="none"/>
          <w:lang w:val="en-US" w:eastAsia="zh-CN"/>
        </w:rPr>
        <w:t>磋商</w:t>
      </w:r>
      <w:r>
        <w:rPr>
          <w:rFonts w:hint="eastAsia"/>
          <w:color w:val="auto"/>
          <w:sz w:val="24"/>
          <w:szCs w:val="24"/>
          <w:highlight w:val="none"/>
        </w:rPr>
        <w:t>保证金</w:t>
      </w:r>
      <w:r>
        <w:rPr>
          <w:rFonts w:hint="eastAsia"/>
          <w:color w:val="auto"/>
          <w:sz w:val="24"/>
          <w:szCs w:val="24"/>
          <w:highlight w:val="none"/>
          <w:lang w:val="en-US" w:eastAsia="zh-CN"/>
        </w:rPr>
        <w:t>支付凭证</w:t>
      </w:r>
    </w:p>
    <w:p w14:paraId="6228EE49">
      <w:pPr>
        <w:rPr>
          <w:rFonts w:hint="eastAsia"/>
          <w:color w:val="auto"/>
          <w:sz w:val="24"/>
          <w:szCs w:val="24"/>
          <w:highlight w:val="none"/>
          <w:lang w:val="en-US" w:eastAsia="zh-CN"/>
        </w:rPr>
      </w:pPr>
    </w:p>
    <w:p w14:paraId="1D783FD6">
      <w:pPr>
        <w:pStyle w:val="8"/>
        <w:rPr>
          <w:rFonts w:hint="eastAsia"/>
          <w:color w:val="auto"/>
          <w:sz w:val="24"/>
          <w:szCs w:val="24"/>
          <w:highlight w:val="none"/>
          <w:lang w:val="en-US" w:eastAsia="zh-CN"/>
        </w:rPr>
      </w:pPr>
    </w:p>
    <w:p w14:paraId="672C0D81">
      <w:pPr>
        <w:rPr>
          <w:rFonts w:hint="eastAsia"/>
          <w:color w:val="auto"/>
          <w:sz w:val="24"/>
          <w:szCs w:val="24"/>
          <w:highlight w:val="none"/>
          <w:lang w:val="en-US" w:eastAsia="zh-CN"/>
        </w:rPr>
      </w:pPr>
    </w:p>
    <w:p w14:paraId="4E11ADEA">
      <w:pPr>
        <w:pStyle w:val="8"/>
        <w:rPr>
          <w:rFonts w:hint="eastAsia"/>
          <w:color w:val="auto"/>
          <w:sz w:val="24"/>
          <w:szCs w:val="24"/>
          <w:highlight w:val="none"/>
          <w:lang w:val="en-US" w:eastAsia="zh-CN"/>
        </w:rPr>
      </w:pPr>
    </w:p>
    <w:p w14:paraId="4EDB87D5">
      <w:pPr>
        <w:rPr>
          <w:rFonts w:hint="eastAsia"/>
          <w:color w:val="auto"/>
          <w:sz w:val="24"/>
          <w:szCs w:val="24"/>
          <w:highlight w:val="none"/>
          <w:lang w:val="en-US" w:eastAsia="zh-CN"/>
        </w:rPr>
      </w:pPr>
    </w:p>
    <w:p w14:paraId="5345E4C1">
      <w:pPr>
        <w:pStyle w:val="8"/>
        <w:rPr>
          <w:rFonts w:hint="eastAsia"/>
          <w:color w:val="auto"/>
          <w:sz w:val="24"/>
          <w:szCs w:val="24"/>
          <w:highlight w:val="none"/>
          <w:lang w:val="en-US" w:eastAsia="zh-CN"/>
        </w:rPr>
      </w:pPr>
    </w:p>
    <w:p w14:paraId="1A2C41E4">
      <w:pPr>
        <w:rPr>
          <w:rFonts w:hint="eastAsia"/>
          <w:color w:val="auto"/>
          <w:sz w:val="24"/>
          <w:szCs w:val="24"/>
          <w:highlight w:val="none"/>
          <w:lang w:val="en-US" w:eastAsia="zh-CN"/>
        </w:rPr>
      </w:pPr>
    </w:p>
    <w:p w14:paraId="19C8750A">
      <w:pPr>
        <w:pStyle w:val="8"/>
        <w:rPr>
          <w:rFonts w:hint="eastAsia"/>
          <w:color w:val="auto"/>
          <w:sz w:val="24"/>
          <w:szCs w:val="24"/>
          <w:highlight w:val="none"/>
          <w:lang w:val="en-US" w:eastAsia="zh-CN"/>
        </w:rPr>
      </w:pPr>
    </w:p>
    <w:p w14:paraId="70265AA6">
      <w:pPr>
        <w:rPr>
          <w:rFonts w:hint="eastAsia"/>
          <w:color w:val="auto"/>
          <w:sz w:val="24"/>
          <w:szCs w:val="24"/>
          <w:highlight w:val="none"/>
          <w:lang w:val="en-US" w:eastAsia="zh-CN"/>
        </w:rPr>
      </w:pPr>
    </w:p>
    <w:p w14:paraId="430583A6">
      <w:pPr>
        <w:pStyle w:val="8"/>
        <w:rPr>
          <w:rFonts w:hint="eastAsia"/>
          <w:color w:val="auto"/>
          <w:sz w:val="24"/>
          <w:szCs w:val="24"/>
          <w:highlight w:val="none"/>
          <w:lang w:val="en-US" w:eastAsia="zh-CN"/>
        </w:rPr>
      </w:pPr>
    </w:p>
    <w:p w14:paraId="29AA291E">
      <w:pPr>
        <w:rPr>
          <w:rFonts w:hint="eastAsia"/>
          <w:color w:val="auto"/>
          <w:sz w:val="24"/>
          <w:szCs w:val="24"/>
          <w:highlight w:val="none"/>
          <w:lang w:val="en-US" w:eastAsia="zh-CN"/>
        </w:rPr>
      </w:pPr>
    </w:p>
    <w:p w14:paraId="2234BEED">
      <w:pPr>
        <w:pStyle w:val="8"/>
        <w:rPr>
          <w:rFonts w:hint="eastAsia"/>
          <w:color w:val="auto"/>
          <w:sz w:val="24"/>
          <w:szCs w:val="24"/>
          <w:highlight w:val="none"/>
          <w:lang w:val="en-US" w:eastAsia="zh-CN"/>
        </w:rPr>
      </w:pPr>
    </w:p>
    <w:p w14:paraId="3DF1890D">
      <w:pPr>
        <w:rPr>
          <w:rFonts w:hint="eastAsia"/>
          <w:color w:val="auto"/>
          <w:sz w:val="24"/>
          <w:szCs w:val="24"/>
          <w:highlight w:val="none"/>
          <w:lang w:val="en-US" w:eastAsia="zh-CN"/>
        </w:rPr>
      </w:pPr>
    </w:p>
    <w:p w14:paraId="07DD541E">
      <w:pPr>
        <w:pStyle w:val="8"/>
        <w:rPr>
          <w:rFonts w:hint="eastAsia"/>
          <w:color w:val="auto"/>
          <w:sz w:val="24"/>
          <w:szCs w:val="24"/>
          <w:highlight w:val="none"/>
          <w:lang w:val="en-US" w:eastAsia="zh-CN"/>
        </w:rPr>
      </w:pPr>
    </w:p>
    <w:p w14:paraId="573BC06E">
      <w:pPr>
        <w:rPr>
          <w:rFonts w:hint="eastAsia"/>
          <w:color w:val="auto"/>
          <w:sz w:val="24"/>
          <w:szCs w:val="24"/>
          <w:highlight w:val="none"/>
          <w:lang w:val="en-US" w:eastAsia="zh-CN"/>
        </w:rPr>
      </w:pPr>
    </w:p>
    <w:p w14:paraId="5AE6D24C">
      <w:pPr>
        <w:pStyle w:val="8"/>
        <w:rPr>
          <w:rFonts w:hint="eastAsia"/>
          <w:color w:val="auto"/>
          <w:sz w:val="24"/>
          <w:szCs w:val="24"/>
          <w:highlight w:val="none"/>
          <w:lang w:val="en-US" w:eastAsia="zh-CN"/>
        </w:rPr>
      </w:pPr>
    </w:p>
    <w:p w14:paraId="1200A74F">
      <w:pPr>
        <w:rPr>
          <w:rFonts w:hint="eastAsia"/>
          <w:color w:val="auto"/>
          <w:sz w:val="24"/>
          <w:szCs w:val="24"/>
          <w:highlight w:val="none"/>
          <w:lang w:val="en-US" w:eastAsia="zh-CN"/>
        </w:rPr>
      </w:pPr>
    </w:p>
    <w:p w14:paraId="323FAE5B">
      <w:pPr>
        <w:pStyle w:val="8"/>
        <w:rPr>
          <w:rFonts w:hint="eastAsia"/>
          <w:color w:val="auto"/>
          <w:sz w:val="24"/>
          <w:szCs w:val="24"/>
          <w:highlight w:val="none"/>
          <w:lang w:val="en-US" w:eastAsia="zh-CN"/>
        </w:rPr>
      </w:pPr>
    </w:p>
    <w:p w14:paraId="6943C800">
      <w:pPr>
        <w:rPr>
          <w:rFonts w:hint="eastAsia"/>
          <w:color w:val="auto"/>
          <w:sz w:val="24"/>
          <w:szCs w:val="24"/>
          <w:highlight w:val="none"/>
          <w:lang w:val="en-US" w:eastAsia="zh-CN"/>
        </w:rPr>
      </w:pPr>
    </w:p>
    <w:p w14:paraId="2FA80167">
      <w:pPr>
        <w:pStyle w:val="8"/>
        <w:rPr>
          <w:rFonts w:hint="eastAsia"/>
          <w:color w:val="auto"/>
          <w:sz w:val="24"/>
          <w:szCs w:val="24"/>
          <w:highlight w:val="none"/>
          <w:lang w:val="en-US" w:eastAsia="zh-CN"/>
        </w:rPr>
      </w:pPr>
    </w:p>
    <w:p w14:paraId="55A7C12A">
      <w:pPr>
        <w:rPr>
          <w:rFonts w:hint="eastAsia"/>
          <w:color w:val="auto"/>
          <w:sz w:val="24"/>
          <w:szCs w:val="24"/>
          <w:highlight w:val="none"/>
          <w:lang w:val="en-US" w:eastAsia="zh-CN"/>
        </w:rPr>
      </w:pPr>
    </w:p>
    <w:p w14:paraId="76C3AFBB">
      <w:pPr>
        <w:pStyle w:val="8"/>
        <w:rPr>
          <w:rFonts w:hint="eastAsia"/>
          <w:color w:val="auto"/>
          <w:sz w:val="24"/>
          <w:szCs w:val="24"/>
          <w:highlight w:val="none"/>
          <w:lang w:val="en-US" w:eastAsia="zh-CN"/>
        </w:rPr>
      </w:pPr>
    </w:p>
    <w:p w14:paraId="4801CD5D">
      <w:pPr>
        <w:rPr>
          <w:rFonts w:hint="eastAsia"/>
          <w:color w:val="auto"/>
          <w:sz w:val="24"/>
          <w:szCs w:val="24"/>
          <w:highlight w:val="none"/>
          <w:lang w:val="en-US" w:eastAsia="zh-CN"/>
        </w:rPr>
      </w:pPr>
    </w:p>
    <w:p w14:paraId="6262044E">
      <w:pPr>
        <w:pStyle w:val="8"/>
        <w:rPr>
          <w:rFonts w:hint="eastAsia"/>
          <w:color w:val="auto"/>
          <w:sz w:val="24"/>
          <w:szCs w:val="24"/>
          <w:highlight w:val="none"/>
          <w:lang w:val="en-US" w:eastAsia="zh-CN"/>
        </w:rPr>
      </w:pPr>
    </w:p>
    <w:p w14:paraId="253A21C8">
      <w:pPr>
        <w:rPr>
          <w:rFonts w:hint="eastAsia"/>
          <w:color w:val="auto"/>
          <w:sz w:val="24"/>
          <w:szCs w:val="24"/>
          <w:highlight w:val="none"/>
          <w:lang w:val="en-US" w:eastAsia="zh-CN"/>
        </w:rPr>
      </w:pPr>
    </w:p>
    <w:p w14:paraId="0A1957CB">
      <w:pPr>
        <w:pStyle w:val="8"/>
        <w:rPr>
          <w:rFonts w:hint="eastAsia"/>
          <w:color w:val="auto"/>
          <w:sz w:val="24"/>
          <w:szCs w:val="24"/>
          <w:highlight w:val="none"/>
          <w:lang w:val="en-US" w:eastAsia="zh-CN"/>
        </w:rPr>
      </w:pPr>
    </w:p>
    <w:p w14:paraId="5C87D7C9">
      <w:pPr>
        <w:rPr>
          <w:rFonts w:hint="eastAsia"/>
          <w:color w:val="auto"/>
          <w:sz w:val="24"/>
          <w:szCs w:val="24"/>
          <w:highlight w:val="none"/>
          <w:lang w:val="en-US" w:eastAsia="zh-CN"/>
        </w:rPr>
      </w:pPr>
    </w:p>
    <w:p w14:paraId="0C0AD4F6">
      <w:pPr>
        <w:pStyle w:val="8"/>
        <w:rPr>
          <w:rFonts w:hint="eastAsia"/>
          <w:color w:val="auto"/>
          <w:sz w:val="24"/>
          <w:szCs w:val="24"/>
          <w:highlight w:val="none"/>
          <w:lang w:val="en-US" w:eastAsia="zh-CN"/>
        </w:rPr>
      </w:pPr>
    </w:p>
    <w:p w14:paraId="1E4AC2B2">
      <w:pPr>
        <w:rPr>
          <w:rFonts w:hint="eastAsia"/>
          <w:lang w:val="en-US" w:eastAsia="zh-CN"/>
        </w:rPr>
      </w:pPr>
    </w:p>
    <w:p w14:paraId="0DD3A1C2">
      <w:pPr>
        <w:rPr>
          <w:rFonts w:hint="eastAsia"/>
          <w:color w:val="auto"/>
          <w:sz w:val="24"/>
          <w:szCs w:val="24"/>
          <w:highlight w:val="none"/>
          <w:lang w:val="en-US" w:eastAsia="zh-CN"/>
        </w:rPr>
      </w:pPr>
    </w:p>
    <w:p w14:paraId="46053B3A">
      <w:pPr>
        <w:pStyle w:val="8"/>
        <w:rPr>
          <w:rFonts w:hint="eastAsia"/>
          <w:color w:val="auto"/>
          <w:sz w:val="24"/>
          <w:szCs w:val="24"/>
          <w:highlight w:val="none"/>
          <w:lang w:val="en-US" w:eastAsia="zh-CN"/>
        </w:rPr>
      </w:pPr>
    </w:p>
    <w:p w14:paraId="0A506CE3">
      <w:pPr>
        <w:rPr>
          <w:rFonts w:hint="eastAsia"/>
          <w:color w:val="auto"/>
          <w:highlight w:val="none"/>
          <w:lang w:val="en-US" w:eastAsia="zh-CN"/>
        </w:rPr>
      </w:pPr>
    </w:p>
    <w:p w14:paraId="24E6A3E6">
      <w:pPr>
        <w:shd w:val="clear"/>
        <w:spacing w:before="98" w:line="220" w:lineRule="auto"/>
        <w:ind w:firstLine="3313"/>
        <w:outlineLvl w:val="3"/>
        <w:rPr>
          <w:rFonts w:hint="eastAsia" w:ascii="宋体" w:hAnsi="宋体" w:eastAsia="宋体" w:cs="宋体"/>
          <w:b/>
          <w:bCs/>
          <w:color w:val="auto"/>
          <w:spacing w:val="-8"/>
          <w:sz w:val="30"/>
          <w:szCs w:val="30"/>
          <w:highlight w:val="none"/>
        </w:rPr>
      </w:pPr>
      <w:r>
        <w:rPr>
          <w:rFonts w:hint="eastAsia" w:ascii="宋体" w:hAnsi="宋体" w:cs="宋体"/>
          <w:b/>
          <w:bCs/>
          <w:color w:val="auto"/>
          <w:spacing w:val="-8"/>
          <w:sz w:val="30"/>
          <w:szCs w:val="30"/>
          <w:highlight w:val="none"/>
          <w:lang w:val="en-US" w:eastAsia="zh-CN"/>
        </w:rPr>
        <w:t>八</w:t>
      </w:r>
      <w:r>
        <w:rPr>
          <w:rFonts w:hint="eastAsia" w:ascii="宋体" w:hAnsi="宋体" w:eastAsia="宋体" w:cs="宋体"/>
          <w:b/>
          <w:bCs/>
          <w:color w:val="auto"/>
          <w:spacing w:val="-8"/>
          <w:sz w:val="30"/>
          <w:szCs w:val="30"/>
          <w:highlight w:val="none"/>
        </w:rPr>
        <w:t>、资格证明文件</w:t>
      </w:r>
    </w:p>
    <w:p w14:paraId="5F043EB2">
      <w:pPr>
        <w:pStyle w:val="32"/>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1、具有独立承担民事责任能力的法人、其他组织或自然人，并出具合法有效的营业执照或事业单位法人证书等国家规定的相关证明，自然人参与的提供其身份证明； </w:t>
      </w:r>
    </w:p>
    <w:p w14:paraId="72D08B90">
      <w:pPr>
        <w:pStyle w:val="32"/>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4A18F340">
      <w:pPr>
        <w:pStyle w:val="32"/>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3、税收缴纳证明：提供2025年1月至今已缴纳至少一个月的依法缴纳税款的相关凭据（时间以税款所属日期为准），凭据应有税务机关或代收机关的公章或业务专用章。依法免税或无须缴纳税款的供应商，应提供相关证明文件；</w:t>
      </w:r>
    </w:p>
    <w:p w14:paraId="2171DD29">
      <w:pPr>
        <w:pStyle w:val="32"/>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4、社会保障资金缴纳证明：提供2025年1月至今已缴存的至少一个月的社会保障资金缴存单据或社保机构开具的社会保险参保缴费情况证明，依法不需要缴纳社会保障资金的单位应提供相关证明材料；</w:t>
      </w:r>
    </w:p>
    <w:p w14:paraId="512F174D">
      <w:pPr>
        <w:keepNext w:val="0"/>
        <w:keepLines w:val="0"/>
        <w:pageBreakBefore w:val="0"/>
        <w:widowControl w:val="0"/>
        <w:kinsoku/>
        <w:wordWrap/>
        <w:overflowPunct/>
        <w:topLinePunct w:val="0"/>
        <w:autoSpaceDE/>
        <w:autoSpaceDN/>
        <w:bidi w:val="0"/>
        <w:adjustRightInd/>
        <w:snapToGrid/>
        <w:spacing w:before="139" w:line="460" w:lineRule="exact"/>
        <w:ind w:firstLine="480" w:firstLineChars="20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5、书面声明：参加本次政府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p>
    <w:p w14:paraId="770B75DC">
      <w:pPr>
        <w:keepNext w:val="0"/>
        <w:keepLines w:val="0"/>
        <w:pageBreakBefore w:val="0"/>
        <w:widowControl w:val="0"/>
        <w:kinsoku/>
        <w:wordWrap/>
        <w:overflowPunct/>
        <w:topLinePunct w:val="0"/>
        <w:autoSpaceDE/>
        <w:autoSpaceDN/>
        <w:bidi w:val="0"/>
        <w:adjustRightInd/>
        <w:snapToGrid/>
        <w:spacing w:before="139" w:line="460" w:lineRule="exact"/>
        <w:ind w:firstLine="480" w:firstLineChars="20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 xml:space="preserve">6、提供具有履行合同所必需的设备和专业技术能力的承诺函； </w:t>
      </w:r>
    </w:p>
    <w:p w14:paraId="1B2FB393">
      <w:pPr>
        <w:keepNext w:val="0"/>
        <w:keepLines w:val="0"/>
        <w:pageBreakBefore w:val="0"/>
        <w:widowControl w:val="0"/>
        <w:kinsoku/>
        <w:wordWrap/>
        <w:overflowPunct/>
        <w:topLinePunct w:val="0"/>
        <w:autoSpaceDE/>
        <w:autoSpaceDN/>
        <w:bidi w:val="0"/>
        <w:adjustRightInd/>
        <w:snapToGrid/>
        <w:spacing w:before="139" w:line="460" w:lineRule="exact"/>
        <w:ind w:firstLine="480" w:firstLineChars="20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7、法定代表人授权书及被授权人身份证。（法定代表人直接参与磋商只须提交其身份证原件）；</w:t>
      </w:r>
    </w:p>
    <w:p w14:paraId="0F173351">
      <w:pPr>
        <w:keepNext w:val="0"/>
        <w:keepLines w:val="0"/>
        <w:pageBreakBefore w:val="0"/>
        <w:widowControl w:val="0"/>
        <w:kinsoku/>
        <w:wordWrap/>
        <w:overflowPunct/>
        <w:topLinePunct w:val="0"/>
        <w:autoSpaceDE/>
        <w:autoSpaceDN/>
        <w:bidi w:val="0"/>
        <w:adjustRightInd/>
        <w:snapToGrid/>
        <w:spacing w:before="139"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spacing w:val="0"/>
          <w:kern w:val="2"/>
          <w:sz w:val="24"/>
          <w:szCs w:val="24"/>
          <w:highlight w:val="none"/>
          <w:lang w:val="en-US" w:eastAsia="zh-CN" w:bidi="ar-SA"/>
        </w:rPr>
        <w:t>8、提供中小企业声明函。（本项目为非专门面向中、小、微型企业采购项目）。</w:t>
      </w:r>
    </w:p>
    <w:p w14:paraId="183052C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overflowPunct/>
        <w:bidi w:val="0"/>
        <w:spacing w:before="0" w:beforeAutospacing="0" w:after="0" w:afterAutospacing="0" w:line="500" w:lineRule="exact"/>
        <w:ind w:right="0" w:rightChars="0" w:firstLine="482" w:firstLineChars="200"/>
        <w:jc w:val="both"/>
        <w:textAlignment w:val="baseline"/>
        <w:rPr>
          <w:rFonts w:hint="eastAsia" w:ascii="宋体" w:hAnsi="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注：以上资质为必备资质，</w:t>
      </w:r>
      <w:r>
        <w:rPr>
          <w:rFonts w:hint="eastAsia" w:ascii="宋体" w:hAnsi="宋体" w:cs="宋体"/>
          <w:b/>
          <w:bCs/>
          <w:color w:val="auto"/>
          <w:kern w:val="2"/>
          <w:sz w:val="24"/>
          <w:szCs w:val="24"/>
          <w:highlight w:val="none"/>
          <w:vertAlign w:val="baseline"/>
          <w:lang w:val="en-US" w:eastAsia="zh-CN" w:bidi="ar-SA"/>
        </w:rPr>
        <w:t>提供</w:t>
      </w:r>
      <w:r>
        <w:rPr>
          <w:rFonts w:hint="eastAsia" w:ascii="宋体" w:hAnsi="宋体" w:eastAsia="宋体" w:cs="宋体"/>
          <w:b/>
          <w:bCs/>
          <w:color w:val="auto"/>
          <w:kern w:val="2"/>
          <w:sz w:val="24"/>
          <w:szCs w:val="24"/>
          <w:highlight w:val="none"/>
          <w:vertAlign w:val="baseline"/>
          <w:lang w:val="en-US" w:eastAsia="zh-CN" w:bidi="ar-SA"/>
        </w:rPr>
        <w:t>复印件或扫描件</w:t>
      </w:r>
      <w:r>
        <w:rPr>
          <w:rFonts w:hint="eastAsia" w:ascii="宋体" w:hAnsi="宋体" w:cs="宋体"/>
          <w:b/>
          <w:bCs/>
          <w:color w:val="auto"/>
          <w:kern w:val="2"/>
          <w:sz w:val="24"/>
          <w:szCs w:val="24"/>
          <w:highlight w:val="none"/>
          <w:vertAlign w:val="baseline"/>
          <w:lang w:val="en-US" w:eastAsia="zh-CN" w:bidi="ar-SA"/>
        </w:rPr>
        <w:t>并加盖公章。</w:t>
      </w:r>
    </w:p>
    <w:p w14:paraId="33E04E57">
      <w:pPr>
        <w:bidi w:val="0"/>
        <w:rPr>
          <w:rFonts w:hint="eastAsia"/>
          <w:color w:val="auto"/>
          <w:highlight w:val="none"/>
          <w:lang w:val="en-US" w:eastAsia="zh-CN"/>
        </w:rPr>
      </w:pPr>
    </w:p>
    <w:p w14:paraId="3517C760">
      <w:pPr>
        <w:rPr>
          <w:rFonts w:hint="eastAsia" w:ascii="宋体" w:hAnsi="宋体" w:cs="宋体"/>
          <w:b/>
          <w:bCs/>
          <w:color w:val="auto"/>
          <w:kern w:val="2"/>
          <w:sz w:val="24"/>
          <w:szCs w:val="24"/>
          <w:highlight w:val="none"/>
          <w:vertAlign w:val="baseline"/>
          <w:lang w:val="en-US" w:eastAsia="zh-CN" w:bidi="ar-SA"/>
        </w:rPr>
      </w:pPr>
    </w:p>
    <w:p w14:paraId="34E5F5D1">
      <w:pPr>
        <w:bidi w:val="0"/>
        <w:rPr>
          <w:rFonts w:hint="eastAsia"/>
          <w:color w:val="auto"/>
          <w:highlight w:val="none"/>
          <w:lang w:val="en-US" w:eastAsia="zh-CN"/>
        </w:rPr>
      </w:pPr>
    </w:p>
    <w:p w14:paraId="30C68A90">
      <w:pPr>
        <w:pStyle w:val="2"/>
        <w:ind w:left="0" w:leftChars="0" w:firstLine="0" w:firstLineChars="0"/>
        <w:rPr>
          <w:rFonts w:hint="eastAsia"/>
          <w:color w:val="auto"/>
          <w:highlight w:val="none"/>
          <w:lang w:val="en-US" w:eastAsia="zh-CN"/>
        </w:rPr>
      </w:pPr>
    </w:p>
    <w:p w14:paraId="778B8164">
      <w:pPr>
        <w:shd w:val="clear"/>
        <w:spacing w:line="245" w:lineRule="auto"/>
        <w:jc w:val="center"/>
        <w:outlineLvl w:val="0"/>
        <w:rPr>
          <w:rFonts w:hint="default" w:ascii="宋体" w:hAnsi="宋体" w:eastAsia="宋体" w:cs="宋体"/>
          <w:b/>
          <w:bCs/>
          <w:color w:val="auto"/>
          <w:sz w:val="30"/>
          <w:szCs w:val="30"/>
          <w:highlight w:val="none"/>
          <w:u w:val="none" w:color="auto"/>
          <w:lang w:val="en-US" w:eastAsia="zh-CN"/>
        </w:rPr>
      </w:pPr>
      <w:bookmarkStart w:id="51" w:name="_Toc4981"/>
      <w:r>
        <w:rPr>
          <w:rFonts w:hint="eastAsia" w:ascii="宋体" w:hAnsi="宋体" w:eastAsia="宋体" w:cs="宋体"/>
          <w:b/>
          <w:bCs/>
          <w:color w:val="auto"/>
          <w:sz w:val="30"/>
          <w:szCs w:val="30"/>
          <w:highlight w:val="none"/>
          <w:u w:val="none" w:color="auto"/>
          <w:lang w:val="en-US" w:eastAsia="zh-CN"/>
        </w:rPr>
        <w:t>九、</w:t>
      </w:r>
      <w:r>
        <w:rPr>
          <w:rFonts w:hint="eastAsia" w:ascii="宋体" w:hAnsi="宋体" w:cs="宋体"/>
          <w:b/>
          <w:bCs/>
          <w:color w:val="auto"/>
          <w:sz w:val="30"/>
          <w:szCs w:val="30"/>
          <w:highlight w:val="none"/>
          <w:u w:val="none" w:color="auto"/>
          <w:lang w:val="en-US" w:eastAsia="zh-CN"/>
        </w:rPr>
        <w:t>响应</w:t>
      </w:r>
      <w:r>
        <w:rPr>
          <w:rFonts w:hint="eastAsia" w:ascii="宋体" w:hAnsi="宋体" w:eastAsia="宋体" w:cs="宋体"/>
          <w:b/>
          <w:bCs/>
          <w:color w:val="auto"/>
          <w:sz w:val="30"/>
          <w:szCs w:val="30"/>
          <w:highlight w:val="none"/>
          <w:u w:val="none" w:color="auto"/>
          <w:lang w:val="en-US" w:eastAsia="zh-CN"/>
        </w:rPr>
        <w:t>方案</w:t>
      </w:r>
      <w:bookmarkEnd w:id="51"/>
      <w:r>
        <w:rPr>
          <w:rFonts w:hint="eastAsia" w:ascii="宋体" w:hAnsi="宋体" w:cs="宋体"/>
          <w:b/>
          <w:bCs/>
          <w:color w:val="auto"/>
          <w:sz w:val="30"/>
          <w:szCs w:val="30"/>
          <w:highlight w:val="none"/>
          <w:u w:val="none" w:color="auto"/>
          <w:lang w:val="en-US" w:eastAsia="zh-CN"/>
        </w:rPr>
        <w:t>说明</w:t>
      </w:r>
    </w:p>
    <w:p w14:paraId="57F49836">
      <w:pPr>
        <w:pStyle w:val="8"/>
        <w:jc w:val="center"/>
        <w:rPr>
          <w:rFonts w:hint="eastAsia" w:ascii="宋体" w:hAnsi="宋体" w:cs="宋体"/>
          <w:b/>
          <w:bCs/>
          <w:color w:val="auto"/>
          <w:sz w:val="24"/>
          <w:szCs w:val="24"/>
          <w:highlight w:val="none"/>
        </w:rPr>
      </w:pPr>
    </w:p>
    <w:p w14:paraId="18D6355C">
      <w:pPr>
        <w:pStyle w:val="8"/>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根据磋商</w:t>
      </w:r>
      <w:r>
        <w:rPr>
          <w:rFonts w:hint="eastAsia" w:ascii="宋体" w:hAnsi="宋体" w:cs="宋体"/>
          <w:b/>
          <w:bCs/>
          <w:color w:val="auto"/>
          <w:sz w:val="24"/>
          <w:szCs w:val="24"/>
          <w:highlight w:val="none"/>
        </w:rPr>
        <w:t>文件第</w:t>
      </w:r>
      <w:r>
        <w:rPr>
          <w:rFonts w:hint="eastAsia" w:ascii="宋体" w:hAnsi="宋体" w:cs="宋体"/>
          <w:b/>
          <w:bCs/>
          <w:color w:val="auto"/>
          <w:sz w:val="24"/>
          <w:szCs w:val="24"/>
          <w:highlight w:val="none"/>
          <w:lang w:val="en-US" w:eastAsia="zh-CN"/>
        </w:rPr>
        <w:t>三章 评标办法</w:t>
      </w:r>
      <w:r>
        <w:rPr>
          <w:rFonts w:hint="eastAsia" w:ascii="宋体" w:hAnsi="宋体" w:cs="宋体"/>
          <w:b/>
          <w:bCs/>
          <w:color w:val="auto"/>
          <w:sz w:val="24"/>
          <w:szCs w:val="24"/>
          <w:highlight w:val="none"/>
        </w:rPr>
        <w:t>进行编写</w:t>
      </w:r>
      <w:r>
        <w:rPr>
          <w:rFonts w:hint="eastAsia" w:ascii="宋体" w:hAnsi="宋体" w:cs="宋体"/>
          <w:b/>
          <w:bCs/>
          <w:color w:val="auto"/>
          <w:sz w:val="24"/>
          <w:szCs w:val="24"/>
          <w:highlight w:val="none"/>
          <w:lang w:val="en-US" w:eastAsia="zh-CN"/>
        </w:rPr>
        <w:t xml:space="preserve"> 格式自拟</w:t>
      </w:r>
      <w:r>
        <w:rPr>
          <w:rFonts w:hint="eastAsia" w:ascii="宋体" w:hAnsi="宋体" w:cs="宋体"/>
          <w:b/>
          <w:bCs/>
          <w:color w:val="auto"/>
          <w:sz w:val="24"/>
          <w:szCs w:val="24"/>
          <w:highlight w:val="none"/>
        </w:rPr>
        <w:t>）</w:t>
      </w:r>
    </w:p>
    <w:p w14:paraId="337B2256">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3C75FCBD">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11F36C1D">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387BD9FD">
      <w:pPr>
        <w:pStyle w:val="2"/>
        <w:rPr>
          <w:rFonts w:hint="eastAsia" w:ascii="宋体" w:hAnsi="宋体" w:cs="宋体"/>
          <w:b/>
          <w:bCs/>
          <w:color w:val="auto"/>
          <w:spacing w:val="-8"/>
          <w:sz w:val="28"/>
          <w:szCs w:val="28"/>
          <w:highlight w:val="none"/>
          <w:lang w:val="en-US" w:eastAsia="zh-CN"/>
        </w:rPr>
      </w:pPr>
    </w:p>
    <w:p w14:paraId="764FB658">
      <w:pPr>
        <w:rPr>
          <w:rFonts w:hint="eastAsia" w:ascii="宋体" w:hAnsi="宋体" w:cs="宋体"/>
          <w:b/>
          <w:bCs/>
          <w:color w:val="auto"/>
          <w:spacing w:val="-8"/>
          <w:sz w:val="28"/>
          <w:szCs w:val="28"/>
          <w:highlight w:val="none"/>
          <w:lang w:val="en-US" w:eastAsia="zh-CN"/>
        </w:rPr>
      </w:pPr>
    </w:p>
    <w:p w14:paraId="050A1076">
      <w:pPr>
        <w:pStyle w:val="2"/>
        <w:rPr>
          <w:rFonts w:hint="eastAsia" w:ascii="宋体" w:hAnsi="宋体" w:cs="宋体"/>
          <w:b/>
          <w:bCs/>
          <w:color w:val="auto"/>
          <w:spacing w:val="-8"/>
          <w:sz w:val="28"/>
          <w:szCs w:val="28"/>
          <w:highlight w:val="none"/>
          <w:lang w:val="en-US" w:eastAsia="zh-CN"/>
        </w:rPr>
      </w:pPr>
    </w:p>
    <w:p w14:paraId="2AAE911D">
      <w:pPr>
        <w:rPr>
          <w:rFonts w:hint="eastAsia" w:ascii="宋体" w:hAnsi="宋体" w:cs="宋体"/>
          <w:b/>
          <w:bCs/>
          <w:color w:val="auto"/>
          <w:spacing w:val="-8"/>
          <w:sz w:val="28"/>
          <w:szCs w:val="28"/>
          <w:highlight w:val="none"/>
          <w:lang w:val="en-US" w:eastAsia="zh-CN"/>
        </w:rPr>
      </w:pPr>
    </w:p>
    <w:p w14:paraId="77C5BB95">
      <w:pPr>
        <w:pStyle w:val="2"/>
        <w:rPr>
          <w:rFonts w:hint="eastAsia" w:ascii="宋体" w:hAnsi="宋体" w:cs="宋体"/>
          <w:b/>
          <w:bCs/>
          <w:color w:val="auto"/>
          <w:spacing w:val="-8"/>
          <w:sz w:val="28"/>
          <w:szCs w:val="28"/>
          <w:highlight w:val="none"/>
          <w:lang w:val="en-US" w:eastAsia="zh-CN"/>
        </w:rPr>
      </w:pPr>
    </w:p>
    <w:p w14:paraId="2C3D2CCF">
      <w:pPr>
        <w:rPr>
          <w:rFonts w:hint="eastAsia" w:ascii="宋体" w:hAnsi="宋体" w:cs="宋体"/>
          <w:b/>
          <w:bCs/>
          <w:color w:val="auto"/>
          <w:spacing w:val="-8"/>
          <w:sz w:val="28"/>
          <w:szCs w:val="28"/>
          <w:highlight w:val="none"/>
          <w:lang w:val="en-US" w:eastAsia="zh-CN"/>
        </w:rPr>
      </w:pPr>
    </w:p>
    <w:p w14:paraId="22170278">
      <w:pPr>
        <w:pStyle w:val="2"/>
        <w:rPr>
          <w:rFonts w:hint="eastAsia" w:ascii="宋体" w:hAnsi="宋体" w:cs="宋体"/>
          <w:b/>
          <w:bCs/>
          <w:color w:val="auto"/>
          <w:spacing w:val="-8"/>
          <w:sz w:val="28"/>
          <w:szCs w:val="28"/>
          <w:highlight w:val="none"/>
          <w:lang w:val="en-US" w:eastAsia="zh-CN"/>
        </w:rPr>
      </w:pPr>
    </w:p>
    <w:p w14:paraId="7CD9C804">
      <w:pPr>
        <w:rPr>
          <w:rFonts w:hint="eastAsia" w:ascii="宋体" w:hAnsi="宋体" w:cs="宋体"/>
          <w:b/>
          <w:bCs/>
          <w:color w:val="auto"/>
          <w:spacing w:val="-8"/>
          <w:sz w:val="28"/>
          <w:szCs w:val="28"/>
          <w:highlight w:val="none"/>
          <w:lang w:val="en-US" w:eastAsia="zh-CN"/>
        </w:rPr>
      </w:pPr>
    </w:p>
    <w:p w14:paraId="1EC6283A">
      <w:pPr>
        <w:pStyle w:val="2"/>
        <w:rPr>
          <w:rFonts w:hint="eastAsia" w:ascii="宋体" w:hAnsi="宋体" w:cs="宋体"/>
          <w:b/>
          <w:bCs/>
          <w:color w:val="auto"/>
          <w:spacing w:val="-8"/>
          <w:sz w:val="28"/>
          <w:szCs w:val="28"/>
          <w:highlight w:val="none"/>
          <w:lang w:val="en-US" w:eastAsia="zh-CN"/>
        </w:rPr>
      </w:pPr>
    </w:p>
    <w:p w14:paraId="47007378">
      <w:pPr>
        <w:rPr>
          <w:rFonts w:hint="eastAsia" w:ascii="宋体" w:hAnsi="宋体" w:cs="宋体"/>
          <w:b/>
          <w:bCs/>
          <w:color w:val="auto"/>
          <w:spacing w:val="-8"/>
          <w:sz w:val="28"/>
          <w:szCs w:val="28"/>
          <w:highlight w:val="none"/>
          <w:lang w:val="en-US" w:eastAsia="zh-CN"/>
        </w:rPr>
      </w:pPr>
    </w:p>
    <w:p w14:paraId="1F0FE0AF">
      <w:pPr>
        <w:pStyle w:val="2"/>
        <w:rPr>
          <w:rFonts w:hint="eastAsia" w:ascii="宋体" w:hAnsi="宋体" w:cs="宋体"/>
          <w:b/>
          <w:bCs/>
          <w:color w:val="auto"/>
          <w:spacing w:val="-8"/>
          <w:sz w:val="28"/>
          <w:szCs w:val="28"/>
          <w:highlight w:val="none"/>
          <w:lang w:val="en-US" w:eastAsia="zh-CN"/>
        </w:rPr>
      </w:pPr>
    </w:p>
    <w:p w14:paraId="0481FE69">
      <w:pPr>
        <w:rPr>
          <w:rFonts w:hint="eastAsia" w:ascii="宋体" w:hAnsi="宋体" w:cs="宋体"/>
          <w:b/>
          <w:bCs/>
          <w:color w:val="auto"/>
          <w:spacing w:val="-8"/>
          <w:sz w:val="28"/>
          <w:szCs w:val="28"/>
          <w:highlight w:val="none"/>
          <w:lang w:val="en-US" w:eastAsia="zh-CN"/>
        </w:rPr>
      </w:pPr>
    </w:p>
    <w:p w14:paraId="1E326D97">
      <w:pPr>
        <w:pStyle w:val="2"/>
        <w:rPr>
          <w:rFonts w:hint="eastAsia" w:ascii="宋体" w:hAnsi="宋体" w:cs="宋体"/>
          <w:b/>
          <w:bCs/>
          <w:color w:val="auto"/>
          <w:spacing w:val="-8"/>
          <w:sz w:val="28"/>
          <w:szCs w:val="28"/>
          <w:highlight w:val="none"/>
          <w:lang w:val="en-US" w:eastAsia="zh-CN"/>
        </w:rPr>
      </w:pPr>
    </w:p>
    <w:p w14:paraId="1FCEE4D2">
      <w:pPr>
        <w:rPr>
          <w:rFonts w:hint="eastAsia"/>
          <w:lang w:val="en-US" w:eastAsia="zh-CN"/>
        </w:rPr>
      </w:pPr>
    </w:p>
    <w:p w14:paraId="781F34BA">
      <w:pPr>
        <w:rPr>
          <w:rFonts w:hint="eastAsia" w:ascii="宋体" w:hAnsi="宋体" w:cs="宋体"/>
          <w:b/>
          <w:bCs/>
          <w:color w:val="auto"/>
          <w:spacing w:val="-8"/>
          <w:sz w:val="28"/>
          <w:szCs w:val="28"/>
          <w:highlight w:val="none"/>
          <w:lang w:val="en-US" w:eastAsia="zh-CN"/>
        </w:rPr>
      </w:pPr>
    </w:p>
    <w:p w14:paraId="49E32040">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519F7085">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02614B32">
      <w:pPr>
        <w:pStyle w:val="12"/>
        <w:pageBreakBefore w:val="0"/>
        <w:numPr>
          <w:ilvl w:val="0"/>
          <w:numId w:val="0"/>
        </w:numPr>
        <w:kinsoku/>
        <w:wordWrap/>
        <w:overflowPunct/>
        <w:topLinePunct w:val="0"/>
        <w:autoSpaceDE/>
        <w:autoSpaceDN/>
        <w:bidi w:val="0"/>
        <w:spacing w:line="360" w:lineRule="auto"/>
        <w:jc w:val="center"/>
        <w:rPr>
          <w:rFonts w:hint="default"/>
          <w:color w:val="auto"/>
          <w:spacing w:val="0"/>
          <w:sz w:val="30"/>
          <w:szCs w:val="30"/>
          <w:highlight w:val="none"/>
          <w:lang w:val="en-US" w:eastAsia="zh-CN"/>
        </w:rPr>
      </w:pPr>
      <w:r>
        <w:rPr>
          <w:rFonts w:hint="eastAsia" w:ascii="宋体" w:hAnsi="宋体" w:eastAsia="宋体" w:cs="宋体"/>
          <w:b/>
          <w:bCs/>
          <w:color w:val="auto"/>
          <w:sz w:val="30"/>
          <w:szCs w:val="30"/>
          <w:highlight w:val="none"/>
          <w:u w:val="none" w:color="auto"/>
          <w:lang w:val="en-US" w:eastAsia="zh-CN"/>
        </w:rPr>
        <w:t>十、</w:t>
      </w:r>
      <w:r>
        <w:rPr>
          <w:rFonts w:hint="eastAsia" w:ascii="宋体" w:hAnsi="宋体" w:eastAsia="宋体" w:cs="宋体"/>
          <w:b/>
          <w:bCs/>
          <w:color w:val="auto"/>
          <w:kern w:val="0"/>
          <w:sz w:val="30"/>
          <w:szCs w:val="30"/>
          <w:highlight w:val="none"/>
          <w:lang w:val="en-US" w:eastAsia="zh-CN" w:bidi="ar"/>
        </w:rPr>
        <w:t>供应商认为有必要补充说明的事项</w:t>
      </w:r>
    </w:p>
    <w:p w14:paraId="59568569">
      <w:pPr>
        <w:shd w:val="clear"/>
        <w:spacing w:line="245" w:lineRule="auto"/>
        <w:jc w:val="center"/>
        <w:outlineLvl w:val="0"/>
        <w:rPr>
          <w:rFonts w:hint="default" w:ascii="宋体" w:hAnsi="宋体" w:eastAsia="宋体" w:cs="宋体"/>
          <w:b/>
          <w:bCs/>
          <w:color w:val="auto"/>
          <w:sz w:val="30"/>
          <w:szCs w:val="30"/>
          <w:highlight w:val="none"/>
          <w:u w:val="none" w:color="auto"/>
          <w:lang w:val="en-US" w:eastAsia="zh-CN"/>
        </w:rPr>
      </w:pPr>
    </w:p>
    <w:p w14:paraId="4E55D398">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17D06B9D">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45ACDBC5">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3DE7A102">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505909F0">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490C6698">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76C53250">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7FA69A58">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3D121972">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4AF355A9">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2CE68ED5">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52CB828B">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750E615A">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73BE78E0">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2DDECA6F">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7A7C9BC9">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5DA3A1E1">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2A666A5C">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04F6F640">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29BEDF4E">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183233B0">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202FB396">
      <w:pPr>
        <w:shd w:val="clear"/>
        <w:spacing w:before="98" w:line="220" w:lineRule="auto"/>
        <w:jc w:val="both"/>
        <w:outlineLvl w:val="3"/>
        <w:rPr>
          <w:rFonts w:hint="default" w:ascii="宋体" w:hAnsi="宋体" w:eastAsia="宋体" w:cs="宋体"/>
          <w:b/>
          <w:bCs/>
          <w:color w:val="auto"/>
          <w:spacing w:val="-8"/>
          <w:sz w:val="28"/>
          <w:szCs w:val="28"/>
          <w:highlight w:val="none"/>
          <w:lang w:val="en-US" w:eastAsia="zh-CN"/>
        </w:rPr>
      </w:pPr>
      <w:r>
        <w:rPr>
          <w:rFonts w:hint="eastAsia" w:ascii="宋体" w:hAnsi="宋体" w:cs="宋体"/>
          <w:b/>
          <w:bCs/>
          <w:color w:val="auto"/>
          <w:spacing w:val="-8"/>
          <w:sz w:val="28"/>
          <w:szCs w:val="28"/>
          <w:highlight w:val="none"/>
          <w:lang w:val="en-US" w:eastAsia="zh-CN"/>
        </w:rPr>
        <w:t>附表：</w:t>
      </w:r>
    </w:p>
    <w:p w14:paraId="65420DB6">
      <w:pPr>
        <w:shd w:val="clear"/>
        <w:spacing w:before="98" w:line="220" w:lineRule="auto"/>
        <w:jc w:val="center"/>
        <w:outlineLvl w:val="3"/>
        <w:rPr>
          <w:rFonts w:hint="eastAsia" w:ascii="宋体" w:hAnsi="宋体" w:eastAsia="宋体" w:cs="宋体"/>
          <w:b/>
          <w:bCs/>
          <w:color w:val="auto"/>
          <w:spacing w:val="-8"/>
          <w:sz w:val="28"/>
          <w:szCs w:val="28"/>
          <w:highlight w:val="none"/>
          <w:lang w:val="en-US" w:eastAsia="zh-CN"/>
        </w:rPr>
      </w:pPr>
      <w:r>
        <w:rPr>
          <w:rFonts w:hint="eastAsia" w:ascii="宋体" w:hAnsi="宋体" w:cs="宋体"/>
          <w:b/>
          <w:bCs/>
          <w:color w:val="auto"/>
          <w:spacing w:val="-8"/>
          <w:sz w:val="28"/>
          <w:szCs w:val="28"/>
          <w:highlight w:val="none"/>
          <w:lang w:val="en-US" w:eastAsia="zh-CN"/>
        </w:rPr>
        <w:t>类似项目</w:t>
      </w:r>
      <w:r>
        <w:rPr>
          <w:rFonts w:hint="eastAsia" w:ascii="宋体" w:hAnsi="宋体" w:eastAsia="宋体" w:cs="宋体"/>
          <w:b/>
          <w:bCs/>
          <w:color w:val="auto"/>
          <w:spacing w:val="-8"/>
          <w:sz w:val="28"/>
          <w:szCs w:val="28"/>
          <w:highlight w:val="none"/>
          <w:lang w:val="en-US" w:eastAsia="zh-CN"/>
        </w:rPr>
        <w:t>业绩一览表</w:t>
      </w:r>
    </w:p>
    <w:p w14:paraId="218CFE95">
      <w:pPr>
        <w:numPr>
          <w:ilvl w:val="0"/>
          <w:numId w:val="0"/>
        </w:numPr>
        <w:shd w:val="clear"/>
        <w:rPr>
          <w:rFonts w:hint="eastAsia" w:ascii="宋体" w:hAnsi="宋体" w:eastAsia="宋体" w:cs="宋体"/>
          <w:color w:val="auto"/>
          <w:highlight w:val="none"/>
        </w:rPr>
      </w:pPr>
    </w:p>
    <w:tbl>
      <w:tblPr>
        <w:tblStyle w:val="16"/>
        <w:tblW w:w="946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54" w:type="dxa"/>
          <w:bottom w:w="0" w:type="dxa"/>
          <w:right w:w="54" w:type="dxa"/>
        </w:tblCellMar>
      </w:tblPr>
      <w:tblGrid>
        <w:gridCol w:w="1001"/>
        <w:gridCol w:w="1981"/>
        <w:gridCol w:w="2419"/>
        <w:gridCol w:w="1237"/>
        <w:gridCol w:w="1613"/>
        <w:gridCol w:w="1218"/>
      </w:tblGrid>
      <w:tr w14:paraId="27A139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937" w:hRule="atLeast"/>
          <w:jc w:val="center"/>
        </w:trPr>
        <w:tc>
          <w:tcPr>
            <w:tcW w:w="1001" w:type="dxa"/>
            <w:tcBorders>
              <w:tl2br w:val="nil"/>
              <w:tr2bl w:val="nil"/>
            </w:tcBorders>
            <w:noWrap w:val="0"/>
            <w:vAlign w:val="center"/>
          </w:tcPr>
          <w:p w14:paraId="690DEF05">
            <w:pPr>
              <w:pageBreakBefore w:val="0"/>
              <w:shd w:val="clear"/>
              <w:overflowPunct/>
              <w:bidi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年份</w:t>
            </w:r>
          </w:p>
        </w:tc>
        <w:tc>
          <w:tcPr>
            <w:tcW w:w="1981" w:type="dxa"/>
            <w:tcBorders>
              <w:tl2br w:val="nil"/>
              <w:tr2bl w:val="nil"/>
            </w:tcBorders>
            <w:noWrap w:val="0"/>
            <w:vAlign w:val="center"/>
          </w:tcPr>
          <w:p w14:paraId="07FB0938">
            <w:pPr>
              <w:pageBreakBefore w:val="0"/>
              <w:shd w:val="clear"/>
              <w:overflowPunct/>
              <w:bidi w:val="0"/>
              <w:spacing w:line="500" w:lineRule="exact"/>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名称</w:t>
            </w:r>
          </w:p>
        </w:tc>
        <w:tc>
          <w:tcPr>
            <w:tcW w:w="2419" w:type="dxa"/>
            <w:tcBorders>
              <w:tl2br w:val="nil"/>
              <w:tr2bl w:val="nil"/>
            </w:tcBorders>
            <w:noWrap w:val="0"/>
            <w:vAlign w:val="center"/>
          </w:tcPr>
          <w:p w14:paraId="546CB7F2">
            <w:pPr>
              <w:pageBreakBefore w:val="0"/>
              <w:shd w:val="clear"/>
              <w:overflowPunct/>
              <w:bidi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1237" w:type="dxa"/>
            <w:tcBorders>
              <w:tl2br w:val="nil"/>
              <w:tr2bl w:val="nil"/>
            </w:tcBorders>
            <w:noWrap w:val="0"/>
            <w:vAlign w:val="center"/>
          </w:tcPr>
          <w:p w14:paraId="5DF08623">
            <w:pPr>
              <w:pageBreakBefore w:val="0"/>
              <w:shd w:val="clear"/>
              <w:overflowPunct/>
              <w:bidi w:val="0"/>
              <w:spacing w:line="500" w:lineRule="exact"/>
              <w:ind w:firstLine="120" w:firstLineChars="5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合同金额</w:t>
            </w:r>
          </w:p>
        </w:tc>
        <w:tc>
          <w:tcPr>
            <w:tcW w:w="1613" w:type="dxa"/>
            <w:tcBorders>
              <w:tl2br w:val="nil"/>
              <w:tr2bl w:val="nil"/>
            </w:tcBorders>
            <w:noWrap w:val="0"/>
            <w:vAlign w:val="center"/>
          </w:tcPr>
          <w:p w14:paraId="0F3CFDA6">
            <w:pPr>
              <w:pageBreakBefore w:val="0"/>
              <w:shd w:val="clear"/>
              <w:overflowPunct/>
              <w:bidi w:val="0"/>
              <w:spacing w:line="500" w:lineRule="exact"/>
              <w:ind w:left="204" w:hanging="232" w:hangingChars="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完成项目质量</w:t>
            </w:r>
          </w:p>
        </w:tc>
        <w:tc>
          <w:tcPr>
            <w:tcW w:w="1218" w:type="dxa"/>
            <w:tcBorders>
              <w:tl2br w:val="nil"/>
              <w:tr2bl w:val="nil"/>
            </w:tcBorders>
            <w:noWrap w:val="0"/>
            <w:vAlign w:val="center"/>
          </w:tcPr>
          <w:p w14:paraId="635254E3">
            <w:pPr>
              <w:pageBreakBefore w:val="0"/>
              <w:shd w:val="clear"/>
              <w:overflowPunct/>
              <w:bidi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3F577C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2D4F5F44">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1BB23CAF">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38B5A657">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08202E69">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580D182B">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327C33E9">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r w14:paraId="0A5218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56F185B3">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70135A24">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5E47B4A2">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17536007">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0478E9AA">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7DBE46BC">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r w14:paraId="748BB7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6B86DD34">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246CB5FE">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2AE43F7B">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44087EE8">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52A196E4">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03568212">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r w14:paraId="22D7DC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24FC532D">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416B9662">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34B24BCF">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26F4BAE0">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2FDC2631">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3C8F4530">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r w14:paraId="3325DE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1CBDEDAE">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5B1040F1">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75FDD900">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78DED989">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2113ABA0">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16F5C4F0">
            <w:pPr>
              <w:pageBreakBefore w:val="0"/>
              <w:shd w:val="clear"/>
              <w:overflowPunct/>
              <w:bidi w:val="0"/>
              <w:spacing w:line="500" w:lineRule="exact"/>
              <w:rPr>
                <w:rFonts w:hint="eastAsia" w:ascii="宋体" w:hAnsi="宋体" w:eastAsia="宋体" w:cs="宋体"/>
                <w:bCs/>
                <w:color w:val="auto"/>
                <w:sz w:val="24"/>
                <w:szCs w:val="24"/>
                <w:highlight w:val="none"/>
              </w:rPr>
            </w:pPr>
          </w:p>
        </w:tc>
      </w:tr>
      <w:tr w14:paraId="2BC757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70F27359">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7AE516CB">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68FA20F8">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60F80DCE">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28A22AE3">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17B8185F">
            <w:pPr>
              <w:pageBreakBefore w:val="0"/>
              <w:shd w:val="clear"/>
              <w:overflowPunct/>
              <w:bidi w:val="0"/>
              <w:spacing w:line="500" w:lineRule="exact"/>
              <w:rPr>
                <w:rFonts w:hint="eastAsia" w:ascii="宋体" w:hAnsi="宋体" w:eastAsia="宋体" w:cs="宋体"/>
                <w:bCs/>
                <w:color w:val="auto"/>
                <w:sz w:val="24"/>
                <w:szCs w:val="24"/>
                <w:highlight w:val="none"/>
              </w:rPr>
            </w:pPr>
          </w:p>
        </w:tc>
      </w:tr>
      <w:tr w14:paraId="30C84A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96" w:hRule="atLeast"/>
          <w:jc w:val="center"/>
        </w:trPr>
        <w:tc>
          <w:tcPr>
            <w:tcW w:w="1001" w:type="dxa"/>
            <w:tcBorders>
              <w:tl2br w:val="nil"/>
              <w:tr2bl w:val="nil"/>
            </w:tcBorders>
            <w:noWrap w:val="0"/>
            <w:vAlign w:val="center"/>
          </w:tcPr>
          <w:p w14:paraId="49155932">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60F10C5E">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767DD2D8">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274ED928">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0011F152">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4AB2E9B1">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bl>
    <w:p w14:paraId="5371534B">
      <w:pPr>
        <w:keepNext w:val="0"/>
        <w:keepLines w:val="0"/>
        <w:pageBreakBefore w:val="0"/>
        <w:widowControl w:val="0"/>
        <w:shd w:val="clear"/>
        <w:kinsoku/>
        <w:wordWrap/>
        <w:overflowPunct/>
        <w:topLinePunct w:val="0"/>
        <w:autoSpaceDE/>
        <w:autoSpaceDN/>
        <w:bidi w:val="0"/>
        <w:adjustRightInd/>
        <w:snapToGrid/>
        <w:spacing w:before="98" w:line="360" w:lineRule="auto"/>
        <w:textAlignment w:val="auto"/>
        <w:outlineLvl w:val="9"/>
        <w:rPr>
          <w:rFonts w:hint="eastAsia" w:ascii="宋体" w:hAnsi="宋体" w:eastAsia="宋体" w:cs="宋体"/>
          <w:color w:val="auto"/>
          <w:sz w:val="24"/>
          <w:szCs w:val="24"/>
          <w:highlight w:val="none"/>
        </w:rPr>
      </w:pPr>
    </w:p>
    <w:p w14:paraId="3448E635">
      <w:pPr>
        <w:pStyle w:val="8"/>
        <w:rPr>
          <w:rFonts w:hint="eastAsia"/>
          <w:color w:val="auto"/>
          <w:highlight w:val="none"/>
        </w:rPr>
      </w:pPr>
    </w:p>
    <w:p w14:paraId="358CFBED">
      <w:pPr>
        <w:keepNext w:val="0"/>
        <w:keepLines w:val="0"/>
        <w:pageBreakBefore w:val="0"/>
        <w:widowControl w:val="0"/>
        <w:shd w:val="clear"/>
        <w:kinsoku/>
        <w:wordWrap/>
        <w:overflowPunct/>
        <w:topLinePunct w:val="0"/>
        <w:autoSpaceDE/>
        <w:autoSpaceDN/>
        <w:bidi w:val="0"/>
        <w:adjustRightInd/>
        <w:snapToGrid/>
        <w:spacing w:before="98" w:line="360" w:lineRule="auto"/>
        <w:textAlignment w:val="auto"/>
        <w:outlineLvl w:val="3"/>
        <w:rPr>
          <w:rFonts w:hint="eastAsia" w:ascii="宋体" w:hAnsi="宋体" w:eastAsia="宋体" w:cs="宋体"/>
          <w:b/>
          <w:bCs/>
          <w:color w:val="auto"/>
          <w:spacing w:val="-8"/>
          <w:sz w:val="30"/>
          <w:szCs w:val="30"/>
          <w:highlight w:val="none"/>
          <w:lang w:val="en-US" w:eastAsia="zh-CN"/>
        </w:rPr>
      </w:pPr>
      <w:r>
        <w:rPr>
          <w:rFonts w:hint="eastAsia" w:ascii="宋体" w:hAnsi="宋体" w:eastAsia="宋体" w:cs="宋体"/>
          <w:b/>
          <w:bCs/>
          <w:color w:val="auto"/>
          <w:sz w:val="24"/>
          <w:szCs w:val="24"/>
          <w:highlight w:val="none"/>
        </w:rPr>
        <w:t>注：</w:t>
      </w:r>
      <w:r>
        <w:rPr>
          <w:rFonts w:hint="eastAsia" w:ascii="宋体" w:hAnsi="宋体" w:cs="宋体"/>
          <w:b/>
          <w:bCs/>
          <w:color w:val="auto"/>
          <w:sz w:val="24"/>
          <w:szCs w:val="24"/>
          <w:highlight w:val="none"/>
          <w:lang w:val="en-US" w:eastAsia="zh-CN"/>
        </w:rPr>
        <w:t>后附佐证材料，</w:t>
      </w:r>
      <w:r>
        <w:rPr>
          <w:rFonts w:hint="eastAsia" w:ascii="宋体" w:hAnsi="宋体" w:eastAsia="宋体" w:cs="宋体"/>
          <w:b/>
          <w:bCs/>
          <w:color w:val="auto"/>
          <w:sz w:val="24"/>
          <w:szCs w:val="24"/>
          <w:highlight w:val="none"/>
          <w:lang w:val="en-US" w:eastAsia="zh-CN"/>
        </w:rPr>
        <w:t>供应商近三年（202</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年</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月1日至今）具有类似项目业绩</w:t>
      </w:r>
      <w:r>
        <w:rPr>
          <w:rFonts w:hint="eastAsia" w:ascii="宋体" w:hAnsi="宋体" w:eastAsia="宋体" w:cs="宋体"/>
          <w:b/>
          <w:bCs/>
          <w:color w:val="auto"/>
          <w:sz w:val="24"/>
          <w:szCs w:val="24"/>
          <w:highlight w:val="none"/>
        </w:rPr>
        <w:t>。</w:t>
      </w:r>
    </w:p>
    <w:p w14:paraId="4D16564B">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7C61DEF2">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493D8224">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7CC51146">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2F55D505">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6E8989FF">
      <w:pPr>
        <w:shd w:val="clear"/>
        <w:spacing w:before="98" w:line="220" w:lineRule="auto"/>
        <w:jc w:val="center"/>
        <w:outlineLvl w:val="3"/>
        <w:rPr>
          <w:rFonts w:hint="eastAsia" w:ascii="宋体" w:hAnsi="宋体" w:cs="宋体"/>
          <w:b/>
          <w:bCs/>
          <w:color w:val="auto"/>
          <w:spacing w:val="-8"/>
          <w:sz w:val="28"/>
          <w:szCs w:val="28"/>
          <w:highlight w:val="none"/>
          <w:lang w:val="en-US" w:eastAsia="zh-CN"/>
        </w:rPr>
      </w:pPr>
      <w:r>
        <w:rPr>
          <w:rFonts w:hint="eastAsia" w:ascii="宋体" w:hAnsi="宋体" w:cs="宋体"/>
          <w:b/>
          <w:bCs/>
          <w:color w:val="auto"/>
          <w:spacing w:val="-8"/>
          <w:sz w:val="28"/>
          <w:szCs w:val="28"/>
          <w:highlight w:val="none"/>
          <w:lang w:val="en-US" w:eastAsia="zh-CN"/>
        </w:rPr>
        <w:t>服务团队情况表</w:t>
      </w:r>
    </w:p>
    <w:p w14:paraId="206485B2">
      <w:pPr>
        <w:pStyle w:val="2"/>
      </w:pPr>
    </w:p>
    <w:tbl>
      <w:tblPr>
        <w:tblStyle w:val="16"/>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938"/>
        <w:gridCol w:w="1217"/>
        <w:gridCol w:w="23"/>
        <w:gridCol w:w="1315"/>
        <w:gridCol w:w="17"/>
        <w:gridCol w:w="6"/>
        <w:gridCol w:w="1524"/>
        <w:gridCol w:w="1677"/>
        <w:gridCol w:w="40"/>
        <w:gridCol w:w="1015"/>
      </w:tblGrid>
      <w:tr w14:paraId="5D7F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12" w:space="0"/>
              <w:left w:val="single" w:color="auto" w:sz="12" w:space="0"/>
              <w:bottom w:val="single" w:color="auto" w:sz="6" w:space="0"/>
              <w:right w:val="single" w:color="auto" w:sz="12" w:space="0"/>
            </w:tcBorders>
            <w:shd w:val="clear" w:color="auto" w:fill="F1F1F1" w:themeFill="background1" w:themeFillShade="F2"/>
            <w:vAlign w:val="center"/>
          </w:tcPr>
          <w:p w14:paraId="3050B83D">
            <w:pPr>
              <w:jc w:val="both"/>
              <w:rPr>
                <w:rFonts w:hint="eastAsia" w:ascii="宋体" w:hAnsi="宋体" w:eastAsia="宋体" w:cs="宋体"/>
                <w:sz w:val="24"/>
                <w:szCs w:val="24"/>
              </w:rPr>
            </w:pPr>
            <w:r>
              <w:rPr>
                <w:rFonts w:hint="eastAsia" w:ascii="宋体" w:hAnsi="宋体" w:eastAsia="宋体" w:cs="宋体"/>
                <w:sz w:val="24"/>
                <w:szCs w:val="24"/>
              </w:rPr>
              <w:t>项目负责人</w:t>
            </w:r>
          </w:p>
        </w:tc>
      </w:tr>
      <w:tr w14:paraId="5A93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7F3A3A8D">
            <w:pPr>
              <w:jc w:val="both"/>
              <w:rPr>
                <w:rFonts w:hint="eastAsia" w:ascii="宋体" w:hAnsi="宋体" w:eastAsia="宋体" w:cs="宋体"/>
                <w:sz w:val="24"/>
                <w:szCs w:val="24"/>
              </w:rPr>
            </w:pPr>
            <w:r>
              <w:rPr>
                <w:rFonts w:hint="eastAsia" w:ascii="宋体" w:hAnsi="宋体" w:eastAsia="宋体" w:cs="宋体"/>
                <w:sz w:val="24"/>
                <w:szCs w:val="24"/>
              </w:rPr>
              <w:t>姓名</w:t>
            </w:r>
          </w:p>
        </w:tc>
        <w:tc>
          <w:tcPr>
            <w:tcW w:w="938" w:type="dxa"/>
            <w:tcBorders>
              <w:left w:val="single" w:color="auto" w:sz="6" w:space="0"/>
            </w:tcBorders>
            <w:vAlign w:val="center"/>
          </w:tcPr>
          <w:p w14:paraId="1FF506CF">
            <w:pPr>
              <w:jc w:val="both"/>
              <w:rPr>
                <w:rFonts w:hint="eastAsia" w:ascii="宋体" w:hAnsi="宋体" w:eastAsia="宋体" w:cs="宋体"/>
                <w:sz w:val="24"/>
                <w:szCs w:val="24"/>
              </w:rPr>
            </w:pPr>
            <w:r>
              <w:rPr>
                <w:rFonts w:hint="eastAsia" w:ascii="宋体" w:hAnsi="宋体" w:eastAsia="宋体" w:cs="宋体"/>
                <w:sz w:val="24"/>
                <w:szCs w:val="24"/>
              </w:rPr>
              <w:t>年龄</w:t>
            </w:r>
          </w:p>
        </w:tc>
        <w:tc>
          <w:tcPr>
            <w:tcW w:w="1217" w:type="dxa"/>
            <w:vAlign w:val="center"/>
          </w:tcPr>
          <w:p w14:paraId="2377D6FD">
            <w:pPr>
              <w:jc w:val="both"/>
              <w:rPr>
                <w:rFonts w:hint="eastAsia" w:ascii="宋体" w:hAnsi="宋体" w:eastAsia="宋体" w:cs="宋体"/>
                <w:sz w:val="24"/>
                <w:szCs w:val="24"/>
              </w:rPr>
            </w:pPr>
            <w:r>
              <w:rPr>
                <w:rFonts w:hint="eastAsia" w:ascii="宋体" w:hAnsi="宋体" w:eastAsia="宋体" w:cs="宋体"/>
                <w:sz w:val="24"/>
                <w:szCs w:val="24"/>
              </w:rPr>
              <w:t>资格</w:t>
            </w:r>
          </w:p>
        </w:tc>
        <w:tc>
          <w:tcPr>
            <w:tcW w:w="1338" w:type="dxa"/>
            <w:gridSpan w:val="2"/>
            <w:vAlign w:val="center"/>
          </w:tcPr>
          <w:p w14:paraId="03369BA0">
            <w:pPr>
              <w:jc w:val="both"/>
              <w:rPr>
                <w:rFonts w:hint="eastAsia" w:ascii="宋体" w:hAnsi="宋体" w:eastAsia="宋体" w:cs="宋体"/>
                <w:sz w:val="24"/>
                <w:szCs w:val="24"/>
              </w:rPr>
            </w:pPr>
            <w:r>
              <w:rPr>
                <w:rFonts w:hint="eastAsia" w:ascii="宋体" w:hAnsi="宋体" w:eastAsia="宋体" w:cs="宋体"/>
                <w:sz w:val="24"/>
                <w:szCs w:val="24"/>
              </w:rPr>
              <w:t>职称</w:t>
            </w:r>
          </w:p>
        </w:tc>
        <w:tc>
          <w:tcPr>
            <w:tcW w:w="1547" w:type="dxa"/>
            <w:gridSpan w:val="3"/>
            <w:vAlign w:val="center"/>
          </w:tcPr>
          <w:p w14:paraId="5DA4BDF0">
            <w:pPr>
              <w:jc w:val="both"/>
              <w:rPr>
                <w:rFonts w:hint="eastAsia" w:ascii="宋体" w:hAnsi="宋体" w:eastAsia="宋体" w:cs="宋体"/>
                <w:sz w:val="24"/>
                <w:szCs w:val="24"/>
              </w:rPr>
            </w:pPr>
            <w:r>
              <w:rPr>
                <w:rFonts w:hint="eastAsia" w:ascii="宋体" w:hAnsi="宋体" w:eastAsia="宋体" w:cs="宋体"/>
                <w:sz w:val="24"/>
                <w:szCs w:val="24"/>
              </w:rPr>
              <w:t>在本行业从业工作年限</w:t>
            </w:r>
          </w:p>
        </w:tc>
        <w:tc>
          <w:tcPr>
            <w:tcW w:w="1677" w:type="dxa"/>
            <w:tcBorders>
              <w:right w:val="single" w:color="auto" w:sz="2" w:space="0"/>
            </w:tcBorders>
            <w:vAlign w:val="center"/>
          </w:tcPr>
          <w:p w14:paraId="6D7F300F">
            <w:pPr>
              <w:jc w:val="both"/>
              <w:rPr>
                <w:rFonts w:hint="eastAsia" w:ascii="宋体" w:hAnsi="宋体" w:eastAsia="宋体" w:cs="宋体"/>
                <w:sz w:val="24"/>
                <w:szCs w:val="24"/>
              </w:rPr>
            </w:pPr>
            <w:r>
              <w:rPr>
                <w:rFonts w:hint="eastAsia" w:ascii="宋体" w:hAnsi="宋体" w:eastAsia="宋体" w:cs="宋体"/>
                <w:sz w:val="24"/>
                <w:szCs w:val="24"/>
              </w:rPr>
              <w:t>主要工作</w:t>
            </w:r>
          </w:p>
          <w:p w14:paraId="622C7731">
            <w:pPr>
              <w:jc w:val="both"/>
              <w:rPr>
                <w:rFonts w:hint="eastAsia" w:ascii="宋体" w:hAnsi="宋体" w:eastAsia="宋体" w:cs="宋体"/>
                <w:sz w:val="24"/>
                <w:szCs w:val="24"/>
              </w:rPr>
            </w:pPr>
            <w:r>
              <w:rPr>
                <w:rFonts w:hint="eastAsia" w:ascii="宋体" w:hAnsi="宋体" w:eastAsia="宋体" w:cs="宋体"/>
                <w:sz w:val="24"/>
                <w:szCs w:val="24"/>
              </w:rPr>
              <w:t>业绩和经历</w:t>
            </w:r>
          </w:p>
        </w:tc>
        <w:tc>
          <w:tcPr>
            <w:tcW w:w="1055" w:type="dxa"/>
            <w:gridSpan w:val="2"/>
            <w:tcBorders>
              <w:left w:val="single" w:color="auto" w:sz="2" w:space="0"/>
              <w:right w:val="single" w:color="auto" w:sz="12" w:space="0"/>
            </w:tcBorders>
            <w:vAlign w:val="center"/>
          </w:tcPr>
          <w:p w14:paraId="5804EEF4">
            <w:pPr>
              <w:jc w:val="both"/>
              <w:rPr>
                <w:rFonts w:hint="eastAsia" w:ascii="宋体" w:hAnsi="宋体" w:eastAsia="宋体" w:cs="宋体"/>
                <w:sz w:val="24"/>
                <w:szCs w:val="24"/>
              </w:rPr>
            </w:pPr>
            <w:r>
              <w:rPr>
                <w:rFonts w:hint="eastAsia" w:ascii="宋体" w:hAnsi="宋体" w:eastAsia="宋体" w:cs="宋体"/>
                <w:sz w:val="24"/>
                <w:szCs w:val="24"/>
              </w:rPr>
              <w:t>拟派</w:t>
            </w:r>
          </w:p>
          <w:p w14:paraId="540E9010">
            <w:pPr>
              <w:jc w:val="both"/>
              <w:rPr>
                <w:rFonts w:hint="eastAsia" w:ascii="宋体" w:hAnsi="宋体" w:eastAsia="宋体" w:cs="宋体"/>
                <w:sz w:val="24"/>
                <w:szCs w:val="24"/>
              </w:rPr>
            </w:pPr>
            <w:r>
              <w:rPr>
                <w:rFonts w:hint="eastAsia" w:ascii="宋体" w:hAnsi="宋体" w:eastAsia="宋体" w:cs="宋体"/>
                <w:sz w:val="24"/>
                <w:szCs w:val="24"/>
              </w:rPr>
              <w:t>分工</w:t>
            </w:r>
          </w:p>
        </w:tc>
      </w:tr>
      <w:tr w14:paraId="37D92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0D7BB8B">
            <w:pPr>
              <w:jc w:val="both"/>
              <w:rPr>
                <w:rFonts w:hint="eastAsia" w:ascii="宋体" w:hAnsi="宋体" w:eastAsia="宋体" w:cs="宋体"/>
                <w:sz w:val="24"/>
                <w:szCs w:val="24"/>
              </w:rPr>
            </w:pPr>
          </w:p>
        </w:tc>
        <w:tc>
          <w:tcPr>
            <w:tcW w:w="938" w:type="dxa"/>
            <w:tcBorders>
              <w:left w:val="single" w:color="auto" w:sz="6" w:space="0"/>
            </w:tcBorders>
            <w:vAlign w:val="center"/>
          </w:tcPr>
          <w:p w14:paraId="2C79B470">
            <w:pPr>
              <w:jc w:val="both"/>
              <w:rPr>
                <w:rFonts w:hint="eastAsia" w:ascii="宋体" w:hAnsi="宋体" w:eastAsia="宋体" w:cs="宋体"/>
                <w:sz w:val="24"/>
                <w:szCs w:val="24"/>
              </w:rPr>
            </w:pPr>
          </w:p>
        </w:tc>
        <w:tc>
          <w:tcPr>
            <w:tcW w:w="1217" w:type="dxa"/>
            <w:vAlign w:val="center"/>
          </w:tcPr>
          <w:p w14:paraId="689C3911">
            <w:pPr>
              <w:jc w:val="both"/>
              <w:rPr>
                <w:rFonts w:hint="eastAsia" w:ascii="宋体" w:hAnsi="宋体" w:eastAsia="宋体" w:cs="宋体"/>
                <w:sz w:val="24"/>
                <w:szCs w:val="24"/>
              </w:rPr>
            </w:pPr>
          </w:p>
        </w:tc>
        <w:tc>
          <w:tcPr>
            <w:tcW w:w="1338" w:type="dxa"/>
            <w:gridSpan w:val="2"/>
            <w:vAlign w:val="center"/>
          </w:tcPr>
          <w:p w14:paraId="2F84EBD2">
            <w:pPr>
              <w:jc w:val="both"/>
              <w:rPr>
                <w:rFonts w:hint="eastAsia" w:ascii="宋体" w:hAnsi="宋体" w:eastAsia="宋体" w:cs="宋体"/>
                <w:sz w:val="24"/>
                <w:szCs w:val="24"/>
              </w:rPr>
            </w:pPr>
          </w:p>
        </w:tc>
        <w:tc>
          <w:tcPr>
            <w:tcW w:w="1547" w:type="dxa"/>
            <w:gridSpan w:val="3"/>
            <w:vAlign w:val="center"/>
          </w:tcPr>
          <w:p w14:paraId="1DC3325A">
            <w:pPr>
              <w:jc w:val="both"/>
              <w:rPr>
                <w:rFonts w:hint="eastAsia" w:ascii="宋体" w:hAnsi="宋体" w:eastAsia="宋体" w:cs="宋体"/>
                <w:sz w:val="24"/>
                <w:szCs w:val="24"/>
              </w:rPr>
            </w:pPr>
          </w:p>
        </w:tc>
        <w:tc>
          <w:tcPr>
            <w:tcW w:w="1677" w:type="dxa"/>
            <w:tcBorders>
              <w:right w:val="single" w:color="auto" w:sz="2" w:space="0"/>
            </w:tcBorders>
            <w:vAlign w:val="center"/>
          </w:tcPr>
          <w:p w14:paraId="3CEF5E38">
            <w:pPr>
              <w:jc w:val="both"/>
              <w:rPr>
                <w:rFonts w:hint="eastAsia" w:ascii="宋体" w:hAnsi="宋体" w:eastAsia="宋体" w:cs="宋体"/>
                <w:sz w:val="24"/>
                <w:szCs w:val="24"/>
              </w:rPr>
            </w:pPr>
          </w:p>
        </w:tc>
        <w:tc>
          <w:tcPr>
            <w:tcW w:w="1055" w:type="dxa"/>
            <w:gridSpan w:val="2"/>
            <w:tcBorders>
              <w:left w:val="single" w:color="auto" w:sz="2" w:space="0"/>
              <w:right w:val="single" w:color="auto" w:sz="12" w:space="0"/>
            </w:tcBorders>
            <w:vAlign w:val="center"/>
          </w:tcPr>
          <w:p w14:paraId="0EF943CA">
            <w:pPr>
              <w:jc w:val="both"/>
              <w:rPr>
                <w:rFonts w:hint="eastAsia" w:ascii="宋体" w:hAnsi="宋体" w:eastAsia="宋体" w:cs="宋体"/>
                <w:sz w:val="24"/>
                <w:szCs w:val="24"/>
              </w:rPr>
            </w:pPr>
          </w:p>
        </w:tc>
      </w:tr>
      <w:tr w14:paraId="2D5E4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80CB030">
            <w:pPr>
              <w:jc w:val="both"/>
              <w:rPr>
                <w:rFonts w:hint="eastAsia" w:ascii="宋体" w:hAnsi="宋体" w:eastAsia="宋体" w:cs="宋体"/>
                <w:sz w:val="24"/>
                <w:szCs w:val="24"/>
              </w:rPr>
            </w:pPr>
          </w:p>
        </w:tc>
        <w:tc>
          <w:tcPr>
            <w:tcW w:w="938" w:type="dxa"/>
            <w:tcBorders>
              <w:left w:val="single" w:color="auto" w:sz="6" w:space="0"/>
            </w:tcBorders>
            <w:vAlign w:val="center"/>
          </w:tcPr>
          <w:p w14:paraId="6F559D24">
            <w:pPr>
              <w:jc w:val="both"/>
              <w:rPr>
                <w:rFonts w:hint="eastAsia" w:ascii="宋体" w:hAnsi="宋体" w:eastAsia="宋体" w:cs="宋体"/>
                <w:sz w:val="24"/>
                <w:szCs w:val="24"/>
              </w:rPr>
            </w:pPr>
          </w:p>
        </w:tc>
        <w:tc>
          <w:tcPr>
            <w:tcW w:w="1217" w:type="dxa"/>
            <w:vAlign w:val="center"/>
          </w:tcPr>
          <w:p w14:paraId="4A3A5213">
            <w:pPr>
              <w:jc w:val="both"/>
              <w:rPr>
                <w:rFonts w:hint="eastAsia" w:ascii="宋体" w:hAnsi="宋体" w:eastAsia="宋体" w:cs="宋体"/>
                <w:sz w:val="24"/>
                <w:szCs w:val="24"/>
              </w:rPr>
            </w:pPr>
          </w:p>
        </w:tc>
        <w:tc>
          <w:tcPr>
            <w:tcW w:w="1338" w:type="dxa"/>
            <w:gridSpan w:val="2"/>
            <w:vAlign w:val="center"/>
          </w:tcPr>
          <w:p w14:paraId="0223364D">
            <w:pPr>
              <w:jc w:val="both"/>
              <w:rPr>
                <w:rFonts w:hint="eastAsia" w:ascii="宋体" w:hAnsi="宋体" w:eastAsia="宋体" w:cs="宋体"/>
                <w:sz w:val="24"/>
                <w:szCs w:val="24"/>
              </w:rPr>
            </w:pPr>
          </w:p>
        </w:tc>
        <w:tc>
          <w:tcPr>
            <w:tcW w:w="1547" w:type="dxa"/>
            <w:gridSpan w:val="3"/>
            <w:vAlign w:val="center"/>
          </w:tcPr>
          <w:p w14:paraId="7A691E0A">
            <w:pPr>
              <w:jc w:val="both"/>
              <w:rPr>
                <w:rFonts w:hint="eastAsia" w:ascii="宋体" w:hAnsi="宋体" w:eastAsia="宋体" w:cs="宋体"/>
                <w:sz w:val="24"/>
                <w:szCs w:val="24"/>
              </w:rPr>
            </w:pPr>
          </w:p>
        </w:tc>
        <w:tc>
          <w:tcPr>
            <w:tcW w:w="1677" w:type="dxa"/>
            <w:tcBorders>
              <w:right w:val="single" w:color="auto" w:sz="2" w:space="0"/>
            </w:tcBorders>
            <w:vAlign w:val="center"/>
          </w:tcPr>
          <w:p w14:paraId="463B8555">
            <w:pPr>
              <w:jc w:val="both"/>
              <w:rPr>
                <w:rFonts w:hint="eastAsia" w:ascii="宋体" w:hAnsi="宋体" w:eastAsia="宋体" w:cs="宋体"/>
                <w:sz w:val="24"/>
                <w:szCs w:val="24"/>
              </w:rPr>
            </w:pPr>
          </w:p>
        </w:tc>
        <w:tc>
          <w:tcPr>
            <w:tcW w:w="1055" w:type="dxa"/>
            <w:gridSpan w:val="2"/>
            <w:tcBorders>
              <w:left w:val="single" w:color="auto" w:sz="2" w:space="0"/>
              <w:right w:val="single" w:color="auto" w:sz="12" w:space="0"/>
            </w:tcBorders>
            <w:vAlign w:val="center"/>
          </w:tcPr>
          <w:p w14:paraId="778AEBF1">
            <w:pPr>
              <w:jc w:val="both"/>
              <w:rPr>
                <w:rFonts w:hint="eastAsia" w:ascii="宋体" w:hAnsi="宋体" w:eastAsia="宋体" w:cs="宋体"/>
                <w:sz w:val="24"/>
                <w:szCs w:val="24"/>
              </w:rPr>
            </w:pPr>
          </w:p>
        </w:tc>
      </w:tr>
      <w:tr w14:paraId="6D88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020504C5">
            <w:pPr>
              <w:jc w:val="both"/>
              <w:rPr>
                <w:rFonts w:hint="eastAsia" w:ascii="宋体" w:hAnsi="宋体" w:eastAsia="宋体" w:cs="宋体"/>
                <w:sz w:val="24"/>
                <w:szCs w:val="24"/>
              </w:rPr>
            </w:pPr>
            <w:r>
              <w:rPr>
                <w:rFonts w:hint="eastAsia" w:ascii="宋体" w:hAnsi="宋体" w:eastAsia="宋体" w:cs="宋体"/>
                <w:sz w:val="24"/>
                <w:szCs w:val="24"/>
              </w:rPr>
              <w:t>管理人员</w:t>
            </w:r>
          </w:p>
        </w:tc>
      </w:tr>
      <w:tr w14:paraId="3E2D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38134F7">
            <w:pPr>
              <w:jc w:val="both"/>
              <w:rPr>
                <w:rFonts w:hint="eastAsia" w:ascii="宋体" w:hAnsi="宋体" w:eastAsia="宋体" w:cs="宋体"/>
                <w:sz w:val="24"/>
                <w:szCs w:val="24"/>
              </w:rPr>
            </w:pPr>
            <w:r>
              <w:rPr>
                <w:rFonts w:hint="eastAsia" w:ascii="宋体" w:hAnsi="宋体" w:eastAsia="宋体" w:cs="宋体"/>
                <w:sz w:val="24"/>
                <w:szCs w:val="24"/>
              </w:rPr>
              <w:t>姓名</w:t>
            </w:r>
          </w:p>
        </w:tc>
        <w:tc>
          <w:tcPr>
            <w:tcW w:w="938" w:type="dxa"/>
            <w:tcBorders>
              <w:left w:val="single" w:color="auto" w:sz="6" w:space="0"/>
            </w:tcBorders>
            <w:vAlign w:val="center"/>
          </w:tcPr>
          <w:p w14:paraId="4D63A074">
            <w:pPr>
              <w:jc w:val="both"/>
              <w:rPr>
                <w:rFonts w:hint="eastAsia" w:ascii="宋体" w:hAnsi="宋体" w:eastAsia="宋体" w:cs="宋体"/>
                <w:sz w:val="24"/>
                <w:szCs w:val="24"/>
              </w:rPr>
            </w:pPr>
            <w:r>
              <w:rPr>
                <w:rFonts w:hint="eastAsia" w:ascii="宋体" w:hAnsi="宋体" w:eastAsia="宋体" w:cs="宋体"/>
                <w:sz w:val="24"/>
                <w:szCs w:val="24"/>
              </w:rPr>
              <w:t>年龄</w:t>
            </w:r>
          </w:p>
        </w:tc>
        <w:tc>
          <w:tcPr>
            <w:tcW w:w="1217" w:type="dxa"/>
            <w:vAlign w:val="center"/>
          </w:tcPr>
          <w:p w14:paraId="3E8CC38F">
            <w:pPr>
              <w:jc w:val="both"/>
              <w:rPr>
                <w:rFonts w:hint="eastAsia" w:ascii="宋体" w:hAnsi="宋体" w:eastAsia="宋体" w:cs="宋体"/>
                <w:sz w:val="24"/>
                <w:szCs w:val="24"/>
              </w:rPr>
            </w:pPr>
            <w:r>
              <w:rPr>
                <w:rFonts w:hint="eastAsia" w:ascii="宋体" w:hAnsi="宋体" w:eastAsia="宋体" w:cs="宋体"/>
                <w:sz w:val="24"/>
                <w:szCs w:val="24"/>
              </w:rPr>
              <w:t>资格</w:t>
            </w:r>
          </w:p>
        </w:tc>
        <w:tc>
          <w:tcPr>
            <w:tcW w:w="1355" w:type="dxa"/>
            <w:gridSpan w:val="3"/>
            <w:vAlign w:val="center"/>
          </w:tcPr>
          <w:p w14:paraId="049E68A5">
            <w:pPr>
              <w:jc w:val="both"/>
              <w:rPr>
                <w:rFonts w:hint="eastAsia" w:ascii="宋体" w:hAnsi="宋体" w:eastAsia="宋体" w:cs="宋体"/>
                <w:sz w:val="24"/>
                <w:szCs w:val="24"/>
              </w:rPr>
            </w:pPr>
            <w:r>
              <w:rPr>
                <w:rFonts w:hint="eastAsia" w:ascii="宋体" w:hAnsi="宋体" w:eastAsia="宋体" w:cs="宋体"/>
                <w:sz w:val="24"/>
                <w:szCs w:val="24"/>
              </w:rPr>
              <w:t>职称</w:t>
            </w:r>
          </w:p>
        </w:tc>
        <w:tc>
          <w:tcPr>
            <w:tcW w:w="1530" w:type="dxa"/>
            <w:gridSpan w:val="2"/>
            <w:vAlign w:val="center"/>
          </w:tcPr>
          <w:p w14:paraId="01133BD1">
            <w:pPr>
              <w:jc w:val="both"/>
              <w:rPr>
                <w:rFonts w:hint="eastAsia" w:ascii="宋体" w:hAnsi="宋体" w:eastAsia="宋体" w:cs="宋体"/>
                <w:sz w:val="24"/>
                <w:szCs w:val="24"/>
              </w:rPr>
            </w:pPr>
            <w:r>
              <w:rPr>
                <w:rFonts w:hint="eastAsia" w:ascii="宋体" w:hAnsi="宋体" w:eastAsia="宋体" w:cs="宋体"/>
                <w:sz w:val="24"/>
                <w:szCs w:val="24"/>
              </w:rPr>
              <w:t>在本行业从业工作年限</w:t>
            </w:r>
          </w:p>
        </w:tc>
        <w:tc>
          <w:tcPr>
            <w:tcW w:w="1717" w:type="dxa"/>
            <w:gridSpan w:val="2"/>
            <w:vAlign w:val="center"/>
          </w:tcPr>
          <w:p w14:paraId="6966BCD2">
            <w:pPr>
              <w:jc w:val="both"/>
              <w:rPr>
                <w:rFonts w:hint="eastAsia" w:ascii="宋体" w:hAnsi="宋体" w:eastAsia="宋体" w:cs="宋体"/>
                <w:sz w:val="24"/>
                <w:szCs w:val="24"/>
              </w:rPr>
            </w:pPr>
            <w:r>
              <w:rPr>
                <w:rFonts w:hint="eastAsia" w:ascii="宋体" w:hAnsi="宋体" w:eastAsia="宋体" w:cs="宋体"/>
                <w:sz w:val="24"/>
                <w:szCs w:val="24"/>
              </w:rPr>
              <w:t>主要工作</w:t>
            </w:r>
          </w:p>
          <w:p w14:paraId="4F23843C">
            <w:pPr>
              <w:jc w:val="both"/>
              <w:rPr>
                <w:rFonts w:hint="eastAsia" w:ascii="宋体" w:hAnsi="宋体" w:eastAsia="宋体" w:cs="宋体"/>
                <w:sz w:val="24"/>
                <w:szCs w:val="24"/>
              </w:rPr>
            </w:pPr>
            <w:r>
              <w:rPr>
                <w:rFonts w:hint="eastAsia" w:ascii="宋体" w:hAnsi="宋体" w:eastAsia="宋体" w:cs="宋体"/>
                <w:sz w:val="24"/>
                <w:szCs w:val="24"/>
              </w:rPr>
              <w:t>业绩和经历</w:t>
            </w:r>
          </w:p>
        </w:tc>
        <w:tc>
          <w:tcPr>
            <w:tcW w:w="1015" w:type="dxa"/>
            <w:tcBorders>
              <w:right w:val="single" w:color="auto" w:sz="12" w:space="0"/>
            </w:tcBorders>
            <w:vAlign w:val="center"/>
          </w:tcPr>
          <w:p w14:paraId="5B36DA6F">
            <w:pPr>
              <w:jc w:val="both"/>
              <w:rPr>
                <w:rFonts w:hint="eastAsia" w:ascii="宋体" w:hAnsi="宋体" w:eastAsia="宋体" w:cs="宋体"/>
                <w:sz w:val="24"/>
                <w:szCs w:val="24"/>
              </w:rPr>
            </w:pPr>
            <w:r>
              <w:rPr>
                <w:rFonts w:hint="eastAsia" w:ascii="宋体" w:hAnsi="宋体" w:eastAsia="宋体" w:cs="宋体"/>
                <w:sz w:val="24"/>
                <w:szCs w:val="24"/>
              </w:rPr>
              <w:t>拟派</w:t>
            </w:r>
          </w:p>
          <w:p w14:paraId="16E1C577">
            <w:pPr>
              <w:jc w:val="both"/>
              <w:rPr>
                <w:rFonts w:hint="eastAsia" w:ascii="宋体" w:hAnsi="宋体" w:eastAsia="宋体" w:cs="宋体"/>
                <w:sz w:val="24"/>
                <w:szCs w:val="24"/>
              </w:rPr>
            </w:pPr>
            <w:r>
              <w:rPr>
                <w:rFonts w:hint="eastAsia" w:ascii="宋体" w:hAnsi="宋体" w:eastAsia="宋体" w:cs="宋体"/>
                <w:sz w:val="24"/>
                <w:szCs w:val="24"/>
              </w:rPr>
              <w:t>分工</w:t>
            </w:r>
          </w:p>
        </w:tc>
      </w:tr>
      <w:tr w14:paraId="3EDE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2ECD1DEA">
            <w:pPr>
              <w:jc w:val="both"/>
              <w:rPr>
                <w:rFonts w:hint="eastAsia" w:ascii="宋体" w:hAnsi="宋体" w:eastAsia="宋体" w:cs="宋体"/>
                <w:sz w:val="24"/>
                <w:szCs w:val="24"/>
              </w:rPr>
            </w:pPr>
          </w:p>
        </w:tc>
        <w:tc>
          <w:tcPr>
            <w:tcW w:w="938" w:type="dxa"/>
            <w:tcBorders>
              <w:left w:val="single" w:color="auto" w:sz="6" w:space="0"/>
            </w:tcBorders>
            <w:vAlign w:val="center"/>
          </w:tcPr>
          <w:p w14:paraId="21B30A06">
            <w:pPr>
              <w:jc w:val="both"/>
              <w:rPr>
                <w:rFonts w:hint="eastAsia" w:ascii="宋体" w:hAnsi="宋体" w:eastAsia="宋体" w:cs="宋体"/>
                <w:sz w:val="24"/>
                <w:szCs w:val="24"/>
              </w:rPr>
            </w:pPr>
          </w:p>
        </w:tc>
        <w:tc>
          <w:tcPr>
            <w:tcW w:w="1217" w:type="dxa"/>
            <w:vAlign w:val="center"/>
          </w:tcPr>
          <w:p w14:paraId="01455C1D">
            <w:pPr>
              <w:jc w:val="both"/>
              <w:rPr>
                <w:rFonts w:hint="eastAsia" w:ascii="宋体" w:hAnsi="宋体" w:eastAsia="宋体" w:cs="宋体"/>
                <w:sz w:val="24"/>
                <w:szCs w:val="24"/>
              </w:rPr>
            </w:pPr>
          </w:p>
        </w:tc>
        <w:tc>
          <w:tcPr>
            <w:tcW w:w="1355" w:type="dxa"/>
            <w:gridSpan w:val="3"/>
            <w:vAlign w:val="center"/>
          </w:tcPr>
          <w:p w14:paraId="653ED722">
            <w:pPr>
              <w:jc w:val="both"/>
              <w:rPr>
                <w:rFonts w:hint="eastAsia" w:ascii="宋体" w:hAnsi="宋体" w:eastAsia="宋体" w:cs="宋体"/>
                <w:sz w:val="24"/>
                <w:szCs w:val="24"/>
              </w:rPr>
            </w:pPr>
          </w:p>
        </w:tc>
        <w:tc>
          <w:tcPr>
            <w:tcW w:w="1530" w:type="dxa"/>
            <w:gridSpan w:val="2"/>
            <w:vAlign w:val="center"/>
          </w:tcPr>
          <w:p w14:paraId="7B362CA1">
            <w:pPr>
              <w:jc w:val="both"/>
              <w:rPr>
                <w:rFonts w:hint="eastAsia" w:ascii="宋体" w:hAnsi="宋体" w:eastAsia="宋体" w:cs="宋体"/>
                <w:sz w:val="24"/>
                <w:szCs w:val="24"/>
              </w:rPr>
            </w:pPr>
          </w:p>
        </w:tc>
        <w:tc>
          <w:tcPr>
            <w:tcW w:w="1717" w:type="dxa"/>
            <w:gridSpan w:val="2"/>
            <w:vAlign w:val="center"/>
          </w:tcPr>
          <w:p w14:paraId="7DAB7397">
            <w:pPr>
              <w:jc w:val="both"/>
              <w:rPr>
                <w:rFonts w:hint="eastAsia" w:ascii="宋体" w:hAnsi="宋体" w:eastAsia="宋体" w:cs="宋体"/>
                <w:sz w:val="24"/>
                <w:szCs w:val="24"/>
              </w:rPr>
            </w:pPr>
          </w:p>
        </w:tc>
        <w:tc>
          <w:tcPr>
            <w:tcW w:w="1015" w:type="dxa"/>
            <w:tcBorders>
              <w:right w:val="single" w:color="auto" w:sz="12" w:space="0"/>
            </w:tcBorders>
            <w:vAlign w:val="center"/>
          </w:tcPr>
          <w:p w14:paraId="39DC983E">
            <w:pPr>
              <w:jc w:val="both"/>
              <w:rPr>
                <w:rFonts w:hint="eastAsia" w:ascii="宋体" w:hAnsi="宋体" w:eastAsia="宋体" w:cs="宋体"/>
                <w:sz w:val="24"/>
                <w:szCs w:val="24"/>
              </w:rPr>
            </w:pPr>
          </w:p>
        </w:tc>
      </w:tr>
      <w:tr w14:paraId="7CFC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33F98A8">
            <w:pPr>
              <w:jc w:val="both"/>
              <w:rPr>
                <w:rFonts w:hint="eastAsia" w:ascii="宋体" w:hAnsi="宋体" w:eastAsia="宋体" w:cs="宋体"/>
                <w:sz w:val="24"/>
                <w:szCs w:val="24"/>
              </w:rPr>
            </w:pPr>
          </w:p>
        </w:tc>
        <w:tc>
          <w:tcPr>
            <w:tcW w:w="938" w:type="dxa"/>
            <w:tcBorders>
              <w:left w:val="single" w:color="auto" w:sz="6" w:space="0"/>
            </w:tcBorders>
            <w:vAlign w:val="center"/>
          </w:tcPr>
          <w:p w14:paraId="4963E0A8">
            <w:pPr>
              <w:jc w:val="both"/>
              <w:rPr>
                <w:rFonts w:hint="eastAsia" w:ascii="宋体" w:hAnsi="宋体" w:eastAsia="宋体" w:cs="宋体"/>
                <w:sz w:val="24"/>
                <w:szCs w:val="24"/>
              </w:rPr>
            </w:pPr>
          </w:p>
        </w:tc>
        <w:tc>
          <w:tcPr>
            <w:tcW w:w="1217" w:type="dxa"/>
            <w:vAlign w:val="center"/>
          </w:tcPr>
          <w:p w14:paraId="55BF7CC6">
            <w:pPr>
              <w:jc w:val="both"/>
              <w:rPr>
                <w:rFonts w:hint="eastAsia" w:ascii="宋体" w:hAnsi="宋体" w:eastAsia="宋体" w:cs="宋体"/>
                <w:sz w:val="24"/>
                <w:szCs w:val="24"/>
              </w:rPr>
            </w:pPr>
          </w:p>
        </w:tc>
        <w:tc>
          <w:tcPr>
            <w:tcW w:w="1355" w:type="dxa"/>
            <w:gridSpan w:val="3"/>
            <w:vAlign w:val="center"/>
          </w:tcPr>
          <w:p w14:paraId="4D1E9B86">
            <w:pPr>
              <w:jc w:val="both"/>
              <w:rPr>
                <w:rFonts w:hint="eastAsia" w:ascii="宋体" w:hAnsi="宋体" w:eastAsia="宋体" w:cs="宋体"/>
                <w:sz w:val="24"/>
                <w:szCs w:val="24"/>
              </w:rPr>
            </w:pPr>
          </w:p>
        </w:tc>
        <w:tc>
          <w:tcPr>
            <w:tcW w:w="1530" w:type="dxa"/>
            <w:gridSpan w:val="2"/>
            <w:vAlign w:val="center"/>
          </w:tcPr>
          <w:p w14:paraId="3F99E8F3">
            <w:pPr>
              <w:jc w:val="both"/>
              <w:rPr>
                <w:rFonts w:hint="eastAsia" w:ascii="宋体" w:hAnsi="宋体" w:eastAsia="宋体" w:cs="宋体"/>
                <w:sz w:val="24"/>
                <w:szCs w:val="24"/>
              </w:rPr>
            </w:pPr>
          </w:p>
        </w:tc>
        <w:tc>
          <w:tcPr>
            <w:tcW w:w="1717" w:type="dxa"/>
            <w:gridSpan w:val="2"/>
            <w:vAlign w:val="center"/>
          </w:tcPr>
          <w:p w14:paraId="13166142">
            <w:pPr>
              <w:jc w:val="both"/>
              <w:rPr>
                <w:rFonts w:hint="eastAsia" w:ascii="宋体" w:hAnsi="宋体" w:eastAsia="宋体" w:cs="宋体"/>
                <w:sz w:val="24"/>
                <w:szCs w:val="24"/>
              </w:rPr>
            </w:pPr>
          </w:p>
        </w:tc>
        <w:tc>
          <w:tcPr>
            <w:tcW w:w="1015" w:type="dxa"/>
            <w:tcBorders>
              <w:right w:val="single" w:color="auto" w:sz="12" w:space="0"/>
            </w:tcBorders>
            <w:vAlign w:val="center"/>
          </w:tcPr>
          <w:p w14:paraId="11D7CE1A">
            <w:pPr>
              <w:jc w:val="both"/>
              <w:rPr>
                <w:rFonts w:hint="eastAsia" w:ascii="宋体" w:hAnsi="宋体" w:eastAsia="宋体" w:cs="宋体"/>
                <w:sz w:val="24"/>
                <w:szCs w:val="24"/>
              </w:rPr>
            </w:pPr>
          </w:p>
        </w:tc>
      </w:tr>
      <w:tr w14:paraId="47083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26D30D60">
            <w:pPr>
              <w:jc w:val="both"/>
              <w:rPr>
                <w:rFonts w:hint="eastAsia" w:ascii="宋体" w:hAnsi="宋体" w:eastAsia="宋体" w:cs="宋体"/>
                <w:sz w:val="24"/>
                <w:szCs w:val="24"/>
              </w:rPr>
            </w:pPr>
            <w:r>
              <w:rPr>
                <w:rFonts w:hint="eastAsia" w:ascii="宋体" w:hAnsi="宋体" w:eastAsia="宋体" w:cs="宋体"/>
                <w:sz w:val="24"/>
                <w:szCs w:val="24"/>
              </w:rPr>
              <w:t>技术人员/服务人员</w:t>
            </w:r>
          </w:p>
        </w:tc>
      </w:tr>
      <w:tr w14:paraId="61C8E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C52A031">
            <w:pPr>
              <w:jc w:val="both"/>
              <w:rPr>
                <w:rFonts w:hint="eastAsia" w:ascii="宋体" w:hAnsi="宋体" w:eastAsia="宋体" w:cs="宋体"/>
                <w:sz w:val="24"/>
                <w:szCs w:val="24"/>
              </w:rPr>
            </w:pPr>
            <w:r>
              <w:rPr>
                <w:rFonts w:hint="eastAsia" w:ascii="宋体" w:hAnsi="宋体" w:eastAsia="宋体" w:cs="宋体"/>
                <w:sz w:val="24"/>
                <w:szCs w:val="24"/>
              </w:rPr>
              <w:t>姓名</w:t>
            </w:r>
          </w:p>
        </w:tc>
        <w:tc>
          <w:tcPr>
            <w:tcW w:w="938" w:type="dxa"/>
            <w:tcBorders>
              <w:left w:val="single" w:color="auto" w:sz="6" w:space="0"/>
            </w:tcBorders>
            <w:vAlign w:val="center"/>
          </w:tcPr>
          <w:p w14:paraId="4C246C19">
            <w:pPr>
              <w:jc w:val="both"/>
              <w:rPr>
                <w:rFonts w:hint="eastAsia" w:ascii="宋体" w:hAnsi="宋体" w:eastAsia="宋体" w:cs="宋体"/>
                <w:sz w:val="24"/>
                <w:szCs w:val="24"/>
              </w:rPr>
            </w:pPr>
            <w:r>
              <w:rPr>
                <w:rFonts w:hint="eastAsia" w:ascii="宋体" w:hAnsi="宋体" w:eastAsia="宋体" w:cs="宋体"/>
                <w:sz w:val="24"/>
                <w:szCs w:val="24"/>
              </w:rPr>
              <w:t>年龄</w:t>
            </w:r>
          </w:p>
        </w:tc>
        <w:tc>
          <w:tcPr>
            <w:tcW w:w="1240" w:type="dxa"/>
            <w:gridSpan w:val="2"/>
            <w:tcBorders>
              <w:right w:val="single" w:color="auto" w:sz="2" w:space="0"/>
            </w:tcBorders>
            <w:vAlign w:val="center"/>
          </w:tcPr>
          <w:p w14:paraId="41FE3E29">
            <w:pPr>
              <w:jc w:val="both"/>
              <w:rPr>
                <w:rFonts w:hint="eastAsia" w:ascii="宋体" w:hAnsi="宋体" w:eastAsia="宋体" w:cs="宋体"/>
                <w:sz w:val="24"/>
                <w:szCs w:val="24"/>
              </w:rPr>
            </w:pPr>
            <w:r>
              <w:rPr>
                <w:rFonts w:hint="eastAsia" w:ascii="宋体" w:hAnsi="宋体" w:eastAsia="宋体" w:cs="宋体"/>
                <w:sz w:val="24"/>
                <w:szCs w:val="24"/>
              </w:rPr>
              <w:t>学历</w:t>
            </w:r>
          </w:p>
        </w:tc>
        <w:tc>
          <w:tcPr>
            <w:tcW w:w="1338" w:type="dxa"/>
            <w:gridSpan w:val="3"/>
            <w:tcBorders>
              <w:left w:val="single" w:color="auto" w:sz="2" w:space="0"/>
            </w:tcBorders>
            <w:vAlign w:val="center"/>
          </w:tcPr>
          <w:p w14:paraId="085F324B">
            <w:pPr>
              <w:jc w:val="both"/>
              <w:rPr>
                <w:rFonts w:hint="eastAsia" w:ascii="宋体" w:hAnsi="宋体" w:eastAsia="宋体" w:cs="宋体"/>
                <w:sz w:val="24"/>
                <w:szCs w:val="24"/>
              </w:rPr>
            </w:pPr>
            <w:r>
              <w:rPr>
                <w:rFonts w:hint="eastAsia" w:ascii="宋体" w:hAnsi="宋体" w:eastAsia="宋体" w:cs="宋体"/>
                <w:sz w:val="24"/>
                <w:szCs w:val="24"/>
              </w:rPr>
              <w:t>职称</w:t>
            </w:r>
          </w:p>
        </w:tc>
        <w:tc>
          <w:tcPr>
            <w:tcW w:w="1524" w:type="dxa"/>
            <w:vAlign w:val="center"/>
          </w:tcPr>
          <w:p w14:paraId="530E20F8">
            <w:pPr>
              <w:jc w:val="both"/>
              <w:rPr>
                <w:rFonts w:hint="eastAsia" w:ascii="宋体" w:hAnsi="宋体" w:eastAsia="宋体" w:cs="宋体"/>
                <w:sz w:val="24"/>
                <w:szCs w:val="24"/>
              </w:rPr>
            </w:pPr>
            <w:r>
              <w:rPr>
                <w:rFonts w:hint="eastAsia" w:ascii="宋体" w:hAnsi="宋体" w:eastAsia="宋体" w:cs="宋体"/>
                <w:sz w:val="24"/>
                <w:szCs w:val="24"/>
              </w:rPr>
              <w:t>从事类似项目工作年限</w:t>
            </w:r>
          </w:p>
        </w:tc>
        <w:tc>
          <w:tcPr>
            <w:tcW w:w="1717" w:type="dxa"/>
            <w:gridSpan w:val="2"/>
            <w:vAlign w:val="center"/>
          </w:tcPr>
          <w:p w14:paraId="68888587">
            <w:pPr>
              <w:jc w:val="both"/>
              <w:rPr>
                <w:rFonts w:hint="eastAsia" w:ascii="宋体" w:hAnsi="宋体" w:eastAsia="宋体" w:cs="宋体"/>
                <w:sz w:val="24"/>
                <w:szCs w:val="24"/>
              </w:rPr>
            </w:pPr>
            <w:r>
              <w:rPr>
                <w:rFonts w:hint="eastAsia" w:ascii="宋体" w:hAnsi="宋体" w:eastAsia="宋体" w:cs="宋体"/>
                <w:sz w:val="24"/>
                <w:szCs w:val="24"/>
              </w:rPr>
              <w:t>主要工作</w:t>
            </w:r>
          </w:p>
          <w:p w14:paraId="2F765A61">
            <w:pPr>
              <w:jc w:val="both"/>
              <w:rPr>
                <w:rFonts w:hint="eastAsia" w:ascii="宋体" w:hAnsi="宋体" w:eastAsia="宋体" w:cs="宋体"/>
                <w:sz w:val="24"/>
                <w:szCs w:val="24"/>
              </w:rPr>
            </w:pPr>
            <w:r>
              <w:rPr>
                <w:rFonts w:hint="eastAsia" w:ascii="宋体" w:hAnsi="宋体" w:eastAsia="宋体" w:cs="宋体"/>
                <w:sz w:val="24"/>
                <w:szCs w:val="24"/>
              </w:rPr>
              <w:t>业绩和经历</w:t>
            </w:r>
          </w:p>
        </w:tc>
        <w:tc>
          <w:tcPr>
            <w:tcW w:w="1015" w:type="dxa"/>
            <w:tcBorders>
              <w:right w:val="single" w:color="auto" w:sz="12" w:space="0"/>
            </w:tcBorders>
            <w:vAlign w:val="center"/>
          </w:tcPr>
          <w:p w14:paraId="20321B05">
            <w:pPr>
              <w:jc w:val="both"/>
              <w:rPr>
                <w:rFonts w:hint="eastAsia" w:ascii="宋体" w:hAnsi="宋体" w:eastAsia="宋体" w:cs="宋体"/>
                <w:sz w:val="24"/>
                <w:szCs w:val="24"/>
              </w:rPr>
            </w:pPr>
            <w:r>
              <w:rPr>
                <w:rFonts w:hint="eastAsia" w:ascii="宋体" w:hAnsi="宋体" w:eastAsia="宋体" w:cs="宋体"/>
                <w:sz w:val="24"/>
                <w:szCs w:val="24"/>
              </w:rPr>
              <w:t>拟派</w:t>
            </w:r>
          </w:p>
          <w:p w14:paraId="516F26FD">
            <w:pPr>
              <w:jc w:val="both"/>
              <w:rPr>
                <w:rFonts w:hint="eastAsia" w:ascii="宋体" w:hAnsi="宋体" w:eastAsia="宋体" w:cs="宋体"/>
                <w:sz w:val="24"/>
                <w:szCs w:val="24"/>
              </w:rPr>
            </w:pPr>
            <w:r>
              <w:rPr>
                <w:rFonts w:hint="eastAsia" w:ascii="宋体" w:hAnsi="宋体" w:eastAsia="宋体" w:cs="宋体"/>
                <w:sz w:val="24"/>
                <w:szCs w:val="24"/>
              </w:rPr>
              <w:t>分工</w:t>
            </w:r>
          </w:p>
        </w:tc>
      </w:tr>
      <w:tr w14:paraId="6826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EA3CAC7">
            <w:pPr>
              <w:jc w:val="both"/>
              <w:rPr>
                <w:rFonts w:hint="eastAsia" w:ascii="宋体" w:hAnsi="宋体" w:eastAsia="宋体" w:cs="宋体"/>
                <w:sz w:val="24"/>
                <w:szCs w:val="24"/>
              </w:rPr>
            </w:pPr>
          </w:p>
        </w:tc>
        <w:tc>
          <w:tcPr>
            <w:tcW w:w="938" w:type="dxa"/>
            <w:tcBorders>
              <w:left w:val="single" w:color="auto" w:sz="6" w:space="0"/>
            </w:tcBorders>
            <w:vAlign w:val="center"/>
          </w:tcPr>
          <w:p w14:paraId="18536DED">
            <w:pPr>
              <w:jc w:val="both"/>
              <w:rPr>
                <w:rFonts w:hint="eastAsia" w:ascii="宋体" w:hAnsi="宋体" w:eastAsia="宋体" w:cs="宋体"/>
                <w:sz w:val="24"/>
                <w:szCs w:val="24"/>
              </w:rPr>
            </w:pPr>
          </w:p>
        </w:tc>
        <w:tc>
          <w:tcPr>
            <w:tcW w:w="1240" w:type="dxa"/>
            <w:gridSpan w:val="2"/>
            <w:tcBorders>
              <w:right w:val="single" w:color="auto" w:sz="2" w:space="0"/>
            </w:tcBorders>
            <w:vAlign w:val="center"/>
          </w:tcPr>
          <w:p w14:paraId="5745A350">
            <w:pPr>
              <w:jc w:val="both"/>
              <w:rPr>
                <w:rFonts w:hint="eastAsia" w:ascii="宋体" w:hAnsi="宋体" w:eastAsia="宋体" w:cs="宋体"/>
                <w:sz w:val="24"/>
                <w:szCs w:val="24"/>
              </w:rPr>
            </w:pPr>
          </w:p>
        </w:tc>
        <w:tc>
          <w:tcPr>
            <w:tcW w:w="1338" w:type="dxa"/>
            <w:gridSpan w:val="3"/>
            <w:tcBorders>
              <w:left w:val="single" w:color="auto" w:sz="2" w:space="0"/>
            </w:tcBorders>
            <w:vAlign w:val="center"/>
          </w:tcPr>
          <w:p w14:paraId="4494F452">
            <w:pPr>
              <w:jc w:val="both"/>
              <w:rPr>
                <w:rFonts w:hint="eastAsia" w:ascii="宋体" w:hAnsi="宋体" w:eastAsia="宋体" w:cs="宋体"/>
                <w:sz w:val="24"/>
                <w:szCs w:val="24"/>
              </w:rPr>
            </w:pPr>
          </w:p>
        </w:tc>
        <w:tc>
          <w:tcPr>
            <w:tcW w:w="1524" w:type="dxa"/>
            <w:vAlign w:val="center"/>
          </w:tcPr>
          <w:p w14:paraId="18CCD66D">
            <w:pPr>
              <w:jc w:val="both"/>
              <w:rPr>
                <w:rFonts w:hint="eastAsia" w:ascii="宋体" w:hAnsi="宋体" w:eastAsia="宋体" w:cs="宋体"/>
                <w:sz w:val="24"/>
                <w:szCs w:val="24"/>
              </w:rPr>
            </w:pPr>
          </w:p>
        </w:tc>
        <w:tc>
          <w:tcPr>
            <w:tcW w:w="1717" w:type="dxa"/>
            <w:gridSpan w:val="2"/>
            <w:vAlign w:val="center"/>
          </w:tcPr>
          <w:p w14:paraId="50E8B8A8">
            <w:pPr>
              <w:jc w:val="both"/>
              <w:rPr>
                <w:rFonts w:hint="eastAsia" w:ascii="宋体" w:hAnsi="宋体" w:eastAsia="宋体" w:cs="宋体"/>
                <w:sz w:val="24"/>
                <w:szCs w:val="24"/>
              </w:rPr>
            </w:pPr>
          </w:p>
        </w:tc>
        <w:tc>
          <w:tcPr>
            <w:tcW w:w="1015" w:type="dxa"/>
            <w:tcBorders>
              <w:right w:val="single" w:color="auto" w:sz="12" w:space="0"/>
            </w:tcBorders>
            <w:vAlign w:val="center"/>
          </w:tcPr>
          <w:p w14:paraId="0698CD26">
            <w:pPr>
              <w:jc w:val="both"/>
              <w:rPr>
                <w:rFonts w:hint="eastAsia" w:ascii="宋体" w:hAnsi="宋体" w:eastAsia="宋体" w:cs="宋体"/>
                <w:sz w:val="24"/>
                <w:szCs w:val="24"/>
              </w:rPr>
            </w:pPr>
          </w:p>
        </w:tc>
      </w:tr>
      <w:tr w14:paraId="71EE8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0580B60">
            <w:pPr>
              <w:jc w:val="both"/>
              <w:rPr>
                <w:rFonts w:hint="eastAsia" w:ascii="宋体" w:hAnsi="宋体" w:eastAsia="宋体" w:cs="宋体"/>
                <w:sz w:val="24"/>
                <w:szCs w:val="24"/>
              </w:rPr>
            </w:pPr>
          </w:p>
        </w:tc>
        <w:tc>
          <w:tcPr>
            <w:tcW w:w="938" w:type="dxa"/>
            <w:tcBorders>
              <w:left w:val="single" w:color="auto" w:sz="6" w:space="0"/>
            </w:tcBorders>
            <w:vAlign w:val="center"/>
          </w:tcPr>
          <w:p w14:paraId="5F0926EE">
            <w:pPr>
              <w:jc w:val="both"/>
              <w:rPr>
                <w:rFonts w:hint="eastAsia" w:ascii="宋体" w:hAnsi="宋体" w:eastAsia="宋体" w:cs="宋体"/>
                <w:sz w:val="24"/>
                <w:szCs w:val="24"/>
              </w:rPr>
            </w:pPr>
          </w:p>
        </w:tc>
        <w:tc>
          <w:tcPr>
            <w:tcW w:w="1240" w:type="dxa"/>
            <w:gridSpan w:val="2"/>
            <w:tcBorders>
              <w:right w:val="single" w:color="auto" w:sz="2" w:space="0"/>
            </w:tcBorders>
            <w:vAlign w:val="center"/>
          </w:tcPr>
          <w:p w14:paraId="6F0ED89E">
            <w:pPr>
              <w:jc w:val="both"/>
              <w:rPr>
                <w:rFonts w:hint="eastAsia" w:ascii="宋体" w:hAnsi="宋体" w:eastAsia="宋体" w:cs="宋体"/>
                <w:sz w:val="24"/>
                <w:szCs w:val="24"/>
              </w:rPr>
            </w:pPr>
          </w:p>
        </w:tc>
        <w:tc>
          <w:tcPr>
            <w:tcW w:w="1338" w:type="dxa"/>
            <w:gridSpan w:val="3"/>
            <w:tcBorders>
              <w:left w:val="single" w:color="auto" w:sz="2" w:space="0"/>
            </w:tcBorders>
            <w:vAlign w:val="center"/>
          </w:tcPr>
          <w:p w14:paraId="42354CEF">
            <w:pPr>
              <w:jc w:val="both"/>
              <w:rPr>
                <w:rFonts w:hint="eastAsia" w:ascii="宋体" w:hAnsi="宋体" w:eastAsia="宋体" w:cs="宋体"/>
                <w:sz w:val="24"/>
                <w:szCs w:val="24"/>
              </w:rPr>
            </w:pPr>
          </w:p>
        </w:tc>
        <w:tc>
          <w:tcPr>
            <w:tcW w:w="1524" w:type="dxa"/>
            <w:vAlign w:val="center"/>
          </w:tcPr>
          <w:p w14:paraId="0D15E576">
            <w:pPr>
              <w:jc w:val="both"/>
              <w:rPr>
                <w:rFonts w:hint="eastAsia" w:ascii="宋体" w:hAnsi="宋体" w:eastAsia="宋体" w:cs="宋体"/>
                <w:sz w:val="24"/>
                <w:szCs w:val="24"/>
              </w:rPr>
            </w:pPr>
          </w:p>
        </w:tc>
        <w:tc>
          <w:tcPr>
            <w:tcW w:w="1717" w:type="dxa"/>
            <w:gridSpan w:val="2"/>
            <w:vAlign w:val="center"/>
          </w:tcPr>
          <w:p w14:paraId="6D716107">
            <w:pPr>
              <w:jc w:val="both"/>
              <w:rPr>
                <w:rFonts w:hint="eastAsia" w:ascii="宋体" w:hAnsi="宋体" w:eastAsia="宋体" w:cs="宋体"/>
                <w:sz w:val="24"/>
                <w:szCs w:val="24"/>
              </w:rPr>
            </w:pPr>
          </w:p>
        </w:tc>
        <w:tc>
          <w:tcPr>
            <w:tcW w:w="1015" w:type="dxa"/>
            <w:tcBorders>
              <w:right w:val="single" w:color="auto" w:sz="12" w:space="0"/>
            </w:tcBorders>
            <w:vAlign w:val="center"/>
          </w:tcPr>
          <w:p w14:paraId="0D39E844">
            <w:pPr>
              <w:jc w:val="both"/>
              <w:rPr>
                <w:rFonts w:hint="eastAsia" w:ascii="宋体" w:hAnsi="宋体" w:eastAsia="宋体" w:cs="宋体"/>
                <w:sz w:val="24"/>
                <w:szCs w:val="24"/>
              </w:rPr>
            </w:pPr>
          </w:p>
        </w:tc>
      </w:tr>
      <w:tr w14:paraId="2107A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6C1C89C9">
            <w:pPr>
              <w:jc w:val="both"/>
              <w:rPr>
                <w:rFonts w:hint="eastAsia" w:ascii="宋体" w:hAnsi="宋体" w:eastAsia="宋体" w:cs="宋体"/>
                <w:sz w:val="24"/>
                <w:szCs w:val="24"/>
              </w:rPr>
            </w:pPr>
          </w:p>
        </w:tc>
        <w:tc>
          <w:tcPr>
            <w:tcW w:w="938" w:type="dxa"/>
            <w:tcBorders>
              <w:left w:val="single" w:color="auto" w:sz="6" w:space="0"/>
            </w:tcBorders>
            <w:vAlign w:val="center"/>
          </w:tcPr>
          <w:p w14:paraId="65372DE2">
            <w:pPr>
              <w:jc w:val="both"/>
              <w:rPr>
                <w:rFonts w:hint="eastAsia" w:ascii="宋体" w:hAnsi="宋体" w:eastAsia="宋体" w:cs="宋体"/>
                <w:sz w:val="24"/>
                <w:szCs w:val="24"/>
              </w:rPr>
            </w:pPr>
          </w:p>
        </w:tc>
        <w:tc>
          <w:tcPr>
            <w:tcW w:w="1240" w:type="dxa"/>
            <w:gridSpan w:val="2"/>
            <w:tcBorders>
              <w:right w:val="single" w:color="auto" w:sz="2" w:space="0"/>
            </w:tcBorders>
            <w:vAlign w:val="center"/>
          </w:tcPr>
          <w:p w14:paraId="22E473B4">
            <w:pPr>
              <w:jc w:val="both"/>
              <w:rPr>
                <w:rFonts w:hint="eastAsia" w:ascii="宋体" w:hAnsi="宋体" w:eastAsia="宋体" w:cs="宋体"/>
                <w:sz w:val="24"/>
                <w:szCs w:val="24"/>
              </w:rPr>
            </w:pPr>
          </w:p>
        </w:tc>
        <w:tc>
          <w:tcPr>
            <w:tcW w:w="1338" w:type="dxa"/>
            <w:gridSpan w:val="3"/>
            <w:tcBorders>
              <w:left w:val="single" w:color="auto" w:sz="2" w:space="0"/>
            </w:tcBorders>
            <w:vAlign w:val="center"/>
          </w:tcPr>
          <w:p w14:paraId="0FC4B945">
            <w:pPr>
              <w:jc w:val="both"/>
              <w:rPr>
                <w:rFonts w:hint="eastAsia" w:ascii="宋体" w:hAnsi="宋体" w:eastAsia="宋体" w:cs="宋体"/>
                <w:sz w:val="24"/>
                <w:szCs w:val="24"/>
              </w:rPr>
            </w:pPr>
          </w:p>
        </w:tc>
        <w:tc>
          <w:tcPr>
            <w:tcW w:w="1524" w:type="dxa"/>
            <w:vAlign w:val="center"/>
          </w:tcPr>
          <w:p w14:paraId="3C6B51F3">
            <w:pPr>
              <w:jc w:val="both"/>
              <w:rPr>
                <w:rFonts w:hint="eastAsia" w:ascii="宋体" w:hAnsi="宋体" w:eastAsia="宋体" w:cs="宋体"/>
                <w:sz w:val="24"/>
                <w:szCs w:val="24"/>
              </w:rPr>
            </w:pPr>
          </w:p>
        </w:tc>
        <w:tc>
          <w:tcPr>
            <w:tcW w:w="1717" w:type="dxa"/>
            <w:gridSpan w:val="2"/>
            <w:vAlign w:val="center"/>
          </w:tcPr>
          <w:p w14:paraId="205ECF04">
            <w:pPr>
              <w:jc w:val="both"/>
              <w:rPr>
                <w:rFonts w:hint="eastAsia" w:ascii="宋体" w:hAnsi="宋体" w:eastAsia="宋体" w:cs="宋体"/>
                <w:sz w:val="24"/>
                <w:szCs w:val="24"/>
              </w:rPr>
            </w:pPr>
          </w:p>
        </w:tc>
        <w:tc>
          <w:tcPr>
            <w:tcW w:w="1015" w:type="dxa"/>
            <w:tcBorders>
              <w:right w:val="single" w:color="auto" w:sz="12" w:space="0"/>
            </w:tcBorders>
            <w:vAlign w:val="center"/>
          </w:tcPr>
          <w:p w14:paraId="6D736B72">
            <w:pPr>
              <w:jc w:val="both"/>
              <w:rPr>
                <w:rFonts w:hint="eastAsia" w:ascii="宋体" w:hAnsi="宋体" w:eastAsia="宋体" w:cs="宋体"/>
                <w:sz w:val="24"/>
                <w:szCs w:val="24"/>
              </w:rPr>
            </w:pPr>
          </w:p>
        </w:tc>
      </w:tr>
    </w:tbl>
    <w:p w14:paraId="6B21A4DB">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kern w:val="2"/>
          <w:sz w:val="24"/>
          <w:szCs w:val="24"/>
          <w:lang w:val="en-US" w:eastAsia="zh-CN" w:bidi="ar-SA"/>
        </w:rPr>
      </w:pPr>
    </w:p>
    <w:p w14:paraId="1F007CA9">
      <w:pPr>
        <w:pStyle w:val="12"/>
        <w:pageBreakBefore w:val="0"/>
        <w:numPr>
          <w:ilvl w:val="0"/>
          <w:numId w:val="0"/>
        </w:numPr>
        <w:kinsoku/>
        <w:wordWrap/>
        <w:overflowPunct/>
        <w:topLinePunct w:val="0"/>
        <w:autoSpaceDE/>
        <w:autoSpaceDN/>
        <w:bidi w:val="0"/>
        <w:spacing w:line="360" w:lineRule="auto"/>
        <w:jc w:val="both"/>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注：后附佐证材料</w:t>
      </w:r>
      <w:r>
        <w:rPr>
          <w:rFonts w:hint="eastAsia" w:ascii="宋体" w:hAnsi="宋体" w:cs="宋体"/>
          <w:b/>
          <w:bCs/>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人员近3个月社保缴纳证明、职称/项目合同证明等。</w:t>
      </w:r>
    </w:p>
    <w:p w14:paraId="725E7BE2">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0AE0D9CD">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02073737">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6CAD4D21">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704080F0">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2F303560">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62682A14">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6BF4949A">
      <w:pPr>
        <w:pStyle w:val="12"/>
        <w:pageBreakBefore w:val="0"/>
        <w:numPr>
          <w:ilvl w:val="0"/>
          <w:numId w:val="0"/>
        </w:numPr>
        <w:kinsoku/>
        <w:wordWrap/>
        <w:overflowPunct/>
        <w:topLinePunct w:val="0"/>
        <w:autoSpaceDE/>
        <w:autoSpaceDN/>
        <w:bidi w:val="0"/>
        <w:spacing w:line="360" w:lineRule="auto"/>
        <w:jc w:val="center"/>
        <w:rPr>
          <w:rFonts w:hint="eastAsia" w:ascii="宋体" w:hAnsi="宋体" w:cs="宋体"/>
          <w:b/>
          <w:bCs/>
          <w:color w:val="auto"/>
          <w:sz w:val="30"/>
          <w:szCs w:val="30"/>
          <w:highlight w:val="none"/>
          <w:u w:val="none" w:color="auto"/>
          <w:lang w:val="en-US" w:eastAsia="zh-CN"/>
        </w:rPr>
      </w:pPr>
      <w:r>
        <w:rPr>
          <w:rFonts w:hint="eastAsia" w:ascii="宋体" w:hAnsi="宋体" w:eastAsia="宋体" w:cs="宋体"/>
          <w:b/>
          <w:bCs/>
          <w:color w:val="auto"/>
          <w:sz w:val="30"/>
          <w:szCs w:val="30"/>
          <w:highlight w:val="none"/>
          <w:u w:val="none" w:color="auto"/>
          <w:lang w:val="en-US" w:eastAsia="zh-CN"/>
        </w:rPr>
        <w:t>十、</w:t>
      </w:r>
      <w:r>
        <w:rPr>
          <w:rFonts w:hint="eastAsia" w:ascii="宋体" w:hAnsi="宋体" w:eastAsia="宋体" w:cs="宋体"/>
          <w:b/>
          <w:bCs/>
          <w:color w:val="auto"/>
          <w:kern w:val="0"/>
          <w:sz w:val="30"/>
          <w:szCs w:val="30"/>
          <w:highlight w:val="none"/>
          <w:lang w:val="en-US" w:eastAsia="zh-CN" w:bidi="ar"/>
        </w:rPr>
        <w:t>供应商认为有必要补充说明的事项</w:t>
      </w:r>
    </w:p>
    <w:p w14:paraId="6E10825C">
      <w:pPr>
        <w:rPr>
          <w:rFonts w:hint="default"/>
          <w:lang w:val="en-US" w:eastAsia="zh-CN"/>
        </w:rPr>
      </w:pPr>
      <w:r>
        <w:rPr>
          <w:rFonts w:hint="eastAsia" w:ascii="宋体" w:hAnsi="宋体" w:cs="宋体"/>
          <w:b/>
          <w:bCs/>
          <w:color w:val="auto"/>
          <w:sz w:val="30"/>
          <w:szCs w:val="30"/>
          <w:highlight w:val="none"/>
          <w:u w:val="none" w:color="auto"/>
          <w:lang w:val="en-US" w:eastAsia="zh-CN"/>
        </w:rPr>
        <w:t>附件：</w:t>
      </w:r>
    </w:p>
    <w:p w14:paraId="05685D44">
      <w:pPr>
        <w:pStyle w:val="5"/>
        <w:jc w:val="center"/>
        <w:rPr>
          <w:sz w:val="28"/>
          <w:szCs w:val="36"/>
        </w:rPr>
      </w:pPr>
      <w:r>
        <w:rPr>
          <w:rFonts w:hint="eastAsia"/>
          <w:sz w:val="28"/>
          <w:szCs w:val="36"/>
        </w:rPr>
        <w:t>中小企业声明函</w:t>
      </w:r>
    </w:p>
    <w:p w14:paraId="637F73F6">
      <w:pPr>
        <w:rPr>
          <w:sz w:val="20"/>
          <w:szCs w:val="22"/>
        </w:rPr>
      </w:pPr>
    </w:p>
    <w:p w14:paraId="0FCEAB3C">
      <w:pPr>
        <w:spacing w:line="560" w:lineRule="exact"/>
        <w:ind w:firstLine="480" w:firstLineChars="200"/>
        <w:jc w:val="both"/>
        <w:rPr>
          <w:rFonts w:ascii="仿宋" w:hAnsi="仿宋" w:eastAsia="仿宋"/>
          <w:sz w:val="24"/>
          <w:szCs w:val="24"/>
        </w:rPr>
      </w:pPr>
      <w:r>
        <w:rPr>
          <w:rFonts w:ascii="仿宋" w:hAnsi="仿宋" w:eastAsia="仿宋"/>
          <w:sz w:val="24"/>
          <w:szCs w:val="24"/>
        </w:rPr>
        <w:t>本公司（联合体）郑重声明，根据《政府采购促进中小企业发展管理办法》（财库〔2020〕46号）的规定，本公司参加〈项目名称〉（项目编号：〈项目编号〉）采购活动，服务全部由符合政策要求的中小企业承接。相关企业（含联合体中的中小企业、签订分包意向协议的中小企业）的具体情况如下：</w:t>
      </w:r>
    </w:p>
    <w:p w14:paraId="068BD2C0">
      <w:pPr>
        <w:spacing w:line="560" w:lineRule="exact"/>
        <w:ind w:firstLine="480" w:firstLineChars="200"/>
        <w:jc w:val="both"/>
        <w:rPr>
          <w:rFonts w:ascii="仿宋" w:hAnsi="仿宋" w:eastAsia="仿宋"/>
          <w:sz w:val="24"/>
          <w:szCs w:val="24"/>
        </w:rPr>
      </w:pPr>
      <w:r>
        <w:rPr>
          <w:rFonts w:ascii="仿宋" w:hAnsi="仿宋" w:eastAsia="仿宋"/>
          <w:sz w:val="24"/>
          <w:szCs w:val="24"/>
        </w:rPr>
        <w:t>1</w:t>
      </w:r>
      <w:r>
        <w:rPr>
          <w:rFonts w:hint="eastAsia" w:ascii="仿宋" w:hAnsi="仿宋" w:eastAsia="仿宋"/>
          <w:sz w:val="24"/>
          <w:szCs w:val="24"/>
        </w:rPr>
        <w:t>．</w:t>
      </w:r>
      <w:r>
        <w:rPr>
          <w:rFonts w:ascii="仿宋" w:hAnsi="仿宋" w:eastAsia="仿宋"/>
          <w:sz w:val="24"/>
          <w:szCs w:val="24"/>
        </w:rPr>
        <w:t>〈标的名称〉，属于〈</w:t>
      </w:r>
      <w:r>
        <w:rPr>
          <w:rFonts w:hint="eastAsia" w:ascii="仿宋" w:hAnsi="仿宋" w:eastAsia="仿宋"/>
          <w:b/>
          <w:bCs/>
          <w:sz w:val="24"/>
          <w:szCs w:val="24"/>
        </w:rPr>
        <w:t>本项目所属行业：</w:t>
      </w:r>
      <w:r>
        <w:rPr>
          <w:rFonts w:hint="eastAsia" w:ascii="宋体" w:hAnsi="宋体" w:cs="宋体"/>
          <w:color w:val="0000FF"/>
          <w:kern w:val="2"/>
          <w:sz w:val="24"/>
          <w:szCs w:val="24"/>
          <w:highlight w:val="none"/>
          <w:lang w:val="en-US" w:eastAsia="zh-CN" w:bidi="ar"/>
        </w:rPr>
        <w:t>软件和信息技术服务业</w:t>
      </w:r>
      <w:r>
        <w:rPr>
          <w:rFonts w:hint="eastAsia" w:ascii="仿宋" w:hAnsi="仿宋" w:eastAsia="仿宋"/>
          <w:b/>
          <w:bCs/>
          <w:sz w:val="24"/>
          <w:szCs w:val="24"/>
        </w:rPr>
        <w:t>（或科学研究和技术服务业</w:t>
      </w:r>
      <w:r>
        <w:rPr>
          <w:rFonts w:hint="eastAsia" w:ascii="仿宋" w:hAnsi="仿宋" w:eastAsia="仿宋"/>
          <w:b/>
          <w:bCs/>
          <w:sz w:val="24"/>
          <w:szCs w:val="24"/>
          <w:lang w:val="en-US" w:eastAsia="zh-CN"/>
        </w:rPr>
        <w:t>)</w:t>
      </w:r>
      <w:r>
        <w:rPr>
          <w:rFonts w:hint="eastAsia" w:ascii="仿宋" w:hAnsi="仿宋" w:eastAsia="仿宋"/>
          <w:b/>
          <w:bCs/>
          <w:sz w:val="24"/>
          <w:szCs w:val="24"/>
        </w:rPr>
        <w:t>—请根据实际认定填写</w:t>
      </w:r>
      <w:r>
        <w:rPr>
          <w:rFonts w:ascii="仿宋" w:hAnsi="仿宋" w:eastAsia="仿宋"/>
          <w:b/>
          <w:bCs/>
          <w:sz w:val="24"/>
          <w:szCs w:val="24"/>
        </w:rPr>
        <w:t>采购文件中明确的所属行业</w:t>
      </w:r>
      <w:r>
        <w:rPr>
          <w:rFonts w:ascii="仿宋" w:hAnsi="仿宋" w:eastAsia="仿宋"/>
          <w:sz w:val="24"/>
          <w:szCs w:val="24"/>
        </w:rPr>
        <w:t>〉；承接企业为〈企业名称〉，从业人员</w:t>
      </w:r>
      <w:r>
        <w:rPr>
          <w:rFonts w:ascii="Calibri" w:hAnsi="Calibri" w:eastAsia="仿宋" w:cs="Calibri"/>
          <w:sz w:val="24"/>
          <w:szCs w:val="24"/>
        </w:rPr>
        <w:t>      </w:t>
      </w:r>
      <w:r>
        <w:rPr>
          <w:rFonts w:ascii="仿宋" w:hAnsi="仿宋" w:eastAsia="仿宋"/>
          <w:sz w:val="24"/>
          <w:szCs w:val="24"/>
        </w:rPr>
        <w:t>人，营业收入为</w:t>
      </w:r>
      <w:r>
        <w:rPr>
          <w:rFonts w:ascii="Calibri" w:hAnsi="Calibri" w:eastAsia="仿宋" w:cs="Calibri"/>
          <w:sz w:val="24"/>
          <w:szCs w:val="24"/>
        </w:rPr>
        <w:t>      </w:t>
      </w:r>
      <w:r>
        <w:rPr>
          <w:rFonts w:ascii="仿宋" w:hAnsi="仿宋" w:eastAsia="仿宋"/>
          <w:sz w:val="24"/>
          <w:szCs w:val="24"/>
        </w:rPr>
        <w:t>万元，资产总额为</w:t>
      </w:r>
      <w:r>
        <w:rPr>
          <w:rFonts w:ascii="Calibri" w:hAnsi="Calibri" w:eastAsia="仿宋" w:cs="Calibri"/>
          <w:sz w:val="24"/>
          <w:szCs w:val="24"/>
        </w:rPr>
        <w:t>      </w:t>
      </w:r>
      <w:r>
        <w:rPr>
          <w:rFonts w:ascii="仿宋" w:hAnsi="仿宋" w:eastAsia="仿宋"/>
          <w:sz w:val="24"/>
          <w:szCs w:val="24"/>
        </w:rPr>
        <w:t>万元，属于</w:t>
      </w:r>
      <w:r>
        <w:rPr>
          <w:rFonts w:ascii="Calibri" w:hAnsi="Calibri" w:eastAsia="仿宋" w:cs="Calibri"/>
          <w:sz w:val="24"/>
          <w:szCs w:val="24"/>
        </w:rPr>
        <w:t>      </w:t>
      </w:r>
      <w:r>
        <w:rPr>
          <w:rFonts w:ascii="仿宋" w:hAnsi="仿宋" w:eastAsia="仿宋"/>
          <w:sz w:val="24"/>
          <w:szCs w:val="24"/>
        </w:rPr>
        <w:t>企业（选填中型企业、小型企业、微型企业）；</w:t>
      </w:r>
    </w:p>
    <w:p w14:paraId="3D20BAD6">
      <w:pPr>
        <w:spacing w:line="560" w:lineRule="exact"/>
        <w:ind w:firstLine="480" w:firstLineChars="200"/>
        <w:jc w:val="both"/>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w:t>
      </w:r>
      <w:r>
        <w:rPr>
          <w:rFonts w:ascii="仿宋" w:hAnsi="仿宋" w:eastAsia="仿宋"/>
          <w:sz w:val="24"/>
          <w:szCs w:val="24"/>
        </w:rPr>
        <w:t>〈标的名称〉，属于〈采购文件中明确的所属行业〉；承接企业为〈企业名称〉，从业人员</w:t>
      </w:r>
      <w:r>
        <w:rPr>
          <w:rFonts w:ascii="Calibri" w:hAnsi="Calibri" w:eastAsia="仿宋" w:cs="Calibri"/>
          <w:sz w:val="24"/>
          <w:szCs w:val="24"/>
        </w:rPr>
        <w:t>      </w:t>
      </w:r>
      <w:r>
        <w:rPr>
          <w:rFonts w:ascii="仿宋" w:hAnsi="仿宋" w:eastAsia="仿宋"/>
          <w:sz w:val="24"/>
          <w:szCs w:val="24"/>
        </w:rPr>
        <w:t>人，营业收入为</w:t>
      </w:r>
      <w:r>
        <w:rPr>
          <w:rFonts w:ascii="Calibri" w:hAnsi="Calibri" w:eastAsia="仿宋" w:cs="Calibri"/>
          <w:sz w:val="24"/>
          <w:szCs w:val="24"/>
        </w:rPr>
        <w:t>      </w:t>
      </w:r>
      <w:r>
        <w:rPr>
          <w:rFonts w:ascii="仿宋" w:hAnsi="仿宋" w:eastAsia="仿宋"/>
          <w:sz w:val="24"/>
          <w:szCs w:val="24"/>
        </w:rPr>
        <w:t>万元，资产总额为</w:t>
      </w:r>
      <w:r>
        <w:rPr>
          <w:rFonts w:ascii="Calibri" w:hAnsi="Calibri" w:eastAsia="仿宋" w:cs="Calibri"/>
          <w:sz w:val="24"/>
          <w:szCs w:val="24"/>
        </w:rPr>
        <w:t>      </w:t>
      </w:r>
      <w:r>
        <w:rPr>
          <w:rFonts w:ascii="仿宋" w:hAnsi="仿宋" w:eastAsia="仿宋"/>
          <w:sz w:val="24"/>
          <w:szCs w:val="24"/>
        </w:rPr>
        <w:t>万元，属于</w:t>
      </w:r>
      <w:r>
        <w:rPr>
          <w:rFonts w:ascii="Calibri" w:hAnsi="Calibri" w:eastAsia="仿宋" w:cs="Calibri"/>
          <w:sz w:val="24"/>
          <w:szCs w:val="24"/>
        </w:rPr>
        <w:t>      </w:t>
      </w:r>
      <w:r>
        <w:rPr>
          <w:rFonts w:ascii="仿宋" w:hAnsi="仿宋" w:eastAsia="仿宋"/>
          <w:sz w:val="24"/>
          <w:szCs w:val="24"/>
        </w:rPr>
        <w:t>企业（选填中型企业、小型企业、微型企业）；</w:t>
      </w:r>
    </w:p>
    <w:p w14:paraId="2BAC683A">
      <w:pPr>
        <w:spacing w:line="560" w:lineRule="exact"/>
        <w:ind w:firstLine="480" w:firstLineChars="200"/>
        <w:jc w:val="both"/>
        <w:rPr>
          <w:rFonts w:ascii="仿宋" w:hAnsi="仿宋" w:eastAsia="仿宋"/>
          <w:sz w:val="24"/>
          <w:szCs w:val="24"/>
        </w:rPr>
      </w:pPr>
      <w:r>
        <w:rPr>
          <w:rFonts w:ascii="仿宋" w:hAnsi="仿宋" w:eastAsia="仿宋"/>
          <w:sz w:val="24"/>
          <w:szCs w:val="24"/>
        </w:rPr>
        <w:t>……</w:t>
      </w:r>
    </w:p>
    <w:p w14:paraId="102753A9">
      <w:pPr>
        <w:spacing w:line="560" w:lineRule="exact"/>
        <w:ind w:firstLine="480" w:firstLineChars="200"/>
        <w:jc w:val="both"/>
        <w:rPr>
          <w:rFonts w:ascii="仿宋" w:hAnsi="仿宋" w:eastAsia="仿宋"/>
          <w:sz w:val="24"/>
          <w:szCs w:val="24"/>
        </w:rPr>
      </w:pPr>
      <w:r>
        <w:rPr>
          <w:rFonts w:ascii="仿宋" w:hAnsi="仿宋" w:eastAsia="仿宋"/>
          <w:sz w:val="24"/>
          <w:szCs w:val="24"/>
        </w:rPr>
        <w:t>以上企业，不属于大企业的分支机构，不存在控股股东为大企业的情形，也不存在与大企业的负责人为同一人的情形。</w:t>
      </w:r>
    </w:p>
    <w:p w14:paraId="4FC14506">
      <w:pPr>
        <w:spacing w:line="560" w:lineRule="exact"/>
        <w:ind w:firstLine="480" w:firstLineChars="200"/>
        <w:jc w:val="both"/>
        <w:rPr>
          <w:rFonts w:ascii="仿宋" w:hAnsi="仿宋" w:eastAsia="仿宋"/>
          <w:sz w:val="24"/>
          <w:szCs w:val="24"/>
        </w:rPr>
      </w:pPr>
      <w:r>
        <w:rPr>
          <w:rFonts w:ascii="仿宋" w:hAnsi="仿宋" w:eastAsia="仿宋"/>
          <w:sz w:val="24"/>
          <w:szCs w:val="24"/>
        </w:rPr>
        <w:t>本企业对上述声明内容的真实性负责。如有虚假，将依法承担相应责任。</w:t>
      </w:r>
    </w:p>
    <w:p w14:paraId="4481CDB9">
      <w:pPr>
        <w:spacing w:line="560" w:lineRule="exact"/>
        <w:ind w:firstLine="480" w:firstLineChars="200"/>
        <w:jc w:val="both"/>
        <w:rPr>
          <w:rFonts w:ascii="仿宋" w:hAnsi="仿宋" w:eastAsia="仿宋"/>
          <w:sz w:val="24"/>
          <w:szCs w:val="24"/>
        </w:rPr>
      </w:pPr>
    </w:p>
    <w:p w14:paraId="42BE042E">
      <w:pPr>
        <w:spacing w:line="560" w:lineRule="exact"/>
        <w:ind w:firstLine="2445" w:firstLineChars="1019"/>
        <w:jc w:val="both"/>
        <w:rPr>
          <w:rFonts w:ascii="仿宋" w:hAnsi="仿宋" w:eastAsia="仿宋"/>
          <w:sz w:val="24"/>
          <w:szCs w:val="24"/>
        </w:rPr>
      </w:pPr>
      <w:r>
        <w:rPr>
          <w:rFonts w:ascii="仿宋" w:hAnsi="仿宋" w:eastAsia="仿宋"/>
          <w:sz w:val="24"/>
          <w:szCs w:val="24"/>
        </w:rPr>
        <w:t>供应商：（供应商全称并加盖公章）</w:t>
      </w:r>
    </w:p>
    <w:p w14:paraId="0EB3279D">
      <w:pPr>
        <w:spacing w:line="560" w:lineRule="exact"/>
        <w:ind w:firstLine="2445" w:firstLineChars="1019"/>
        <w:jc w:val="both"/>
        <w:rPr>
          <w:rFonts w:ascii="仿宋" w:hAnsi="仿宋" w:eastAsia="仿宋"/>
          <w:sz w:val="24"/>
          <w:szCs w:val="24"/>
        </w:rPr>
      </w:pPr>
      <w:r>
        <w:rPr>
          <w:rFonts w:ascii="仿宋" w:hAnsi="仿宋" w:eastAsia="仿宋"/>
          <w:sz w:val="24"/>
          <w:szCs w:val="24"/>
        </w:rPr>
        <w:t>日  期：    年  月  日</w:t>
      </w:r>
    </w:p>
    <w:p w14:paraId="259AC5BA">
      <w:pPr>
        <w:pStyle w:val="12"/>
        <w:pageBreakBefore w:val="0"/>
        <w:numPr>
          <w:ilvl w:val="0"/>
          <w:numId w:val="0"/>
        </w:numPr>
        <w:kinsoku/>
        <w:wordWrap/>
        <w:overflowPunct/>
        <w:topLinePunct w:val="0"/>
        <w:autoSpaceDE/>
        <w:autoSpaceDN/>
        <w:bidi w:val="0"/>
        <w:spacing w:line="360" w:lineRule="auto"/>
        <w:jc w:val="both"/>
        <w:rPr>
          <w:rFonts w:hint="default"/>
          <w:color w:val="auto"/>
          <w:spacing w:val="0"/>
          <w:sz w:val="24"/>
          <w:szCs w:val="24"/>
          <w:highlight w:val="none"/>
          <w:lang w:val="en-US" w:eastAsia="zh-CN"/>
        </w:rPr>
      </w:pPr>
    </w:p>
    <w:p w14:paraId="565902DC">
      <w:pPr>
        <w:pStyle w:val="12"/>
        <w:pageBreakBefore w:val="0"/>
        <w:numPr>
          <w:ilvl w:val="0"/>
          <w:numId w:val="0"/>
        </w:numPr>
        <w:kinsoku/>
        <w:wordWrap/>
        <w:overflowPunct/>
        <w:topLinePunct w:val="0"/>
        <w:autoSpaceDE/>
        <w:autoSpaceDN/>
        <w:bidi w:val="0"/>
        <w:spacing w:line="360" w:lineRule="auto"/>
        <w:jc w:val="both"/>
        <w:rPr>
          <w:rFonts w:hint="default"/>
          <w:color w:val="auto"/>
          <w:spacing w:val="0"/>
          <w:sz w:val="24"/>
          <w:szCs w:val="24"/>
          <w:highlight w:val="none"/>
          <w:lang w:val="en-US" w:eastAsia="zh-CN"/>
        </w:rPr>
      </w:pPr>
    </w:p>
    <w:p w14:paraId="4D8078FD">
      <w:pPr>
        <w:pStyle w:val="5"/>
        <w:jc w:val="center"/>
        <w:rPr>
          <w:rFonts w:hint="eastAsia"/>
          <w:sz w:val="28"/>
          <w:szCs w:val="36"/>
        </w:rPr>
      </w:pPr>
      <w:r>
        <w:rPr>
          <w:rFonts w:hint="eastAsia"/>
          <w:sz w:val="28"/>
          <w:szCs w:val="36"/>
        </w:rPr>
        <w:t>残疾人福利性单位声明函（格式）</w:t>
      </w:r>
    </w:p>
    <w:p w14:paraId="1836D3C2"/>
    <w:p w14:paraId="54761268">
      <w:pPr>
        <w:spacing w:line="560" w:lineRule="exact"/>
        <w:ind w:firstLine="480" w:firstLineChars="200"/>
        <w:jc w:val="both"/>
        <w:rPr>
          <w:rFonts w:ascii="仿宋" w:hAnsi="仿宋" w:eastAsia="仿宋"/>
          <w:sz w:val="24"/>
          <w:szCs w:val="24"/>
        </w:rPr>
      </w:pPr>
      <w:r>
        <w:rPr>
          <w:rFonts w:ascii="仿宋" w:hAnsi="仿宋" w:eastAsia="仿宋"/>
          <w:sz w:val="24"/>
          <w:szCs w:val="24"/>
        </w:rPr>
        <w:t>本单位郑重声明，根据《财政部 民政部 中国残疾人联合会关于促进残疾人就业政府采购政策的通知》（财库〔2017〕141号）的规定，本单位为符合条件的残疾人福利性单位，且本单位参加〈项目名称〉（项目编号：〈项目编号〉）第___标段采购活动提供本单位制造的货物（由本单位承担工程/提供服务），或者提供其他残疾人福利性单位制造的货物（不包括使用非残疾人福利性单位注册商标的货物）。</w:t>
      </w:r>
    </w:p>
    <w:p w14:paraId="50AD06BB">
      <w:pPr>
        <w:spacing w:line="560" w:lineRule="exact"/>
        <w:ind w:firstLine="480" w:firstLineChars="200"/>
        <w:jc w:val="both"/>
        <w:rPr>
          <w:rFonts w:ascii="仿宋" w:hAnsi="仿宋" w:eastAsia="仿宋"/>
          <w:sz w:val="24"/>
          <w:szCs w:val="24"/>
        </w:rPr>
      </w:pPr>
      <w:r>
        <w:rPr>
          <w:rFonts w:ascii="仿宋" w:hAnsi="仿宋" w:eastAsia="仿宋"/>
          <w:sz w:val="24"/>
          <w:szCs w:val="24"/>
        </w:rPr>
        <w:t>本单位对上述声明的真实性负责。如有虚假，将依法承担相应责任。</w:t>
      </w:r>
    </w:p>
    <w:p w14:paraId="18E823CE">
      <w:pPr>
        <w:spacing w:line="560" w:lineRule="exact"/>
        <w:ind w:firstLine="480" w:firstLineChars="200"/>
        <w:jc w:val="both"/>
        <w:rPr>
          <w:rFonts w:ascii="仿宋" w:hAnsi="仿宋" w:eastAsia="仿宋"/>
          <w:sz w:val="24"/>
          <w:szCs w:val="24"/>
        </w:rPr>
      </w:pPr>
    </w:p>
    <w:p w14:paraId="1CB25095">
      <w:pPr>
        <w:spacing w:line="560" w:lineRule="exact"/>
        <w:ind w:firstLine="3120" w:firstLineChars="1300"/>
        <w:jc w:val="both"/>
        <w:rPr>
          <w:rFonts w:ascii="仿宋" w:hAnsi="仿宋" w:eastAsia="仿宋"/>
          <w:sz w:val="24"/>
          <w:szCs w:val="24"/>
        </w:rPr>
      </w:pPr>
      <w:r>
        <w:rPr>
          <w:rFonts w:ascii="仿宋" w:hAnsi="仿宋" w:eastAsia="仿宋"/>
          <w:sz w:val="24"/>
          <w:szCs w:val="24"/>
        </w:rPr>
        <w:t>供应商：（供应商全称并加盖公章）</w:t>
      </w:r>
    </w:p>
    <w:p w14:paraId="7FCA2730">
      <w:pPr>
        <w:spacing w:line="560" w:lineRule="exact"/>
        <w:ind w:firstLine="3120" w:firstLineChars="1300"/>
        <w:jc w:val="both"/>
        <w:rPr>
          <w:rFonts w:ascii="仿宋" w:hAnsi="仿宋" w:eastAsia="仿宋"/>
          <w:sz w:val="24"/>
          <w:szCs w:val="24"/>
        </w:rPr>
      </w:pPr>
      <w:r>
        <w:rPr>
          <w:rFonts w:ascii="仿宋" w:hAnsi="仿宋" w:eastAsia="仿宋"/>
          <w:sz w:val="24"/>
          <w:szCs w:val="24"/>
        </w:rPr>
        <w:t>日  期：    年  月  日</w:t>
      </w:r>
    </w:p>
    <w:p w14:paraId="094E4C16">
      <w:pPr>
        <w:spacing w:line="560" w:lineRule="exact"/>
        <w:ind w:firstLine="480" w:firstLineChars="200"/>
        <w:jc w:val="both"/>
        <w:rPr>
          <w:rFonts w:ascii="仿宋" w:hAnsi="仿宋" w:eastAsia="仿宋"/>
          <w:sz w:val="24"/>
          <w:szCs w:val="24"/>
        </w:rPr>
      </w:pPr>
      <w:r>
        <w:rPr>
          <w:rFonts w:ascii="仿宋" w:hAnsi="仿宋" w:eastAsia="仿宋"/>
          <w:sz w:val="24"/>
          <w:szCs w:val="24"/>
        </w:rPr>
        <w:br w:type="page"/>
      </w:r>
    </w:p>
    <w:p w14:paraId="4BECC1C6">
      <w:pPr>
        <w:spacing w:line="560" w:lineRule="exact"/>
        <w:ind w:firstLine="562" w:firstLineChars="200"/>
        <w:jc w:val="center"/>
        <w:rPr>
          <w:rFonts w:ascii="仿宋" w:hAnsi="仿宋" w:eastAsia="仿宋"/>
          <w:b/>
          <w:bCs/>
          <w:sz w:val="28"/>
          <w:szCs w:val="28"/>
        </w:rPr>
      </w:pPr>
      <w:r>
        <w:rPr>
          <w:rFonts w:ascii="仿宋" w:hAnsi="仿宋" w:eastAsia="仿宋"/>
          <w:b/>
          <w:bCs/>
          <w:sz w:val="28"/>
          <w:szCs w:val="28"/>
        </w:rPr>
        <w:t>监狱企业证明函</w:t>
      </w:r>
    </w:p>
    <w:p w14:paraId="54D2A072">
      <w:pPr>
        <w:spacing w:line="560" w:lineRule="exact"/>
        <w:ind w:firstLine="480" w:firstLineChars="200"/>
        <w:jc w:val="both"/>
        <w:rPr>
          <w:rFonts w:ascii="仿宋" w:hAnsi="仿宋" w:eastAsia="仿宋"/>
          <w:sz w:val="24"/>
          <w:szCs w:val="24"/>
        </w:rPr>
      </w:pPr>
      <w:r>
        <w:rPr>
          <w:rFonts w:ascii="仿宋" w:hAnsi="仿宋" w:eastAsia="仿宋"/>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621540">
      <w:pPr>
        <w:spacing w:line="560" w:lineRule="exact"/>
        <w:ind w:firstLine="480" w:firstLineChars="200"/>
        <w:jc w:val="both"/>
        <w:rPr>
          <w:rFonts w:ascii="仿宋" w:hAnsi="仿宋" w:eastAsia="仿宋"/>
          <w:sz w:val="24"/>
          <w:szCs w:val="24"/>
        </w:rPr>
      </w:pPr>
      <w:r>
        <w:rPr>
          <w:rFonts w:ascii="仿宋" w:hAnsi="仿宋" w:eastAsia="仿宋"/>
          <w:sz w:val="24"/>
          <w:szCs w:val="24"/>
        </w:rPr>
        <w:t>监狱企业参加政府采购活动时，应当提供由省级以上监狱管理局、戒毒管理局（含新疆生产建设兵团）出具的属于监狱企业的证明文件。</w:t>
      </w:r>
    </w:p>
    <w:p w14:paraId="6115F29B">
      <w:pPr>
        <w:spacing w:line="560" w:lineRule="exact"/>
        <w:jc w:val="both"/>
        <w:rPr>
          <w:rFonts w:hint="default"/>
          <w:color w:val="auto"/>
          <w:spacing w:val="0"/>
          <w:sz w:val="24"/>
          <w:szCs w:val="24"/>
          <w:highlight w:val="none"/>
          <w:lang w:val="en-US" w:eastAsia="zh-CN"/>
        </w:rPr>
      </w:pPr>
    </w:p>
    <w:p w14:paraId="7C28C0CF">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48745B17">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1A0C84D4">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3B96F024">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2C3A7F55">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6BB713A3">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3744E40D">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78E7C820">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1CFBD917">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3BE164D6">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77F97D48">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141BEDD0">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p w14:paraId="6FDDD00C">
      <w:pPr>
        <w:pStyle w:val="12"/>
        <w:pageBreakBefore w:val="0"/>
        <w:numPr>
          <w:ilvl w:val="0"/>
          <w:numId w:val="0"/>
        </w:numPr>
        <w:kinsoku/>
        <w:wordWrap/>
        <w:overflowPunct/>
        <w:topLinePunct w:val="0"/>
        <w:autoSpaceDE/>
        <w:autoSpaceDN/>
        <w:bidi w:val="0"/>
        <w:spacing w:line="360" w:lineRule="auto"/>
        <w:jc w:val="both"/>
        <w:rPr>
          <w:rFonts w:hint="default"/>
          <w:color w:val="auto"/>
          <w:spacing w:val="0"/>
          <w:highlight w:val="none"/>
          <w:lang w:val="en-US" w:eastAsia="zh-CN"/>
        </w:rPr>
      </w:pPr>
    </w:p>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B967E">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BD656">
                          <w:pPr>
                            <w:pStyle w:val="9"/>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7BD656">
                    <w:pPr>
                      <w:pStyle w:val="9"/>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2720B">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0F41DD">
                          <w:pPr>
                            <w:pStyle w:val="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40F41DD">
                    <w:pPr>
                      <w:pStyle w:val="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D14D6">
    <w:pPr>
      <w:tabs>
        <w:tab w:val="center" w:pos="4153"/>
        <w:tab w:val="right" w:pos="8306"/>
      </w:tabs>
      <w:rPr>
        <w:rFonts w:hint="eastAsia" w:ascii="宋体" w:cs="宋体"/>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143945">
                          <w:pPr>
                            <w:pStyle w:val="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4143945">
                    <w:pPr>
                      <w:pStyle w:val="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9E68A">
    <w:pPr>
      <w:pStyle w:val="10"/>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28527">
    <w:pPr>
      <w:adjustRightInd w:val="0"/>
      <w:snapToGrid w:val="0"/>
      <w:spacing w:line="360" w:lineRule="auto"/>
      <w:ind w:left="630" w:hanging="540" w:hangingChars="300"/>
      <w:jc w:val="left"/>
      <w:rPr>
        <w:rFonts w:hint="eastAsia" w:eastAsia="仿宋"/>
        <w:sz w:val="18"/>
        <w:szCs w:val="18"/>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0A4BA0"/>
    <w:multiLevelType w:val="singleLevel"/>
    <w:tmpl w:val="E60A4BA0"/>
    <w:lvl w:ilvl="0" w:tentative="0">
      <w:start w:val="1"/>
      <w:numFmt w:val="decimal"/>
      <w:lvlText w:val="%1."/>
      <w:lvlJc w:val="left"/>
      <w:pPr>
        <w:tabs>
          <w:tab w:val="left" w:pos="312"/>
        </w:tabs>
      </w:pPr>
    </w:lvl>
  </w:abstractNum>
  <w:abstractNum w:abstractNumId="1">
    <w:nsid w:val="0A14628B"/>
    <w:multiLevelType w:val="multilevel"/>
    <w:tmpl w:val="0A14628B"/>
    <w:lvl w:ilvl="0" w:tentative="0">
      <w:start w:val="1"/>
      <w:numFmt w:val="chineseCountingThousand"/>
      <w:pStyle w:val="3"/>
      <w:suff w:val="nothing"/>
      <w:lvlText w:val="第%1章"/>
      <w:lvlJc w:val="left"/>
      <w:pPr>
        <w:ind w:left="3570" w:firstLine="0"/>
      </w:pPr>
    </w:lvl>
    <w:lvl w:ilvl="1" w:tentative="0">
      <w:start w:val="1"/>
      <w:numFmt w:val="none"/>
      <w:suff w:val="nothing"/>
      <w:lvlText w:val=""/>
      <w:lvlJc w:val="left"/>
      <w:pPr>
        <w:ind w:left="1050" w:firstLine="0"/>
      </w:pPr>
    </w:lvl>
    <w:lvl w:ilvl="2" w:tentative="0">
      <w:start w:val="1"/>
      <w:numFmt w:val="none"/>
      <w:suff w:val="nothing"/>
      <w:lvlText w:val=""/>
      <w:lvlJc w:val="left"/>
      <w:pPr>
        <w:ind w:left="1050" w:firstLine="0"/>
      </w:pPr>
    </w:lvl>
    <w:lvl w:ilvl="3" w:tentative="0">
      <w:start w:val="1"/>
      <w:numFmt w:val="none"/>
      <w:suff w:val="nothing"/>
      <w:lvlText w:val=""/>
      <w:lvlJc w:val="left"/>
      <w:pPr>
        <w:ind w:left="1050" w:firstLine="0"/>
      </w:pPr>
    </w:lvl>
    <w:lvl w:ilvl="4" w:tentative="0">
      <w:start w:val="1"/>
      <w:numFmt w:val="none"/>
      <w:suff w:val="nothing"/>
      <w:lvlText w:val=""/>
      <w:lvlJc w:val="left"/>
      <w:pPr>
        <w:ind w:left="1050" w:firstLine="0"/>
      </w:pPr>
    </w:lvl>
    <w:lvl w:ilvl="5" w:tentative="0">
      <w:start w:val="1"/>
      <w:numFmt w:val="none"/>
      <w:suff w:val="nothing"/>
      <w:lvlText w:val=""/>
      <w:lvlJc w:val="left"/>
      <w:pPr>
        <w:ind w:left="1050" w:firstLine="0"/>
      </w:pPr>
    </w:lvl>
    <w:lvl w:ilvl="6" w:tentative="0">
      <w:start w:val="1"/>
      <w:numFmt w:val="none"/>
      <w:suff w:val="nothing"/>
      <w:lvlText w:val=""/>
      <w:lvlJc w:val="left"/>
      <w:pPr>
        <w:ind w:left="1050" w:firstLine="0"/>
      </w:pPr>
    </w:lvl>
    <w:lvl w:ilvl="7" w:tentative="0">
      <w:start w:val="1"/>
      <w:numFmt w:val="none"/>
      <w:suff w:val="nothing"/>
      <w:lvlText w:val=""/>
      <w:lvlJc w:val="left"/>
      <w:pPr>
        <w:ind w:left="1050" w:firstLine="0"/>
      </w:pPr>
    </w:lvl>
    <w:lvl w:ilvl="8" w:tentative="0">
      <w:start w:val="1"/>
      <w:numFmt w:val="none"/>
      <w:suff w:val="nothing"/>
      <w:lvlText w:val=""/>
      <w:lvlJc w:val="left"/>
      <w:pPr>
        <w:ind w:left="105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3YzBmYzIxN2UwNDAyMTEzOWRlNTM2MDFlMDU1ZDUifQ=="/>
  </w:docVars>
  <w:rsids>
    <w:rsidRoot w:val="00000000"/>
    <w:rsid w:val="003752C8"/>
    <w:rsid w:val="008D313A"/>
    <w:rsid w:val="00BD2612"/>
    <w:rsid w:val="013B1380"/>
    <w:rsid w:val="01727CDB"/>
    <w:rsid w:val="018F6A3E"/>
    <w:rsid w:val="0194234B"/>
    <w:rsid w:val="01A569BB"/>
    <w:rsid w:val="01F76F0D"/>
    <w:rsid w:val="021E2E49"/>
    <w:rsid w:val="030C16AD"/>
    <w:rsid w:val="03870314"/>
    <w:rsid w:val="045E3F28"/>
    <w:rsid w:val="04610B65"/>
    <w:rsid w:val="04D35DBB"/>
    <w:rsid w:val="050414F1"/>
    <w:rsid w:val="054162A1"/>
    <w:rsid w:val="055C4265"/>
    <w:rsid w:val="058F525E"/>
    <w:rsid w:val="05AD3E1F"/>
    <w:rsid w:val="073956FB"/>
    <w:rsid w:val="07442078"/>
    <w:rsid w:val="076444C8"/>
    <w:rsid w:val="077056AA"/>
    <w:rsid w:val="07852108"/>
    <w:rsid w:val="07AE2FE1"/>
    <w:rsid w:val="07BA7EBC"/>
    <w:rsid w:val="07ED44BE"/>
    <w:rsid w:val="089C0B27"/>
    <w:rsid w:val="08C13D12"/>
    <w:rsid w:val="09FC6BDF"/>
    <w:rsid w:val="0A0338DA"/>
    <w:rsid w:val="0A237AC1"/>
    <w:rsid w:val="0A6202DD"/>
    <w:rsid w:val="0AAF511C"/>
    <w:rsid w:val="0C3E178C"/>
    <w:rsid w:val="0C476893"/>
    <w:rsid w:val="0C670973"/>
    <w:rsid w:val="0CEC13A6"/>
    <w:rsid w:val="0D5F5E5E"/>
    <w:rsid w:val="0D946F68"/>
    <w:rsid w:val="0DEB03E3"/>
    <w:rsid w:val="0E2F75DE"/>
    <w:rsid w:val="0E695C3E"/>
    <w:rsid w:val="0E9F7C6D"/>
    <w:rsid w:val="0EAD043E"/>
    <w:rsid w:val="0F452EBE"/>
    <w:rsid w:val="0F5F6B50"/>
    <w:rsid w:val="0FC24FD2"/>
    <w:rsid w:val="0FFA72E8"/>
    <w:rsid w:val="1026710D"/>
    <w:rsid w:val="10521CAA"/>
    <w:rsid w:val="10FB5449"/>
    <w:rsid w:val="11160F9C"/>
    <w:rsid w:val="111E51EC"/>
    <w:rsid w:val="11595733"/>
    <w:rsid w:val="11DB7836"/>
    <w:rsid w:val="11F03528"/>
    <w:rsid w:val="1221647B"/>
    <w:rsid w:val="124C0B60"/>
    <w:rsid w:val="12544D3B"/>
    <w:rsid w:val="128C0F08"/>
    <w:rsid w:val="13646F2E"/>
    <w:rsid w:val="13713CFE"/>
    <w:rsid w:val="139D4DD9"/>
    <w:rsid w:val="13C83C09"/>
    <w:rsid w:val="14495735"/>
    <w:rsid w:val="14572CC8"/>
    <w:rsid w:val="14681A9C"/>
    <w:rsid w:val="147F2942"/>
    <w:rsid w:val="14A45597"/>
    <w:rsid w:val="14C8078D"/>
    <w:rsid w:val="14D0319D"/>
    <w:rsid w:val="16332B67"/>
    <w:rsid w:val="16353C00"/>
    <w:rsid w:val="1683656F"/>
    <w:rsid w:val="17471B86"/>
    <w:rsid w:val="17702FAF"/>
    <w:rsid w:val="17767996"/>
    <w:rsid w:val="1813407D"/>
    <w:rsid w:val="182643EE"/>
    <w:rsid w:val="18595CA5"/>
    <w:rsid w:val="18BF0CE2"/>
    <w:rsid w:val="18D53478"/>
    <w:rsid w:val="18ED2570"/>
    <w:rsid w:val="1919474E"/>
    <w:rsid w:val="192E3C16"/>
    <w:rsid w:val="1A3B37AF"/>
    <w:rsid w:val="1A5B5BFF"/>
    <w:rsid w:val="1A6E2630"/>
    <w:rsid w:val="1A7B3BAB"/>
    <w:rsid w:val="1AB1581F"/>
    <w:rsid w:val="1AFC0BA0"/>
    <w:rsid w:val="1B4F48FB"/>
    <w:rsid w:val="1BDC4D86"/>
    <w:rsid w:val="1C7E6481"/>
    <w:rsid w:val="1CE67A02"/>
    <w:rsid w:val="1D384B9B"/>
    <w:rsid w:val="1D41732E"/>
    <w:rsid w:val="1D976D8E"/>
    <w:rsid w:val="1E831280"/>
    <w:rsid w:val="1E883B95"/>
    <w:rsid w:val="1EA7635C"/>
    <w:rsid w:val="1EB34F18"/>
    <w:rsid w:val="1F204759"/>
    <w:rsid w:val="1F244811"/>
    <w:rsid w:val="1F2B3EFC"/>
    <w:rsid w:val="1FF42436"/>
    <w:rsid w:val="20036B1D"/>
    <w:rsid w:val="20562098"/>
    <w:rsid w:val="21C916A0"/>
    <w:rsid w:val="21EC7076"/>
    <w:rsid w:val="21FA0651"/>
    <w:rsid w:val="224F429B"/>
    <w:rsid w:val="22BD78BA"/>
    <w:rsid w:val="23F330BC"/>
    <w:rsid w:val="244514B2"/>
    <w:rsid w:val="25056E93"/>
    <w:rsid w:val="251B25CC"/>
    <w:rsid w:val="25202314"/>
    <w:rsid w:val="25333A00"/>
    <w:rsid w:val="257052FE"/>
    <w:rsid w:val="258C1362"/>
    <w:rsid w:val="25E42334"/>
    <w:rsid w:val="2601765A"/>
    <w:rsid w:val="26480558"/>
    <w:rsid w:val="27C546B8"/>
    <w:rsid w:val="282F0238"/>
    <w:rsid w:val="286A25B3"/>
    <w:rsid w:val="28A1336A"/>
    <w:rsid w:val="28C70E21"/>
    <w:rsid w:val="290C02F9"/>
    <w:rsid w:val="29886604"/>
    <w:rsid w:val="29E277A3"/>
    <w:rsid w:val="29F83728"/>
    <w:rsid w:val="2A1667D3"/>
    <w:rsid w:val="2A182500"/>
    <w:rsid w:val="2A71753F"/>
    <w:rsid w:val="2A7F4FF2"/>
    <w:rsid w:val="2A8B24AA"/>
    <w:rsid w:val="2B08148B"/>
    <w:rsid w:val="2B95250D"/>
    <w:rsid w:val="2BEB6DE3"/>
    <w:rsid w:val="2C713BDD"/>
    <w:rsid w:val="2C9254B0"/>
    <w:rsid w:val="2D072E83"/>
    <w:rsid w:val="2D341966"/>
    <w:rsid w:val="2DAE631A"/>
    <w:rsid w:val="2DE328CA"/>
    <w:rsid w:val="2E4C78E1"/>
    <w:rsid w:val="2EA66FF1"/>
    <w:rsid w:val="2EBD74F1"/>
    <w:rsid w:val="2EC5179C"/>
    <w:rsid w:val="2EC94BE3"/>
    <w:rsid w:val="2ECE02F6"/>
    <w:rsid w:val="2EF0730E"/>
    <w:rsid w:val="2EF40959"/>
    <w:rsid w:val="2F89665E"/>
    <w:rsid w:val="2F8B5017"/>
    <w:rsid w:val="2F914908"/>
    <w:rsid w:val="2FAF7047"/>
    <w:rsid w:val="2FDB19F5"/>
    <w:rsid w:val="2FF95846"/>
    <w:rsid w:val="30002F2C"/>
    <w:rsid w:val="303E0A30"/>
    <w:rsid w:val="3043704D"/>
    <w:rsid w:val="305C0B80"/>
    <w:rsid w:val="30C47C02"/>
    <w:rsid w:val="31413001"/>
    <w:rsid w:val="314309AE"/>
    <w:rsid w:val="31532B73"/>
    <w:rsid w:val="31E83DC4"/>
    <w:rsid w:val="32210EA9"/>
    <w:rsid w:val="323C0CD4"/>
    <w:rsid w:val="32807B59"/>
    <w:rsid w:val="32D63A96"/>
    <w:rsid w:val="340F1CAD"/>
    <w:rsid w:val="34317659"/>
    <w:rsid w:val="347250E2"/>
    <w:rsid w:val="348F6779"/>
    <w:rsid w:val="34C00E2E"/>
    <w:rsid w:val="34C53F49"/>
    <w:rsid w:val="34FB70FA"/>
    <w:rsid w:val="35485413"/>
    <w:rsid w:val="35784299"/>
    <w:rsid w:val="35843E04"/>
    <w:rsid w:val="35DA4829"/>
    <w:rsid w:val="3659618D"/>
    <w:rsid w:val="36932E53"/>
    <w:rsid w:val="36BE0D26"/>
    <w:rsid w:val="36E25E62"/>
    <w:rsid w:val="37797999"/>
    <w:rsid w:val="37981632"/>
    <w:rsid w:val="37DA7D33"/>
    <w:rsid w:val="37DC5CF3"/>
    <w:rsid w:val="37DE3C9F"/>
    <w:rsid w:val="37E1553E"/>
    <w:rsid w:val="37F25055"/>
    <w:rsid w:val="38563836"/>
    <w:rsid w:val="38657F1D"/>
    <w:rsid w:val="394F3D99"/>
    <w:rsid w:val="39605837"/>
    <w:rsid w:val="39774F2D"/>
    <w:rsid w:val="39BC591B"/>
    <w:rsid w:val="3A3A2525"/>
    <w:rsid w:val="3A461688"/>
    <w:rsid w:val="3B3836C7"/>
    <w:rsid w:val="3B9C002B"/>
    <w:rsid w:val="3BF05D4F"/>
    <w:rsid w:val="3C414BE2"/>
    <w:rsid w:val="3C47330E"/>
    <w:rsid w:val="3C597D99"/>
    <w:rsid w:val="3C5C5193"/>
    <w:rsid w:val="3D357489"/>
    <w:rsid w:val="3D766728"/>
    <w:rsid w:val="3DEB2C72"/>
    <w:rsid w:val="3E353C3E"/>
    <w:rsid w:val="3E3D2DA2"/>
    <w:rsid w:val="3E861065"/>
    <w:rsid w:val="3EF67D02"/>
    <w:rsid w:val="3F460CDA"/>
    <w:rsid w:val="3F6F1681"/>
    <w:rsid w:val="3FA3677E"/>
    <w:rsid w:val="40632F94"/>
    <w:rsid w:val="41251FF4"/>
    <w:rsid w:val="419D6C2A"/>
    <w:rsid w:val="41BB6E00"/>
    <w:rsid w:val="421F113C"/>
    <w:rsid w:val="42921769"/>
    <w:rsid w:val="42922EC4"/>
    <w:rsid w:val="42B775C7"/>
    <w:rsid w:val="437102E7"/>
    <w:rsid w:val="437367CF"/>
    <w:rsid w:val="439416B6"/>
    <w:rsid w:val="43DB5537"/>
    <w:rsid w:val="44093E52"/>
    <w:rsid w:val="4413082D"/>
    <w:rsid w:val="441B3663"/>
    <w:rsid w:val="4439564D"/>
    <w:rsid w:val="44915BF6"/>
    <w:rsid w:val="44E93C84"/>
    <w:rsid w:val="45034D45"/>
    <w:rsid w:val="45370E34"/>
    <w:rsid w:val="45390767"/>
    <w:rsid w:val="460C7E50"/>
    <w:rsid w:val="46362EF9"/>
    <w:rsid w:val="46A17493"/>
    <w:rsid w:val="471F398D"/>
    <w:rsid w:val="47411A25"/>
    <w:rsid w:val="476E0A79"/>
    <w:rsid w:val="476F792F"/>
    <w:rsid w:val="47764802"/>
    <w:rsid w:val="47FD3CCE"/>
    <w:rsid w:val="48355234"/>
    <w:rsid w:val="49635DB3"/>
    <w:rsid w:val="49836455"/>
    <w:rsid w:val="49D444F2"/>
    <w:rsid w:val="4A033835"/>
    <w:rsid w:val="4A1672C9"/>
    <w:rsid w:val="4A2C089A"/>
    <w:rsid w:val="4A370CF0"/>
    <w:rsid w:val="4A726784"/>
    <w:rsid w:val="4A82495E"/>
    <w:rsid w:val="4A8E633D"/>
    <w:rsid w:val="4AAB1213"/>
    <w:rsid w:val="4BAB3A41"/>
    <w:rsid w:val="4BB06E38"/>
    <w:rsid w:val="4CBB7CB4"/>
    <w:rsid w:val="4D0E24D9"/>
    <w:rsid w:val="4D7F0CE1"/>
    <w:rsid w:val="4D8A26F9"/>
    <w:rsid w:val="4E4D5283"/>
    <w:rsid w:val="4E865440"/>
    <w:rsid w:val="4EBD70EC"/>
    <w:rsid w:val="4F6C1846"/>
    <w:rsid w:val="4F8E6075"/>
    <w:rsid w:val="4FE65048"/>
    <w:rsid w:val="4FED3644"/>
    <w:rsid w:val="50842082"/>
    <w:rsid w:val="50F6750C"/>
    <w:rsid w:val="51387E45"/>
    <w:rsid w:val="513B0462"/>
    <w:rsid w:val="51402E7D"/>
    <w:rsid w:val="51764AF1"/>
    <w:rsid w:val="51844B18"/>
    <w:rsid w:val="519C5F16"/>
    <w:rsid w:val="52EA0D9B"/>
    <w:rsid w:val="53390DB8"/>
    <w:rsid w:val="53404312"/>
    <w:rsid w:val="54002960"/>
    <w:rsid w:val="541859EC"/>
    <w:rsid w:val="54B22423"/>
    <w:rsid w:val="553F5481"/>
    <w:rsid w:val="557F4458"/>
    <w:rsid w:val="561B5291"/>
    <w:rsid w:val="58896EB8"/>
    <w:rsid w:val="58B0715E"/>
    <w:rsid w:val="592C2E3F"/>
    <w:rsid w:val="59946F61"/>
    <w:rsid w:val="5A7871E4"/>
    <w:rsid w:val="5ADF3707"/>
    <w:rsid w:val="5AE6402F"/>
    <w:rsid w:val="5BEE2B88"/>
    <w:rsid w:val="5C4C67D3"/>
    <w:rsid w:val="5C9255F5"/>
    <w:rsid w:val="5D3B2930"/>
    <w:rsid w:val="5E2C0A11"/>
    <w:rsid w:val="5E5B4E53"/>
    <w:rsid w:val="5E7345AC"/>
    <w:rsid w:val="5F11758E"/>
    <w:rsid w:val="5FD665C0"/>
    <w:rsid w:val="5FE92C15"/>
    <w:rsid w:val="61336960"/>
    <w:rsid w:val="614A57AA"/>
    <w:rsid w:val="615D0EE2"/>
    <w:rsid w:val="61A055CE"/>
    <w:rsid w:val="620A47A1"/>
    <w:rsid w:val="62AD6F2D"/>
    <w:rsid w:val="63512CC8"/>
    <w:rsid w:val="63B15515"/>
    <w:rsid w:val="643274EB"/>
    <w:rsid w:val="65B55790"/>
    <w:rsid w:val="66342560"/>
    <w:rsid w:val="6663343E"/>
    <w:rsid w:val="66AF21DF"/>
    <w:rsid w:val="670331F2"/>
    <w:rsid w:val="67144738"/>
    <w:rsid w:val="672E57FA"/>
    <w:rsid w:val="6764121C"/>
    <w:rsid w:val="67AE157E"/>
    <w:rsid w:val="682167A1"/>
    <w:rsid w:val="68394B99"/>
    <w:rsid w:val="684C6047"/>
    <w:rsid w:val="687E0B9C"/>
    <w:rsid w:val="68F95994"/>
    <w:rsid w:val="69EE2143"/>
    <w:rsid w:val="69FF5970"/>
    <w:rsid w:val="6A162576"/>
    <w:rsid w:val="6A954071"/>
    <w:rsid w:val="6AED145B"/>
    <w:rsid w:val="6AEF29E1"/>
    <w:rsid w:val="6B120F8F"/>
    <w:rsid w:val="6B8735B1"/>
    <w:rsid w:val="6BA64D96"/>
    <w:rsid w:val="6BEF0197"/>
    <w:rsid w:val="6BF90833"/>
    <w:rsid w:val="6CF03552"/>
    <w:rsid w:val="6D172DCB"/>
    <w:rsid w:val="6DD74D2B"/>
    <w:rsid w:val="6DDD7632"/>
    <w:rsid w:val="6EC93ABC"/>
    <w:rsid w:val="6ED053E9"/>
    <w:rsid w:val="6ED536A9"/>
    <w:rsid w:val="6EE64C0C"/>
    <w:rsid w:val="6F1B2B08"/>
    <w:rsid w:val="6F2B1DBD"/>
    <w:rsid w:val="6F863CF9"/>
    <w:rsid w:val="6FC77DBD"/>
    <w:rsid w:val="7030586A"/>
    <w:rsid w:val="70512559"/>
    <w:rsid w:val="7075605B"/>
    <w:rsid w:val="70A26543"/>
    <w:rsid w:val="7155506F"/>
    <w:rsid w:val="715712B7"/>
    <w:rsid w:val="7188187E"/>
    <w:rsid w:val="71B87DCA"/>
    <w:rsid w:val="71BC6597"/>
    <w:rsid w:val="71CF1988"/>
    <w:rsid w:val="720B0EDC"/>
    <w:rsid w:val="72270001"/>
    <w:rsid w:val="724F2A91"/>
    <w:rsid w:val="72717151"/>
    <w:rsid w:val="72827967"/>
    <w:rsid w:val="72A20E4A"/>
    <w:rsid w:val="73700F48"/>
    <w:rsid w:val="73934F38"/>
    <w:rsid w:val="73B057E9"/>
    <w:rsid w:val="74235817"/>
    <w:rsid w:val="744D4DE6"/>
    <w:rsid w:val="747D427D"/>
    <w:rsid w:val="74AD42BF"/>
    <w:rsid w:val="74BF3F35"/>
    <w:rsid w:val="74D177C5"/>
    <w:rsid w:val="74D53B78"/>
    <w:rsid w:val="74E2348C"/>
    <w:rsid w:val="74E53270"/>
    <w:rsid w:val="74E7348C"/>
    <w:rsid w:val="752A52D1"/>
    <w:rsid w:val="755D3745"/>
    <w:rsid w:val="75E12860"/>
    <w:rsid w:val="76CE14D3"/>
    <w:rsid w:val="76DB6A6D"/>
    <w:rsid w:val="776E2C8C"/>
    <w:rsid w:val="778B6351"/>
    <w:rsid w:val="77F57178"/>
    <w:rsid w:val="77F8118C"/>
    <w:rsid w:val="77F90F84"/>
    <w:rsid w:val="79050385"/>
    <w:rsid w:val="79C30024"/>
    <w:rsid w:val="79FE105C"/>
    <w:rsid w:val="7A256787"/>
    <w:rsid w:val="7A81121D"/>
    <w:rsid w:val="7AAB2866"/>
    <w:rsid w:val="7B552319"/>
    <w:rsid w:val="7B79235D"/>
    <w:rsid w:val="7B8B1377"/>
    <w:rsid w:val="7BCC57B1"/>
    <w:rsid w:val="7BD003E7"/>
    <w:rsid w:val="7BE31E9E"/>
    <w:rsid w:val="7BE557F5"/>
    <w:rsid w:val="7BF02C26"/>
    <w:rsid w:val="7BFF10BB"/>
    <w:rsid w:val="7C07538D"/>
    <w:rsid w:val="7C4E5B9F"/>
    <w:rsid w:val="7CF22D22"/>
    <w:rsid w:val="7DD73E33"/>
    <w:rsid w:val="7DDC1FD2"/>
    <w:rsid w:val="7E132BFC"/>
    <w:rsid w:val="7E865AC4"/>
    <w:rsid w:val="7E9D1BEF"/>
    <w:rsid w:val="7EB33376"/>
    <w:rsid w:val="7F490BE8"/>
    <w:rsid w:val="7F7F5C7C"/>
    <w:rsid w:val="7F995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numPr>
        <w:ilvl w:val="0"/>
        <w:numId w:val="1"/>
      </w:numPr>
      <w:spacing w:line="360" w:lineRule="auto"/>
      <w:outlineLvl w:val="0"/>
    </w:pPr>
    <w:rPr>
      <w:b/>
      <w:bCs/>
      <w:kern w:val="44"/>
      <w:sz w:val="32"/>
      <w:szCs w:val="44"/>
    </w:rPr>
  </w:style>
  <w:style w:type="paragraph" w:styleId="4">
    <w:name w:val="heading 2"/>
    <w:basedOn w:val="1"/>
    <w:next w:val="1"/>
    <w:qFormat/>
    <w:uiPriority w:val="9"/>
    <w:pPr>
      <w:keepNext/>
      <w:keepLines/>
      <w:adjustRightInd w:val="0"/>
      <w:snapToGrid w:val="0"/>
      <w:spacing w:line="360" w:lineRule="auto"/>
      <w:outlineLvl w:val="1"/>
    </w:pPr>
    <w:rPr>
      <w:rFonts w:ascii="宋体" w:hAnsi="宋体"/>
    </w:rPr>
  </w:style>
  <w:style w:type="paragraph" w:styleId="5">
    <w:name w:val="heading 3"/>
    <w:basedOn w:val="1"/>
    <w:next w:val="1"/>
    <w:qFormat/>
    <w:uiPriority w:val="0"/>
    <w:pPr>
      <w:keepNext/>
      <w:keepLines/>
      <w:spacing w:line="360" w:lineRule="auto"/>
      <w:outlineLvl w:val="2"/>
    </w:pPr>
    <w:rPr>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widowControl/>
      <w:ind w:firstLine="420" w:firstLineChars="200"/>
      <w:jc w:val="left"/>
    </w:pPr>
  </w:style>
  <w:style w:type="paragraph" w:styleId="7">
    <w:name w:val="Body Text 3"/>
    <w:basedOn w:val="1"/>
    <w:qFormat/>
    <w:uiPriority w:val="0"/>
    <w:rPr>
      <w:rFonts w:ascii="宋体"/>
      <w:sz w:val="24"/>
      <w:szCs w:val="20"/>
    </w:rPr>
  </w:style>
  <w:style w:type="paragraph" w:styleId="8">
    <w:name w:val="Body Text"/>
    <w:basedOn w:val="1"/>
    <w:next w:val="1"/>
    <w:qFormat/>
    <w:uiPriority w:val="0"/>
    <w:pPr>
      <w:spacing w:after="12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Body Text 2"/>
    <w:basedOn w:val="1"/>
    <w:qFormat/>
    <w:uiPriority w:val="0"/>
    <w:pPr>
      <w:spacing w:after="120" w:afterLines="0" w:line="480" w:lineRule="auto"/>
    </w:pPr>
    <w:rPr>
      <w:rFonts w:ascii="Times New Roman" w:hAnsi="Times New Roman" w:cs="Times New Roman"/>
    </w:rPr>
  </w:style>
  <w:style w:type="paragraph" w:styleId="13">
    <w:name w:val="List Continue 2"/>
    <w:basedOn w:val="1"/>
    <w:qFormat/>
    <w:uiPriority w:val="0"/>
    <w:pPr>
      <w:spacing w:after="120"/>
      <w:ind w:left="840" w:leftChars="400"/>
    </w:pPr>
  </w:style>
  <w:style w:type="paragraph" w:styleId="14">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14"/>
      <w:szCs w:val="14"/>
      <w:lang w:val="en-US" w:eastAsia="zh-CN" w:bidi="ar"/>
    </w:rPr>
  </w:style>
  <w:style w:type="paragraph" w:styleId="15">
    <w:name w:val="Body Text First Indent"/>
    <w:basedOn w:val="1"/>
    <w:next w:val="1"/>
    <w:qFormat/>
    <w:uiPriority w:val="0"/>
    <w:pPr>
      <w:spacing w:line="360" w:lineRule="auto"/>
      <w:ind w:firstLine="420"/>
    </w:pPr>
    <w:rPr>
      <w:rFonts w:ascii="宋体" w:hAnsi="宋体"/>
      <w:sz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page number"/>
    <w:qFormat/>
    <w:uiPriority w:val="99"/>
    <w:rPr>
      <w:rFonts w:cs="Times New Roman"/>
    </w:rPr>
  </w:style>
  <w:style w:type="paragraph" w:customStyle="1" w:styleId="21">
    <w:name w:val="WPSOffice手动目录 1"/>
    <w:qFormat/>
    <w:uiPriority w:val="0"/>
    <w:pPr>
      <w:ind w:leftChars="0"/>
    </w:pPr>
    <w:rPr>
      <w:rFonts w:ascii="Times New Roman" w:hAnsi="Times New Roman" w:eastAsia="宋体" w:cs="Times New Roman"/>
      <w:sz w:val="20"/>
      <w:szCs w:val="20"/>
    </w:rPr>
  </w:style>
  <w:style w:type="paragraph" w:styleId="22">
    <w:name w:val="List Paragraph"/>
    <w:basedOn w:val="1"/>
    <w:qFormat/>
    <w:uiPriority w:val="34"/>
    <w:pPr>
      <w:ind w:firstLine="420" w:firstLineChars="200"/>
    </w:pPr>
  </w:style>
  <w:style w:type="paragraph" w:customStyle="1" w:styleId="23">
    <w:name w:val="样式 10 磅"/>
    <w:qFormat/>
    <w:uiPriority w:val="0"/>
    <w:pPr>
      <w:widowControl w:val="0"/>
      <w:jc w:val="both"/>
    </w:pPr>
    <w:rPr>
      <w:rFonts w:ascii="Calibri" w:hAnsi="Calibri" w:eastAsia="宋体" w:cs="Times New Roman"/>
      <w:kern w:val="2"/>
      <w:sz w:val="21"/>
      <w:szCs w:val="24"/>
      <w:lang w:val="en-US" w:eastAsia="zh-CN" w:bidi="ar-SA"/>
    </w:rPr>
  </w:style>
  <w:style w:type="character" w:customStyle="1" w:styleId="24">
    <w:name w:val="font11"/>
    <w:basedOn w:val="18"/>
    <w:qFormat/>
    <w:uiPriority w:val="0"/>
    <w:rPr>
      <w:rFonts w:hint="eastAsia" w:ascii="宋体" w:hAnsi="宋体" w:eastAsia="宋体" w:cs="宋体"/>
      <w:color w:val="000000"/>
      <w:sz w:val="20"/>
      <w:szCs w:val="20"/>
      <w:u w:val="none"/>
    </w:rPr>
  </w:style>
  <w:style w:type="character" w:customStyle="1" w:styleId="25">
    <w:name w:val="font21"/>
    <w:basedOn w:val="18"/>
    <w:qFormat/>
    <w:uiPriority w:val="0"/>
    <w:rPr>
      <w:rFonts w:ascii="Calibri" w:hAnsi="Calibri" w:cs="Calibri"/>
      <w:color w:val="000000"/>
      <w:sz w:val="20"/>
      <w:szCs w:val="20"/>
      <w:u w:val="none"/>
    </w:rPr>
  </w:style>
  <w:style w:type="paragraph" w:customStyle="1" w:styleId="26">
    <w:name w:val="正文缩进1"/>
    <w:basedOn w:val="1"/>
    <w:qFormat/>
    <w:uiPriority w:val="0"/>
    <w:pPr>
      <w:ind w:firstLine="420" w:firstLineChars="200"/>
    </w:pPr>
  </w:style>
  <w:style w:type="paragraph" w:customStyle="1" w:styleId="27">
    <w:name w:val="p0"/>
    <w:basedOn w:val="1"/>
    <w:qFormat/>
    <w:uiPriority w:val="0"/>
    <w:pPr>
      <w:widowControl/>
      <w:jc w:val="left"/>
    </w:pPr>
    <w:rPr>
      <w:kern w:val="0"/>
      <w:szCs w:val="21"/>
    </w:rPr>
  </w:style>
  <w:style w:type="paragraph" w:customStyle="1" w:styleId="28">
    <w:name w:val="title1"/>
    <w:basedOn w:val="1"/>
    <w:qFormat/>
    <w:uiPriority w:val="0"/>
    <w:pPr>
      <w:spacing w:before="150" w:beforeAutospacing="0" w:after="0" w:afterAutospacing="0"/>
      <w:ind w:left="0" w:right="0" w:firstLine="0"/>
      <w:jc w:val="left"/>
    </w:pPr>
    <w:rPr>
      <w:rFonts w:ascii="Times New Roman" w:hAnsi="Times New Roman" w:eastAsia="宋体" w:cs="Times New Roman"/>
      <w:b/>
      <w:kern w:val="0"/>
      <w:sz w:val="22"/>
      <w:szCs w:val="22"/>
      <w:lang w:val="en-US" w:eastAsia="zh-CN" w:bidi="ar"/>
    </w:rPr>
  </w:style>
  <w:style w:type="paragraph" w:customStyle="1" w:styleId="29">
    <w:name w:val="09正文_wh"/>
    <w:basedOn w:val="1"/>
    <w:qFormat/>
    <w:uiPriority w:val="0"/>
    <w:pPr>
      <w:keepNext w:val="0"/>
      <w:keepLines w:val="0"/>
      <w:widowControl/>
      <w:suppressLineNumbers w:val="0"/>
      <w:spacing w:before="0" w:beforeAutospacing="0" w:after="0" w:afterAutospacing="0" w:line="300" w:lineRule="auto"/>
      <w:ind w:left="0" w:right="0" w:firstLine="200" w:firstLineChars="200"/>
      <w:jc w:val="both"/>
    </w:pPr>
    <w:rPr>
      <w:rFonts w:hint="default" w:ascii="Times New Roman" w:hAnsi="Times New Roman" w:eastAsia="宋体" w:cs="Times New Roman"/>
      <w:kern w:val="0"/>
      <w:sz w:val="28"/>
      <w:szCs w:val="22"/>
      <w:lang w:val="en-US" w:eastAsia="zh-CN" w:bidi="ar"/>
    </w:rPr>
  </w:style>
  <w:style w:type="paragraph" w:customStyle="1" w:styleId="30">
    <w:name w:val="msolistparagraph"/>
    <w:basedOn w:val="1"/>
    <w:qFormat/>
    <w:uiPriority w:val="0"/>
    <w:pPr>
      <w:ind w:firstLine="420" w:firstLineChars="200"/>
    </w:pPr>
  </w:style>
  <w:style w:type="paragraph" w:customStyle="1" w:styleId="31">
    <w:name w:val="Char"/>
    <w:basedOn w:val="1"/>
    <w:next w:val="1"/>
    <w:autoRedefine/>
    <w:qFormat/>
    <w:uiPriority w:val="0"/>
    <w:rPr>
      <w:rFonts w:ascii="Tahoma" w:hAnsi="Tahoma"/>
      <w:szCs w:val="20"/>
    </w:rPr>
  </w:style>
  <w:style w:type="paragraph" w:customStyle="1" w:styleId="3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2333</Words>
  <Characters>2595</Characters>
  <Lines>0</Lines>
  <Paragraphs>0</Paragraphs>
  <TotalTime>284</TotalTime>
  <ScaleCrop>false</ScaleCrop>
  <LinksUpToDate>false</LinksUpToDate>
  <CharactersWithSpaces>2659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Jh</cp:lastModifiedBy>
  <cp:lastPrinted>2023-02-09T00:49:00Z</cp:lastPrinted>
  <dcterms:modified xsi:type="dcterms:W3CDTF">2026-06-22T09:52:27Z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2C1F521A88D34A0ABE2265C6CD20191F_13</vt:lpwstr>
  </property>
  <property fmtid="{D5CDD505-2E9C-101B-9397-08002B2CF9AE}" pid="4" name="KSOTemplateDocerSaveRecord">
    <vt:lpwstr>eyJoZGlkIjoiYTE3YzBmYzIxN2UwNDAyMTEzOWRlNTM2MDFlMDU1ZDUiLCJ1c2VySWQiOiIzMzM5NzI3NzQifQ==</vt:lpwstr>
  </property>
</Properties>
</file>