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版本号：SXHC2026-08320260514001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PCR实验室配套用电工程项目(二次)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SXHC2026-083</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PCR实验室配套用电工程项目(二次)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PCR实验室配套用电工程项目(二次)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项目主要包括PCR项目配套用电，包括电缆敷设、桥架配置、配电箱配置、断路器、空气开关、室外土建、设备安装、调试等，电缆走向需沿路径有标识。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采购包1（PCR实验室配套用电工程项目）：属于专门面向中小企业采购。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健全的财务会计制度：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p>
      <w:pPr>
        <w:pStyle w:val="null3"/>
      </w:pPr>
      <w:r>
        <w:rPr>
          <w:rFonts w:ascii="仿宋_GB2312" w:hAnsi="仿宋_GB2312" w:cs="仿宋_GB2312" w:eastAsia="仿宋_GB2312"/>
        </w:rPr>
        <w:t>4、社会保障资金缴纳证明：提供自2025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5、履行本合同所必需的设备和专业技术能力：供应商须提供具有履行合同所必需的设备和专业技术能力的承诺书。</w:t>
      </w:r>
    </w:p>
    <w:p>
      <w:pPr>
        <w:pStyle w:val="null3"/>
      </w:pPr>
      <w:r>
        <w:rPr>
          <w:rFonts w:ascii="仿宋_GB2312" w:hAnsi="仿宋_GB2312" w:cs="仿宋_GB2312" w:eastAsia="仿宋_GB2312"/>
        </w:rPr>
        <w:t>6、无重大违法记录书面声明：供应商须提供参加本次采购活动前3年内在经营活动中没有重大违法记录的书面声明。</w:t>
      </w:r>
    </w:p>
    <w:p>
      <w:pPr>
        <w:pStyle w:val="null3"/>
      </w:pPr>
      <w:r>
        <w:rPr>
          <w:rFonts w:ascii="仿宋_GB2312" w:hAnsi="仿宋_GB2312" w:cs="仿宋_GB2312" w:eastAsia="仿宋_GB2312"/>
        </w:rPr>
        <w:t>7、法定代表人/负责人身份证明或法定代表人/负责人授权书：供应商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8、企业资质：供应商具备①建筑机电安装工程专业承包二级及以上资质；②有效的安全生产许可证。</w:t>
      </w:r>
    </w:p>
    <w:p>
      <w:pPr>
        <w:pStyle w:val="null3"/>
      </w:pPr>
      <w:r>
        <w:rPr>
          <w:rFonts w:ascii="仿宋_GB2312" w:hAnsi="仿宋_GB2312" w:cs="仿宋_GB2312" w:eastAsia="仿宋_GB2312"/>
        </w:rPr>
        <w:t>9、拟派项目经理要求：项目经理具备机电工程专业二级及以上注册建造师证书，有效的安全生产考核合格证书（B证），且在本单位注册，未担任其他在建工程的项目经理（提供承诺函）。</w:t>
      </w:r>
    </w:p>
    <w:p>
      <w:pPr>
        <w:pStyle w:val="null3"/>
      </w:pPr>
      <w:r>
        <w:rPr>
          <w:rFonts w:ascii="仿宋_GB2312" w:hAnsi="仿宋_GB2312" w:cs="仿宋_GB2312" w:eastAsia="仿宋_GB2312"/>
        </w:rPr>
        <w:t>10、联合体要求：本项目不允许联合体参加。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代理服务费收费标准：1、招标代理服务费的计算方法：以成交金额为基数，参照《国家计委关于印发〈招标代理服务收费管理暂行办法〉的通知》（计价格〔2002〕1980号）规定标准下浮20%收取。 2、招标代理服务费可以采取现金、支票、银行汇票、电汇、网银等方式缴纳。 3、招标代理服务费缴纳信息：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详见磋商文件“第八章 拟签订采购合同文本”相关内容。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1,799,692.98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PCR实验室配套用电工程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标的名称：PCR实验室配套用电工程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（一）项目概况：</w:t>
            </w:r>
            <w:r>
              <w:rPr>
                <w:rFonts w:ascii="仿宋_GB2312" w:hAnsi="仿宋_GB2312" w:cs="仿宋_GB2312" w:eastAsia="仿宋_GB2312"/>
                <w:sz w:val="24"/>
              </w:rPr>
              <w:t>PCR实验室配套用电工程项目</w:t>
            </w:r>
          </w:p>
          <w:p>
            <w:pPr>
              <w:pStyle w:val="null3"/>
              <w:ind w:firstLine="480"/>
              <w:jc w:val="left"/>
            </w:pPr>
            <w:r>
              <w:rPr>
                <w:rFonts w:ascii="仿宋_GB2312" w:hAnsi="仿宋_GB2312" w:cs="仿宋_GB2312" w:eastAsia="仿宋_GB2312"/>
                <w:sz w:val="24"/>
              </w:rPr>
              <w:t>（二）工期：</w:t>
            </w:r>
            <w:r>
              <w:rPr>
                <w:rFonts w:ascii="仿宋_GB2312" w:hAnsi="仿宋_GB2312" w:cs="仿宋_GB2312" w:eastAsia="仿宋_GB2312"/>
                <w:sz w:val="24"/>
              </w:rPr>
              <w:t>30日历天内</w:t>
            </w:r>
          </w:p>
          <w:p>
            <w:pPr>
              <w:pStyle w:val="null3"/>
              <w:ind w:firstLine="480"/>
              <w:jc w:val="left"/>
            </w:pPr>
            <w:r>
              <w:rPr>
                <w:rFonts w:ascii="仿宋_GB2312" w:hAnsi="仿宋_GB2312" w:cs="仿宋_GB2312" w:eastAsia="仿宋_GB2312"/>
                <w:sz w:val="24"/>
              </w:rPr>
              <w:t>（三）工程地点：西北妇女儿童医院曲江院区</w:t>
            </w:r>
          </w:p>
          <w:p>
            <w:pPr>
              <w:pStyle w:val="null3"/>
              <w:ind w:firstLine="480"/>
              <w:jc w:val="left"/>
            </w:pPr>
            <w:r>
              <w:rPr>
                <w:rFonts w:ascii="仿宋_GB2312" w:hAnsi="仿宋_GB2312" w:cs="仿宋_GB2312" w:eastAsia="仿宋_GB2312"/>
                <w:sz w:val="24"/>
              </w:rPr>
              <w:t>（四）项目暂列金：</w:t>
            </w:r>
            <w:r>
              <w:rPr>
                <w:rFonts w:ascii="仿宋_GB2312" w:hAnsi="仿宋_GB2312" w:cs="仿宋_GB2312" w:eastAsia="仿宋_GB2312"/>
                <w:sz w:val="24"/>
              </w:rPr>
              <w:t>65000.00</w:t>
            </w:r>
            <w:r>
              <w:rPr>
                <w:rFonts w:ascii="仿宋_GB2312" w:hAnsi="仿宋_GB2312" w:cs="仿宋_GB2312" w:eastAsia="仿宋_GB2312"/>
                <w:sz w:val="24"/>
              </w:rPr>
              <w:t>元，为不可竞争费用。</w:t>
            </w:r>
          </w:p>
          <w:p>
            <w:pPr>
              <w:pStyle w:val="null3"/>
              <w:ind w:firstLine="480"/>
              <w:jc w:val="left"/>
            </w:pPr>
            <w:r>
              <w:rPr>
                <w:rFonts w:ascii="仿宋_GB2312" w:hAnsi="仿宋_GB2312" w:cs="仿宋_GB2312" w:eastAsia="仿宋_GB2312"/>
                <w:sz w:val="24"/>
              </w:rPr>
              <w:t>（五）质量标准：合格，符合国家、行业、地方规定的质量和安全标准要求。</w:t>
            </w:r>
          </w:p>
          <w:p>
            <w:pPr>
              <w:pStyle w:val="null3"/>
              <w:ind w:firstLine="480"/>
              <w:jc w:val="left"/>
            </w:pPr>
            <w:r>
              <w:rPr>
                <w:rFonts w:ascii="仿宋_GB2312" w:hAnsi="仿宋_GB2312" w:cs="仿宋_GB2312" w:eastAsia="仿宋_GB2312"/>
                <w:sz w:val="24"/>
              </w:rPr>
              <w:t>备注：凡涉及的相关规范，国家有最新标准的以最新标准为准。</w:t>
            </w:r>
          </w:p>
          <w:p>
            <w:pPr>
              <w:pStyle w:val="null3"/>
              <w:ind w:firstLine="482"/>
              <w:jc w:val="left"/>
            </w:pPr>
            <w:r>
              <w:rPr>
                <w:rFonts w:ascii="仿宋_GB2312" w:hAnsi="仿宋_GB2312" w:cs="仿宋_GB2312" w:eastAsia="仿宋_GB2312"/>
                <w:sz w:val="24"/>
                <w:b/>
              </w:rPr>
              <w:t>二、采购内容</w:t>
            </w:r>
          </w:p>
          <w:p>
            <w:pPr>
              <w:pStyle w:val="null3"/>
              <w:ind w:firstLine="480"/>
            </w:pPr>
            <w:r>
              <w:rPr>
                <w:rFonts w:ascii="仿宋_GB2312" w:hAnsi="仿宋_GB2312" w:cs="仿宋_GB2312" w:eastAsia="仿宋_GB2312"/>
                <w:sz w:val="24"/>
              </w:rPr>
              <w:t>项目主要包括</w:t>
            </w:r>
            <w:r>
              <w:rPr>
                <w:rFonts w:ascii="仿宋_GB2312" w:hAnsi="仿宋_GB2312" w:cs="仿宋_GB2312" w:eastAsia="仿宋_GB2312"/>
                <w:sz w:val="24"/>
              </w:rPr>
              <w:t>PCR项目配套用电</w:t>
            </w:r>
            <w:r>
              <w:rPr>
                <w:rFonts w:ascii="仿宋_GB2312" w:hAnsi="仿宋_GB2312" w:cs="仿宋_GB2312" w:eastAsia="仿宋_GB2312"/>
                <w:sz w:val="24"/>
              </w:rPr>
              <w:t>，</w:t>
            </w:r>
            <w:r>
              <w:rPr>
                <w:rFonts w:ascii="仿宋_GB2312" w:hAnsi="仿宋_GB2312" w:cs="仿宋_GB2312" w:eastAsia="仿宋_GB2312"/>
                <w:sz w:val="24"/>
              </w:rPr>
              <w:t>包括电缆敷设、桥架配置、配电箱配置、断路器、空气开关、室外土建、设备安装、调试等，电缆走向需沿路径有标识。</w:t>
            </w:r>
          </w:p>
          <w:p>
            <w:pPr>
              <w:pStyle w:val="null3"/>
              <w:ind w:firstLine="482"/>
              <w:jc w:val="left"/>
            </w:pPr>
            <w:r>
              <w:rPr>
                <w:rFonts w:ascii="仿宋_GB2312" w:hAnsi="仿宋_GB2312" w:cs="仿宋_GB2312" w:eastAsia="仿宋_GB2312"/>
                <w:sz w:val="24"/>
                <w:b/>
              </w:rPr>
              <w:t>三、工程量清单、图纸（详见附件）及主要设备材料表</w:t>
            </w:r>
          </w:p>
          <w:p>
            <w:pPr>
              <w:pStyle w:val="null3"/>
              <w:jc w:val="center"/>
            </w:pPr>
            <w:r>
              <w:rPr>
                <w:rFonts w:ascii="仿宋_GB2312" w:hAnsi="仿宋_GB2312" w:cs="仿宋_GB2312" w:eastAsia="仿宋_GB2312"/>
                <w:sz w:val="24"/>
                <w:b/>
              </w:rPr>
              <w:t>主要设备材料表</w:t>
            </w:r>
          </w:p>
          <w:tbl>
            <w:tblPr>
              <w:tblBorders>
                <w:top w:val="none" w:color="000000" w:sz="4"/>
                <w:left w:val="none" w:color="000000" w:sz="4"/>
                <w:bottom w:val="none" w:color="000000" w:sz="4"/>
                <w:right w:val="none" w:color="000000" w:sz="4"/>
                <w:insideH w:val="none"/>
                <w:insideV w:val="none"/>
              </w:tblBorders>
            </w:tblPr>
            <w:tblGrid>
              <w:gridCol w:w="216"/>
              <w:gridCol w:w="365"/>
              <w:gridCol w:w="965"/>
              <w:gridCol w:w="334"/>
              <w:gridCol w:w="235"/>
              <w:gridCol w:w="410"/>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型号规格</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推荐品牌</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低压电缆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WDZN-YJY-0.6/1-4x95+1x50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1279.4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远东、上上、宝胜</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低压电缆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WDZN-YJY-0.6/1-4x240+1x120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远东、上上、宝胜</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电缆桥架</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华鹏、大全、万奇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电缆桥架</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华鹏、大全、万奇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开挖排管</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MPP200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亿畅元、联塑、润星、伟星、顾地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塑壳断路器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-250A/3P  IN=225A</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塑壳断路器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-250A/3P  IN=200A</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塑壳断路器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-250A/3P  IN=160A</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塑壳断路器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-400A/3P  IN=350A</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电流互感器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200/5A 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电流互感器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400/5A 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剩余电流互感器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200A ，需满足原系统使用需求，实现与原系统无缝对接。</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剩余电流互感器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250A ，需满足原系统使用需求，实现与原系统无缝对接。</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剩余电流互感器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400A ，需满足原系统使用需求，实现与原系统无缝对接。</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铜母排</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TMY-25X3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铜母排</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TMY-40X5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配套施耐德、西门子、</w:t>
                  </w:r>
                  <w:r>
                    <w:rPr>
                      <w:rFonts w:ascii="仿宋_GB2312" w:hAnsi="仿宋_GB2312" w:cs="仿宋_GB2312" w:eastAsia="仿宋_GB2312"/>
                      <w:sz w:val="24"/>
                    </w:rPr>
                    <w:t>ABB</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电缆终端头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w:t>
                  </w:r>
                  <w:r>
                    <w:rPr>
                      <w:rFonts w:ascii="仿宋_GB2312" w:hAnsi="仿宋_GB2312" w:cs="仿宋_GB2312" w:eastAsia="仿宋_GB2312"/>
                      <w:sz w:val="24"/>
                    </w:rPr>
                    <w:t>240mm</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远东、上上、宝胜</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电缆终端头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w:t>
                  </w:r>
                  <w:r>
                    <w:rPr>
                      <w:rFonts w:ascii="仿宋_GB2312" w:hAnsi="仿宋_GB2312" w:cs="仿宋_GB2312" w:eastAsia="仿宋_GB2312"/>
                      <w:sz w:val="24"/>
                    </w:rPr>
                    <w:t>95mm</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远东、上上、宝胜</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红外成像夜视摄像头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含光电转换模块，跳线等辅材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海康威视、大华、华为</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单模</w:t>
                  </w:r>
                  <w:r>
                    <w:rPr>
                      <w:rFonts w:ascii="仿宋_GB2312" w:hAnsi="仿宋_GB2312" w:cs="仿宋_GB2312" w:eastAsia="仿宋_GB2312"/>
                      <w:sz w:val="24"/>
                    </w:rPr>
                    <w:t>4芯</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海康威视、大华、华为</w:t>
                  </w:r>
                </w:p>
              </w:tc>
            </w:tr>
            <w:tr>
              <w:tc>
                <w:tcPr>
                  <w:tcW w:type="dxa" w:w="252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备注：以上材料及品牌仅供参考，供应商需提供上述主要材料要求的同等及以上质量品牌的产品，且需与现有系统兼容。</w:t>
                  </w:r>
                </w:p>
              </w:tc>
            </w:tr>
          </w:tbl>
          <w:p>
            <w:pPr>
              <w:pStyle w:val="null3"/>
              <w:ind w:firstLine="482"/>
              <w:jc w:val="both"/>
            </w:pPr>
            <w:r>
              <w:rPr>
                <w:rFonts w:ascii="仿宋_GB2312" w:hAnsi="仿宋_GB2312" w:cs="仿宋_GB2312" w:eastAsia="仿宋_GB2312"/>
                <w:sz w:val="24"/>
                <w:b/>
              </w:rPr>
              <w:t>四、施工要求</w:t>
            </w:r>
          </w:p>
          <w:p>
            <w:pPr>
              <w:pStyle w:val="null3"/>
              <w:ind w:firstLine="480"/>
              <w:jc w:val="both"/>
            </w:pPr>
            <w:r>
              <w:rPr>
                <w:rFonts w:ascii="仿宋_GB2312" w:hAnsi="仿宋_GB2312" w:cs="仿宋_GB2312" w:eastAsia="仿宋_GB2312"/>
                <w:sz w:val="24"/>
              </w:rPr>
              <w:t>1、在施工期间，供应商必须注意院内人员安全,加强安全措施，并对施工人员进行安全教育。施工人员必须持证上岗。因采购人工作的特殊性，要求供应商在施工中做到封闭性施工。</w:t>
            </w:r>
          </w:p>
          <w:p>
            <w:pPr>
              <w:pStyle w:val="null3"/>
              <w:ind w:firstLine="480"/>
              <w:jc w:val="both"/>
            </w:pPr>
            <w:r>
              <w:rPr>
                <w:rFonts w:ascii="仿宋_GB2312" w:hAnsi="仿宋_GB2312" w:cs="仿宋_GB2312" w:eastAsia="仿宋_GB2312"/>
                <w:sz w:val="24"/>
              </w:rPr>
              <w:t>2、供应商应完成所需设备、材料的供应、运输至采购人指定地点，并按照国家相关规范完成施工安装并交付采购人验收合格。供应商应当保证所供材料的来源渠道正常，因供应商施工不善或材料使用不当发生工程事故的，责任由供应商全权负责。</w:t>
            </w:r>
          </w:p>
          <w:p>
            <w:pPr>
              <w:pStyle w:val="null3"/>
              <w:ind w:firstLine="480"/>
              <w:jc w:val="both"/>
            </w:pPr>
            <w:r>
              <w:rPr>
                <w:rFonts w:ascii="仿宋_GB2312" w:hAnsi="仿宋_GB2312" w:cs="仿宋_GB2312" w:eastAsia="仿宋_GB2312"/>
                <w:sz w:val="24"/>
              </w:rPr>
              <w:t>3、供应商应当做到文明施工，合理安排作业时间，合理降低噪音污染、粉尘污染，确保施工现场周围的正常工作与休息，按国家有关施工时间规定进行施工，施工中避免给他人带来干扰。</w:t>
            </w:r>
          </w:p>
          <w:p>
            <w:pPr>
              <w:pStyle w:val="null3"/>
              <w:ind w:firstLine="480"/>
              <w:jc w:val="both"/>
            </w:pPr>
            <w:r>
              <w:rPr>
                <w:rFonts w:ascii="仿宋_GB2312" w:hAnsi="仿宋_GB2312" w:cs="仿宋_GB2312" w:eastAsia="仿宋_GB2312"/>
                <w:sz w:val="24"/>
              </w:rPr>
              <w:t>4、根据实际需要，供应商应在工程施工实施期间进行巡查，若出现质量问题，供应商应及时对工程出现的问题进行维修，期间产生的费用由供应商承担。</w:t>
            </w:r>
          </w:p>
          <w:p>
            <w:pPr>
              <w:pStyle w:val="null3"/>
              <w:ind w:firstLine="480"/>
              <w:jc w:val="both"/>
            </w:pPr>
            <w:r>
              <w:rPr>
                <w:rFonts w:ascii="仿宋_GB2312" w:hAnsi="仿宋_GB2312" w:cs="仿宋_GB2312" w:eastAsia="仿宋_GB2312"/>
                <w:sz w:val="24"/>
              </w:rPr>
              <w:t>5、供应商负责办理建筑垃圾外运有关手续并承担所有费用，建筑垃圾日产日清。</w:t>
            </w:r>
          </w:p>
          <w:p>
            <w:pPr>
              <w:pStyle w:val="null3"/>
              <w:ind w:firstLine="480"/>
              <w:jc w:val="both"/>
            </w:pPr>
            <w:r>
              <w:rPr>
                <w:rFonts w:ascii="仿宋_GB2312" w:hAnsi="仿宋_GB2312" w:cs="仿宋_GB2312" w:eastAsia="仿宋_GB2312"/>
                <w:sz w:val="24"/>
              </w:rPr>
              <w:t>6、供应商应切实加强施工安全管理，如因措施不力造成人员伤亡或财产损失等一切事故，供应商负全责并承担所有费用。</w:t>
            </w:r>
          </w:p>
          <w:p>
            <w:pPr>
              <w:pStyle w:val="null3"/>
              <w:ind w:firstLine="480"/>
              <w:jc w:val="both"/>
            </w:pPr>
            <w:r>
              <w:rPr>
                <w:rFonts w:ascii="仿宋_GB2312" w:hAnsi="仿宋_GB2312" w:cs="仿宋_GB2312" w:eastAsia="仿宋_GB2312"/>
                <w:sz w:val="24"/>
              </w:rPr>
              <w:t>7、工程实施完全符合合同规定的技术、方案、质量、规格、材质等要求。因供应商原因工程质量达不到约定的质量标准，供应商承担违约责任。</w:t>
            </w:r>
          </w:p>
          <w:p>
            <w:pPr>
              <w:pStyle w:val="null3"/>
              <w:ind w:firstLine="480"/>
              <w:jc w:val="both"/>
            </w:pPr>
            <w:r>
              <w:rPr>
                <w:rFonts w:ascii="仿宋_GB2312" w:hAnsi="仿宋_GB2312" w:cs="仿宋_GB2312" w:eastAsia="仿宋_GB2312"/>
                <w:sz w:val="24"/>
              </w:rPr>
              <w:t>五、其它需要说明的事项</w:t>
            </w:r>
          </w:p>
          <w:p>
            <w:pPr>
              <w:pStyle w:val="null3"/>
              <w:ind w:firstLine="480"/>
              <w:jc w:val="both"/>
            </w:pPr>
            <w:r>
              <w:rPr>
                <w:rFonts w:ascii="仿宋_GB2312" w:hAnsi="仿宋_GB2312" w:cs="仿宋_GB2312" w:eastAsia="仿宋_GB2312"/>
                <w:sz w:val="24"/>
              </w:rPr>
              <w:t>1、付款方式：银行转账、分期付款。支付方式：工程竣工验收合格结算审计完毕，供应商提供审定后的符合税法规定的全额增值税发票，采购人支付工程审定金额97%，剩余3％待缺陷责任期（2年）满后无息支付。（因系统格式设置，合同款项支付内容以此项描述内容为准）</w:t>
            </w:r>
          </w:p>
          <w:p>
            <w:pPr>
              <w:pStyle w:val="null3"/>
              <w:ind w:firstLine="480"/>
              <w:jc w:val="both"/>
            </w:pPr>
            <w:r>
              <w:rPr>
                <w:rFonts w:ascii="仿宋_GB2312" w:hAnsi="仿宋_GB2312" w:cs="仿宋_GB2312" w:eastAsia="仿宋_GB2312"/>
                <w:sz w:val="24"/>
              </w:rPr>
              <w:t>2、项目缺陷责任期：2年，项目缺陷责任期从项目验收合格完成之日起算，内容为由供应商负责的本工程全部质量问题。响应时间为正常工作日2小时内答复，12小时内到现场处理。节假日及法定休息日6小时内答复，24小时内到现场处理。</w:t>
            </w:r>
          </w:p>
          <w:p>
            <w:pPr>
              <w:pStyle w:val="null3"/>
            </w:pPr>
            <w:r>
              <w:rPr>
                <w:rFonts w:ascii="仿宋_GB2312" w:hAnsi="仿宋_GB2312" w:cs="仿宋_GB2312" w:eastAsia="仿宋_GB2312"/>
                <w:sz w:val="24"/>
              </w:rPr>
              <w:t xml:space="preserve">    3、本工程的施工过程和成果必须符合国家有关工程建设标准强制性条文和国家或有关部门关于工程施工方面现行的标准、规范、规程、定额、办法、示例，以及陕西省关于工程施工方面的文件、规定。供应商在施工过程中使用或参考上述标准、规范以外的技术标准、规范时，应征得采购人指定代表人的同意。在施工过程中，如果国家或有关部门颁布了新的技术标准或规范，则供应商应采用新的标准或规范进行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2、为顺利推进政府采购电子化交易平台应用工作，供应商需在开标截止时间前在系统中上传电子响应文件，同时，线下递交纸质版响应文件2份（胶装密封完整）。若电子响应文件与纸质响应文件不一致的，以系统中上传的电子响应文件为准。线下递交纸质响应文件截止时间：详见本项目磋商公告中“提交响应文件截止时间”；线下递交纸质响应文件地点：陕西省西安市高新区锦业路1号绿地领海B座10楼1006室。 3、如磋商文件中融资相关内容与新政策要求有出入，按照最新要求执行。4、本项目须缴纳投标保证金额详见“第二章 供应商须知”，投标保证金须在响应文件递交截止时间前到账。5、以银行转账缴纳保证金的，应从其公户转出，必须写明“SXHC2026-083项目投标保证金”，便于财务部查询登记。6、未成交供应商的投标保证金，在成交通知书发出之日起5个工作日内退还；成交供应商的投标保证金在合同签订之日5个工作日内退还。7、下列情况发生，保证金将不予退还：（1）供应商在递交响应文件截止时间后撤回响应文件的；（2）供应商在响应文件中提供虚假材料的；（3）除因不可抗力或磋商文件认可的情形以外，成交供应商不与采购人签订合同的；（4）成交供应商将中标项目转让给他人，或者在响应文件中未说明且未经采购人同意将中标项目分包给他人的；（5）供应商相互串通投标或者与采购人串通投标的，向采购人或者评标委员会成员行贿谋取中标的，以他人名义投标或者以其他方式弄虚作假骗取中标的。8、踏勘说明：本项目不统一组织踏勘。各供应商如需踏勘，请携带“已获取采购文件的回执函、公司介绍信及踏勘联系人身份证复印件加盖公章”，在响应文件递交截止时间前联系采购人进行现场踏勘。联系人：胡老师 联系电话：029-89550234，超过响应文件递交截止时间采购人概不接待。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供应商须提供参加本次采购活动前3年内在经营活动中没有重大违法记录的书面声明。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供应商法定代表人/负责人直接参加的，须递交《法定代表人/负责人身份证明》；法定代表人/负责人授权代表参加的，须递交《法定代表人/负责人授权书》。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法定代表人（负责人）身份证明或法定代表人（负责人）授权书.docx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供应商具备①建筑机电安装工程专业承包二级及以上资质；②有效的安全生产许可证。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项目经理具备机电工程专业二级及以上注册建造师证书，有效的安全生产考核合格证书（B证），且在本单位注册，未担任其他在建工程的项目经理（提供承诺函）。</w:t>
            </w:r>
          </w:p>
        </w:tc>
        <w:tc>
          <w:tcPr>
            <w:tcW w:type="dxa" w:w="1661"/>
          </w:tcPr>
          <w:p>
            <w:pPr>
              <w:pStyle w:val="null3"/>
            </w:pPr>
            <w:r>
              <w:rPr>
                <w:rFonts w:ascii="仿宋_GB2312" w:hAnsi="仿宋_GB2312" w:cs="仿宋_GB2312" w:eastAsia="仿宋_GB2312"/>
              </w:rPr>
              <w:t>拟派项目经理要求.docx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本项目不允许联合体参加。</w:t>
            </w:r>
          </w:p>
        </w:tc>
        <w:tc>
          <w:tcPr>
            <w:tcW w:type="dxa" w:w="1661"/>
          </w:tcPr>
          <w:p>
            <w:pPr>
              <w:pStyle w:val="null3"/>
            </w:pPr>
            <w:r>
              <w:rPr>
                <w:rFonts w:ascii="仿宋_GB2312" w:hAnsi="仿宋_GB2312" w:cs="仿宋_GB2312" w:eastAsia="仿宋_GB2312"/>
              </w:rPr>
              <w:t>非联合体投标声明.docx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已标价工程量清单（以此为准）.docx 报价函 标的清单 首次报价表.docx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不存在相关串通投标的情形</w:t>
            </w:r>
          </w:p>
        </w:tc>
        <w:tc>
          <w:tcPr>
            <w:tcW w:type="dxa" w:w="3322"/>
          </w:tcPr>
          <w:p>
            <w:pPr>
              <w:pStyle w:val="null3"/>
            </w:pPr>
            <w:r>
              <w:rPr>
                <w:rFonts w:ascii="仿宋_GB2312" w:hAnsi="仿宋_GB2312" w:cs="仿宋_GB2312" w:eastAsia="仿宋_GB2312"/>
              </w:rPr>
              <w:t>不存在下面串通投标的情形： （一）不同供应商的响应文件由同一单位或者个人编制； （二）不同供应商委托同一单位或者个人办理投标事宜； （三）不同供应商的响应文件载明的项目管理成员或者联系人员为同一人； （四）不同供应商的响应文件异常一致或者投标报价呈规律性差异； （五）不同供应商的响应文件相互混装； （六）不同供应商的投标保证金从同一单位或者个人的账户转出。</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 ②施工方法；③重点、难点工程分析及解决措施；④影响正常施工外在因素分析及对应预案等。以上内容专门针对本项目，且符合本项目实际需求的得10分，未提供不得分，每缺一项扣2.5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内容至少包括①团队组织人员配置清单明细；②各专业种类、岗位配置情况；③团队组织人员岗位职责及管理制度。以上内容专门针对本项目,且符合本项目实际需求的得6分, 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内容至少包括①工程质量技术保障措施；②工程质量隐患排查、整改制度;③工程质量保修期及保修期内售后服务方案等。以上内容专门针对本项目，且符合本项目实际需求的得6分，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内容至少包括①安全生产管理制度；②安全隐患排查、整改制度;③应急救援机制等。以上内容专门针对本项目，且符合本项目实际需求的得6分，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至少包括①文明施工组织制度；②环境保护组织制度；③防尘降噪、节能减排措施。以上内容专门针对本项目，且符合本项目实际需求的得6分，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 ①进度安排计划（提供横道图或网络图）；②工期目标控制和保证措施； ③成品、半成品保护监管措施等。以上内容专门针对本项目，且符合本项目实际需求的得6分，未提供不得分，每缺一项扣2分，评审项内容有瑕疵的根据情况扣分，扣完为止。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施工机械设备配置投入计划</w:t>
            </w:r>
          </w:p>
        </w:tc>
        <w:tc>
          <w:tcPr>
            <w:tcW w:type="dxa" w:w="2492"/>
          </w:tcPr>
          <w:p>
            <w:pPr>
              <w:pStyle w:val="null3"/>
            </w:pPr>
            <w:r>
              <w:rPr>
                <w:rFonts w:ascii="仿宋_GB2312" w:hAnsi="仿宋_GB2312" w:cs="仿宋_GB2312" w:eastAsia="仿宋_GB2312"/>
              </w:rPr>
              <w:t>内容至少包括①施工机械配置计划及施工材料投入计划；②施工机械的使用管理制度及使用安全防范措施。 以上内容专门针对本项目，且符合本项目实际需求的得4分，未提供不得分，每缺一项扣2分，评审项内容有瑕疵的根据情况扣分，扣完为止。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内容至少包括；①应急小组成员及职责；②应急处置流程及具体措施。 以上内容专门针对本项目，且符合本项目实际需求的得2分，未提供不得分，每缺一项扣1分，评审项内容有瑕疵的根据情况扣分，扣完为止。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拟投入本项目的主要材料配置</w:t>
            </w:r>
          </w:p>
        </w:tc>
        <w:tc>
          <w:tcPr>
            <w:tcW w:type="dxa" w:w="2492"/>
          </w:tcPr>
          <w:p>
            <w:pPr>
              <w:pStyle w:val="null3"/>
            </w:pPr>
            <w:r>
              <w:rPr>
                <w:rFonts w:ascii="仿宋_GB2312" w:hAnsi="仿宋_GB2312" w:cs="仿宋_GB2312" w:eastAsia="仿宋_GB2312"/>
              </w:rPr>
              <w:t>内容至少包括；①主要材料配置清单明细；②各主材产品规格、型号、性能描述；③产品质量满足实际使用需求，符合国家或行业相关质量规定（提供相关证明材料）。 以上内容专门针对本项目，且符合本项目实际需求的得9分，未提供不得分，每缺一项扣3分，评审项内容有瑕疵的根据情况扣分，扣完为止。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供应商具有2022年1月1日至今 ( 以合同签订时间为准）的同类项目业绩。每提供一项得1分，满分5分。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详见附件：已标价工程量清单（以此为准）.docx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详见附件：法定代表人（负责人）身份证明或法定代表人（负责人）授权书.docx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详见附件：拟派项目经理要求.docx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