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40"/>
          <w:szCs w:val="40"/>
        </w:rPr>
        <w:t>首次报价表</w:t>
      </w:r>
    </w:p>
    <w:p w14:paraId="0289BD7F">
      <w:pPr>
        <w:ind w:firstLine="560" w:firstLineChars="200"/>
        <w:rPr>
          <w:rFonts w:hint="eastAsia" w:ascii="仿宋_GB2312" w:hAnsi="仿宋_GB2312" w:eastAsia="仿宋_GB2312" w:cs="仿宋_GB2312"/>
          <w:sz w:val="28"/>
          <w:szCs w:val="28"/>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7411"/>
      </w:tblGrid>
      <w:tr w14:paraId="0E9A7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764" w:type="dxa"/>
            <w:noWrap w:val="0"/>
            <w:vAlign w:val="center"/>
          </w:tcPr>
          <w:p w14:paraId="1169CC8A">
            <w:pPr>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项目名称</w:t>
            </w:r>
          </w:p>
        </w:tc>
        <w:tc>
          <w:tcPr>
            <w:tcW w:w="7411" w:type="dxa"/>
            <w:noWrap w:val="0"/>
            <w:vAlign w:val="center"/>
          </w:tcPr>
          <w:p w14:paraId="5503D8BA">
            <w:pPr>
              <w:jc w:val="center"/>
              <w:rPr>
                <w:rFonts w:hint="default" w:ascii="仿宋_GB2312" w:hAnsi="仿宋_GB2312" w:eastAsia="仿宋_GB2312" w:cs="仿宋_GB2312"/>
                <w:color w:val="auto"/>
                <w:sz w:val="28"/>
                <w:szCs w:val="28"/>
                <w:highlight w:val="none"/>
                <w:lang w:val="en-US" w:eastAsia="zh-CN"/>
              </w:rPr>
            </w:pPr>
            <w:r>
              <w:rPr>
                <w:rFonts w:hint="default" w:ascii="仿宋_GB2312" w:hAnsi="仿宋_GB2312" w:eastAsia="仿宋_GB2312" w:cs="仿宋_GB2312"/>
                <w:color w:val="auto"/>
                <w:sz w:val="28"/>
                <w:szCs w:val="28"/>
                <w:highlight w:val="none"/>
                <w:lang w:val="en-US" w:eastAsia="zh-CN"/>
              </w:rPr>
              <w:t>PCR实验室配套用电工程项目</w:t>
            </w:r>
          </w:p>
        </w:tc>
      </w:tr>
      <w:tr w14:paraId="57DE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1764" w:type="dxa"/>
            <w:noWrap w:val="0"/>
            <w:vAlign w:val="center"/>
          </w:tcPr>
          <w:p w14:paraId="04ED0ECA">
            <w:pPr>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项目编号</w:t>
            </w:r>
          </w:p>
        </w:tc>
        <w:tc>
          <w:tcPr>
            <w:tcW w:w="7411" w:type="dxa"/>
            <w:noWrap w:val="0"/>
            <w:vAlign w:val="center"/>
          </w:tcPr>
          <w:p w14:paraId="1699F54F">
            <w:pPr>
              <w:jc w:val="center"/>
              <w:rPr>
                <w:rFonts w:hint="default" w:ascii="仿宋_GB2312" w:hAnsi="仿宋_GB2312" w:eastAsia="仿宋_GB2312" w:cs="仿宋_GB2312"/>
                <w:color w:val="auto"/>
                <w:sz w:val="28"/>
                <w:szCs w:val="28"/>
                <w:highlight w:val="none"/>
                <w:lang w:val="en-US" w:eastAsia="zh-CN"/>
              </w:rPr>
            </w:pPr>
            <w:r>
              <w:rPr>
                <w:rFonts w:hint="default" w:ascii="仿宋_GB2312" w:hAnsi="仿宋_GB2312" w:eastAsia="仿宋_GB2312" w:cs="仿宋_GB2312"/>
                <w:color w:val="auto"/>
                <w:sz w:val="28"/>
                <w:szCs w:val="28"/>
                <w:highlight w:val="none"/>
                <w:lang w:val="en-US" w:eastAsia="zh-CN"/>
              </w:rPr>
              <w:t>SXHC2026-083</w:t>
            </w:r>
            <w:bookmarkStart w:id="0" w:name="_GoBack"/>
            <w:bookmarkEnd w:id="0"/>
          </w:p>
        </w:tc>
      </w:tr>
      <w:tr w14:paraId="2593B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1764" w:type="dxa"/>
            <w:noWrap w:val="0"/>
            <w:vAlign w:val="center"/>
          </w:tcPr>
          <w:p w14:paraId="7A952466">
            <w:pPr>
              <w:widowControl/>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投标</w:t>
            </w:r>
            <w:r>
              <w:rPr>
                <w:rFonts w:hint="eastAsia" w:ascii="仿宋_GB2312" w:hAnsi="仿宋_GB2312" w:eastAsia="仿宋_GB2312" w:cs="仿宋_GB2312"/>
                <w:color w:val="auto"/>
                <w:kern w:val="0"/>
                <w:sz w:val="28"/>
                <w:szCs w:val="28"/>
                <w:highlight w:val="none"/>
              </w:rPr>
              <w:t>报价</w:t>
            </w:r>
          </w:p>
          <w:p w14:paraId="58220107">
            <w:pPr>
              <w:widowControl/>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（元）</w:t>
            </w:r>
          </w:p>
        </w:tc>
        <w:tc>
          <w:tcPr>
            <w:tcW w:w="7411" w:type="dxa"/>
            <w:noWrap w:val="0"/>
            <w:vAlign w:val="center"/>
          </w:tcPr>
          <w:p w14:paraId="23FAD12D">
            <w:pPr>
              <w:widowControl/>
              <w:jc w:val="left"/>
              <w:rPr>
                <w:rFonts w:hint="eastAsia" w:ascii="仿宋_GB2312" w:hAnsi="仿宋_GB2312" w:eastAsia="仿宋_GB2312" w:cs="仿宋_GB2312"/>
                <w:color w:val="auto"/>
                <w:kern w:val="0"/>
                <w:sz w:val="28"/>
                <w:szCs w:val="28"/>
                <w:highlight w:val="none"/>
                <w:u w:val="single"/>
              </w:rPr>
            </w:pPr>
            <w:r>
              <w:rPr>
                <w:rFonts w:hint="eastAsia" w:ascii="仿宋_GB2312" w:hAnsi="仿宋_GB2312" w:eastAsia="仿宋_GB2312" w:cs="仿宋_GB2312"/>
                <w:color w:val="auto"/>
                <w:kern w:val="0"/>
                <w:sz w:val="28"/>
                <w:szCs w:val="28"/>
                <w:highlight w:val="none"/>
              </w:rPr>
              <w:t>小写：</w:t>
            </w:r>
            <w:r>
              <w:rPr>
                <w:rFonts w:hint="eastAsia" w:ascii="仿宋_GB2312" w:hAnsi="仿宋_GB2312" w:eastAsia="仿宋_GB2312" w:cs="仿宋_GB2312"/>
                <w:color w:val="auto"/>
                <w:kern w:val="0"/>
                <w:sz w:val="28"/>
                <w:szCs w:val="28"/>
                <w:highlight w:val="none"/>
                <w:u w:val="single"/>
              </w:rPr>
              <w:t xml:space="preserve">                          </w:t>
            </w:r>
          </w:p>
          <w:p w14:paraId="7709F3CE">
            <w:pPr>
              <w:widowControl/>
              <w:jc w:val="left"/>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大写：</w:t>
            </w:r>
            <w:r>
              <w:rPr>
                <w:rFonts w:hint="eastAsia" w:ascii="仿宋_GB2312" w:hAnsi="仿宋_GB2312" w:eastAsia="仿宋_GB2312" w:cs="仿宋_GB2312"/>
                <w:color w:val="auto"/>
                <w:kern w:val="0"/>
                <w:sz w:val="28"/>
                <w:szCs w:val="28"/>
                <w:highlight w:val="none"/>
                <w:u w:val="single"/>
              </w:rPr>
              <w:t xml:space="preserve">                          </w:t>
            </w:r>
          </w:p>
        </w:tc>
      </w:tr>
      <w:tr w14:paraId="5A6E7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764" w:type="dxa"/>
            <w:noWrap w:val="0"/>
            <w:vAlign w:val="center"/>
          </w:tcPr>
          <w:p w14:paraId="5F998793">
            <w:pPr>
              <w:autoSpaceDE w:val="0"/>
              <w:autoSpaceDN w:val="0"/>
              <w:adjustRightInd w:val="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工期</w:t>
            </w:r>
          </w:p>
        </w:tc>
        <w:tc>
          <w:tcPr>
            <w:tcW w:w="7411" w:type="dxa"/>
            <w:noWrap w:val="0"/>
            <w:vAlign w:val="center"/>
          </w:tcPr>
          <w:p w14:paraId="59CDE2B5">
            <w:pPr>
              <w:autoSpaceDE w:val="0"/>
              <w:autoSpaceDN w:val="0"/>
              <w:adjustRightInd w:val="0"/>
              <w:spacing w:line="360" w:lineRule="auto"/>
              <w:jc w:val="center"/>
              <w:rPr>
                <w:rFonts w:hint="eastAsia" w:ascii="仿宋_GB2312" w:hAnsi="仿宋_GB2312" w:eastAsia="仿宋_GB2312" w:cs="仿宋_GB2312"/>
                <w:color w:val="auto"/>
                <w:kern w:val="0"/>
                <w:sz w:val="28"/>
                <w:szCs w:val="28"/>
                <w:highlight w:val="none"/>
              </w:rPr>
            </w:pPr>
          </w:p>
        </w:tc>
      </w:tr>
      <w:tr w14:paraId="78E4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764" w:type="dxa"/>
            <w:noWrap w:val="0"/>
            <w:vAlign w:val="center"/>
          </w:tcPr>
          <w:p w14:paraId="161DF781">
            <w:pPr>
              <w:autoSpaceDE w:val="0"/>
              <w:autoSpaceDN w:val="0"/>
              <w:adjustRightInd w:val="0"/>
              <w:jc w:val="center"/>
              <w:rPr>
                <w:rFonts w:hint="eastAsia" w:ascii="仿宋_GB2312" w:hAnsi="仿宋_GB2312" w:eastAsia="仿宋_GB2312" w:cs="仿宋_GB2312"/>
                <w:color w:val="auto"/>
                <w:kern w:val="0"/>
                <w:sz w:val="28"/>
                <w:szCs w:val="28"/>
                <w:highlight w:val="none"/>
                <w:lang w:eastAsia="zh-CN"/>
              </w:rPr>
            </w:pPr>
            <w:r>
              <w:rPr>
                <w:rFonts w:hint="eastAsia" w:ascii="仿宋_GB2312" w:hAnsi="仿宋_GB2312" w:eastAsia="仿宋_GB2312" w:cs="仿宋_GB2312"/>
                <w:color w:val="auto"/>
                <w:sz w:val="28"/>
                <w:szCs w:val="28"/>
                <w:highlight w:val="none"/>
              </w:rPr>
              <w:t>质量</w:t>
            </w:r>
            <w:r>
              <w:rPr>
                <w:rFonts w:hint="eastAsia" w:ascii="仿宋_GB2312" w:hAnsi="仿宋_GB2312" w:eastAsia="仿宋_GB2312" w:cs="仿宋_GB2312"/>
                <w:color w:val="auto"/>
                <w:sz w:val="28"/>
                <w:szCs w:val="28"/>
                <w:highlight w:val="none"/>
                <w:lang w:eastAsia="zh-CN"/>
              </w:rPr>
              <w:t>标准</w:t>
            </w:r>
          </w:p>
        </w:tc>
        <w:tc>
          <w:tcPr>
            <w:tcW w:w="7411" w:type="dxa"/>
            <w:noWrap w:val="0"/>
            <w:vAlign w:val="center"/>
          </w:tcPr>
          <w:p w14:paraId="2BFBA7DD">
            <w:pPr>
              <w:autoSpaceDE w:val="0"/>
              <w:autoSpaceDN w:val="0"/>
              <w:adjustRightInd w:val="0"/>
              <w:jc w:val="center"/>
              <w:rPr>
                <w:rFonts w:hint="eastAsia" w:ascii="仿宋_GB2312" w:hAnsi="仿宋_GB2312" w:eastAsia="仿宋_GB2312" w:cs="仿宋_GB2312"/>
                <w:color w:val="auto"/>
                <w:kern w:val="0"/>
                <w:sz w:val="28"/>
                <w:szCs w:val="28"/>
                <w:highlight w:val="none"/>
              </w:rPr>
            </w:pPr>
          </w:p>
        </w:tc>
      </w:tr>
      <w:tr w14:paraId="50EF2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9175" w:type="dxa"/>
            <w:gridSpan w:val="2"/>
            <w:noWrap w:val="0"/>
            <w:vAlign w:val="center"/>
          </w:tcPr>
          <w:p w14:paraId="4EC984C7">
            <w:pPr>
              <w:widowControl/>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说明：</w:t>
            </w:r>
          </w:p>
          <w:p w14:paraId="15A9FE39">
            <w:pPr>
              <w:widowControl/>
              <w:ind w:firstLine="560" w:firstLineChars="200"/>
              <w:rPr>
                <w:rFonts w:hint="eastAsia" w:ascii="仿宋_GB2312" w:hAnsi="仿宋_GB2312" w:eastAsia="仿宋_GB2312" w:cs="仿宋_GB2312"/>
                <w:bCs/>
                <w:color w:val="auto"/>
                <w:kern w:val="0"/>
                <w:sz w:val="28"/>
                <w:szCs w:val="28"/>
                <w:highlight w:val="none"/>
              </w:rPr>
            </w:pPr>
            <w:r>
              <w:rPr>
                <w:rFonts w:hint="eastAsia" w:ascii="仿宋_GB2312" w:hAnsi="仿宋_GB2312" w:eastAsia="仿宋_GB2312" w:cs="仿宋_GB2312"/>
                <w:bCs/>
                <w:color w:val="auto"/>
                <w:kern w:val="0"/>
                <w:sz w:val="28"/>
                <w:szCs w:val="28"/>
                <w:highlight w:val="none"/>
              </w:rPr>
              <w:t>1、</w:t>
            </w:r>
            <w:r>
              <w:rPr>
                <w:rFonts w:hint="eastAsia" w:ascii="仿宋_GB2312" w:hAnsi="仿宋_GB2312" w:eastAsia="仿宋_GB2312" w:cs="仿宋_GB2312"/>
                <w:color w:val="auto"/>
                <w:kern w:val="0"/>
                <w:sz w:val="28"/>
                <w:szCs w:val="28"/>
                <w:highlight w:val="none"/>
                <w:lang w:val="en-US" w:eastAsia="zh-CN"/>
              </w:rPr>
              <w:t>磋商</w:t>
            </w:r>
            <w:r>
              <w:rPr>
                <w:rFonts w:hint="eastAsia" w:ascii="仿宋_GB2312" w:hAnsi="仿宋_GB2312" w:eastAsia="仿宋_GB2312" w:cs="仿宋_GB2312"/>
                <w:bCs/>
                <w:color w:val="auto"/>
                <w:kern w:val="0"/>
                <w:sz w:val="28"/>
                <w:szCs w:val="28"/>
                <w:highlight w:val="none"/>
              </w:rPr>
              <w:t>报价以元为单位，大小写不一致时，以大写为准。</w:t>
            </w:r>
          </w:p>
          <w:p w14:paraId="64E1780E">
            <w:pPr>
              <w:widowControl/>
              <w:ind w:firstLine="560" w:firstLineChars="200"/>
              <w:rPr>
                <w:rFonts w:hint="eastAsia" w:ascii="仿宋_GB2312" w:hAnsi="仿宋_GB2312" w:eastAsia="仿宋_GB2312" w:cs="仿宋_GB2312"/>
                <w:bCs/>
                <w:color w:val="auto"/>
                <w:kern w:val="0"/>
                <w:sz w:val="28"/>
                <w:szCs w:val="28"/>
                <w:highlight w:val="none"/>
              </w:rPr>
            </w:pPr>
            <w:r>
              <w:rPr>
                <w:rFonts w:hint="eastAsia" w:ascii="仿宋_GB2312" w:hAnsi="仿宋_GB2312" w:eastAsia="仿宋_GB2312" w:cs="仿宋_GB2312"/>
                <w:color w:val="auto"/>
                <w:sz w:val="28"/>
                <w:szCs w:val="28"/>
                <w:highlight w:val="none"/>
              </w:rPr>
              <w:t>2、除可填报项目外对首次磋商报价表的任何修改将被视为非实质性响应投标从而导致该投标被拒绝。</w:t>
            </w:r>
          </w:p>
        </w:tc>
      </w:tr>
    </w:tbl>
    <w:p w14:paraId="3EE857A6">
      <w:pPr>
        <w:spacing w:line="360" w:lineRule="auto"/>
        <w:ind w:firstLine="2520" w:firstLineChars="900"/>
        <w:rPr>
          <w:rFonts w:hint="eastAsia" w:ascii="仿宋_GB2312" w:hAnsi="仿宋_GB2312" w:eastAsia="仿宋_GB2312" w:cs="仿宋_GB2312"/>
          <w:color w:val="auto"/>
          <w:sz w:val="28"/>
          <w:szCs w:val="28"/>
          <w:highlight w:val="none"/>
          <w:lang w:val="en-US" w:eastAsia="zh-CN"/>
        </w:rPr>
      </w:pPr>
    </w:p>
    <w:p w14:paraId="249C0ED2">
      <w:pPr>
        <w:spacing w:line="360" w:lineRule="auto"/>
        <w:ind w:firstLine="2520" w:firstLineChars="9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供应商</w:t>
      </w:r>
      <w:r>
        <w:rPr>
          <w:rFonts w:hint="eastAsia" w:ascii="仿宋_GB2312" w:hAnsi="仿宋_GB2312" w:eastAsia="仿宋_GB2312" w:cs="仿宋_GB2312"/>
          <w:color w:val="auto"/>
          <w:sz w:val="28"/>
          <w:szCs w:val="28"/>
          <w:highlight w:val="none"/>
        </w:rPr>
        <w:t>名称（盖章）：</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w:t>
      </w:r>
    </w:p>
    <w:p w14:paraId="0E6A2F5F">
      <w:pPr>
        <w:spacing w:line="360" w:lineRule="auto"/>
        <w:ind w:firstLine="2520" w:firstLineChars="9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法定代表人或授权代表（签字或盖章）：</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w:t>
      </w:r>
    </w:p>
    <w:p w14:paraId="39051345">
      <w:pPr>
        <w:ind w:firstLine="2520" w:firstLineChars="900"/>
      </w:pPr>
      <w:r>
        <w:rPr>
          <w:rFonts w:hint="eastAsia" w:ascii="仿宋_GB2312" w:hAnsi="仿宋_GB2312" w:eastAsia="仿宋_GB2312" w:cs="仿宋_GB2312"/>
          <w:color w:val="auto"/>
          <w:sz w:val="28"/>
          <w:szCs w:val="28"/>
          <w:highlight w:val="none"/>
        </w:rPr>
        <w:t>日    期：</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17775075"/>
    <w:rsid w:val="219F1439"/>
    <w:rsid w:val="2F404926"/>
    <w:rsid w:val="307662F4"/>
    <w:rsid w:val="347D1837"/>
    <w:rsid w:val="355B7D16"/>
    <w:rsid w:val="425E1812"/>
    <w:rsid w:val="49CC64A2"/>
    <w:rsid w:val="4FDA0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qFormat/>
    <w:uiPriority w:val="99"/>
    <w:pPr>
      <w:jc w:val="center"/>
    </w:pPr>
    <w:rPr>
      <w:kern w:val="0"/>
      <w:sz w:val="16"/>
      <w:szCs w:val="16"/>
    </w:rPr>
  </w:style>
  <w:style w:type="paragraph" w:styleId="4">
    <w:name w:val="Body Text"/>
    <w:basedOn w:val="1"/>
    <w:qFormat/>
    <w:uiPriority w:val="99"/>
    <w:pPr>
      <w:jc w:val="left"/>
    </w:pPr>
    <w:rPr>
      <w:kern w:val="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31"/>
    <w:basedOn w:val="6"/>
    <w:qFormat/>
    <w:uiPriority w:val="0"/>
    <w:rPr>
      <w:rFonts w:hint="eastAsia" w:ascii="宋体" w:hAnsi="宋体" w:eastAsia="宋体" w:cs="宋体"/>
      <w:color w:val="000000"/>
      <w:sz w:val="20"/>
      <w:szCs w:val="20"/>
      <w:u w:val="none"/>
    </w:rPr>
  </w:style>
  <w:style w:type="character" w:customStyle="1" w:styleId="9">
    <w:name w:val="font71"/>
    <w:basedOn w:val="6"/>
    <w:qFormat/>
    <w:uiPriority w:val="0"/>
    <w:rPr>
      <w:rFonts w:ascii="微软雅黑" w:hAnsi="微软雅黑" w:eastAsia="微软雅黑" w:cs="微软雅黑"/>
      <w:color w:val="000000"/>
      <w:sz w:val="20"/>
      <w:szCs w:val="20"/>
      <w:u w:val="none"/>
    </w:rPr>
  </w:style>
  <w:style w:type="character" w:customStyle="1" w:styleId="10">
    <w:name w:val="font81"/>
    <w:basedOn w:val="6"/>
    <w:qFormat/>
    <w:uiPriority w:val="0"/>
    <w:rPr>
      <w:rFonts w:hint="eastAsia" w:ascii="宋体" w:hAnsi="宋体" w:eastAsia="宋体" w:cs="宋体"/>
      <w:color w:val="000000"/>
      <w:sz w:val="20"/>
      <w:szCs w:val="20"/>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91"/>
    <w:basedOn w:val="6"/>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154</Words>
  <Characters>167</Characters>
  <Lines>0</Lines>
  <Paragraphs>0</Paragraphs>
  <TotalTime>0</TotalTime>
  <ScaleCrop>false</ScaleCrop>
  <LinksUpToDate>false</LinksUpToDate>
  <CharactersWithSpaces>333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2026-04-27T06:50:20Z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872064173CEA479385BC16F73A3B76A7_13</vt:lpwstr>
  </property>
  <property fmtid="{D5CDD505-2E9C-101B-9397-08002B2CF9AE}" pid="4" name="KSOTemplateDocerSaveRecord">
    <vt:lpwstr>eyJoZGlkIjoiZWMxNWU5MTM1NDJhMzM3NzZlNjAyMmRiMjcyMmY4OWYiLCJ1c2VySWQiOiI5MzY1NjA0ODAifQ==</vt:lpwstr>
  </property>
</Properties>
</file>