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版本号：ZXDL【2026】04620260908002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西安市高陵区取用水监测计量能力提升重点项目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ZXDL【2026】046</w:t>
      </w:r>
      <w:r>
        <w:br/>
      </w:r>
      <w:r>
        <w:br/>
      </w:r>
      <w:r>
        <w:br/>
      </w:r>
    </w:p>
    <w:p>
      <w:pPr>
        <w:pStyle w:val="null3"/>
        <w:jc w:val="center"/>
        <w:outlineLvl w:val="2"/>
      </w:pPr>
      <w:r>
        <w:rPr>
          <w:rFonts w:ascii="仿宋_GB2312" w:hAnsi="仿宋_GB2312" w:cs="仿宋_GB2312" w:eastAsia="仿宋_GB2312"/>
          <w:sz w:val="28"/>
          <w:b/>
        </w:rPr>
        <w:t>西安市高陵区水资源服务中心</w:t>
      </w:r>
    </w:p>
    <w:p>
      <w:pPr>
        <w:pStyle w:val="null3"/>
        <w:jc w:val="center"/>
        <w:outlineLvl w:val="2"/>
      </w:pPr>
      <w:r>
        <w:rPr>
          <w:rFonts w:ascii="仿宋_GB2312" w:hAnsi="仿宋_GB2312" w:cs="仿宋_GB2312" w:eastAsia="仿宋_GB2312"/>
          <w:sz w:val="28"/>
          <w:b/>
        </w:rPr>
        <w:t>西安市安居工程咨询有限公司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西安市安居工程咨询有限公司</w:t>
      </w:r>
      <w:r>
        <w:rPr>
          <w:rFonts w:ascii="仿宋_GB2312" w:hAnsi="仿宋_GB2312" w:cs="仿宋_GB2312" w:eastAsia="仿宋_GB2312"/>
        </w:rPr>
        <w:t>（以下简称“代理机构”）受</w:t>
      </w:r>
      <w:r>
        <w:rPr>
          <w:rFonts w:ascii="仿宋_GB2312" w:hAnsi="仿宋_GB2312" w:cs="仿宋_GB2312" w:eastAsia="仿宋_GB2312"/>
        </w:rPr>
        <w:t>西安市高陵区水资源服务中心</w:t>
      </w:r>
      <w:r>
        <w:rPr>
          <w:rFonts w:ascii="仿宋_GB2312" w:hAnsi="仿宋_GB2312" w:cs="仿宋_GB2312" w:eastAsia="仿宋_GB2312"/>
        </w:rPr>
        <w:t>委托，拟对</w:t>
      </w:r>
      <w:r>
        <w:rPr>
          <w:rFonts w:ascii="仿宋_GB2312" w:hAnsi="仿宋_GB2312" w:cs="仿宋_GB2312" w:eastAsia="仿宋_GB2312"/>
        </w:rPr>
        <w:t>西安市高陵区取用水监测计量能力提升重点项目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ZXDL【2026】046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西安市高陵区取用水监测计量能力提升重点项目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任务围绕小型灌区用水核算开展，通过优化计量设施，实现对高陵区8个典型小型灌区12处关键监测点位的全覆盖，构建多维度的用水核算体系，结合灌区作物类型、种植面积、灌溉周期等基础信息，精准核算小型灌区用水量，建立基于监测数据的亩均用水量核算模型，形成科学规范的取用水量核算流程，制定标准化核算技术方案，提升高陵区小型灌区用水效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采购包1（西安市高陵区取用水监测计量能力提升重点项目）：属于专门面向中小企业采购。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2、财务状况报告：提供经审计的2025年度完整的财务报告或提交投标文件截止时间前六个月内其基本账户开户银行出具的资信证明；其他组织和自然人提供银行出具的资信证明或财务报表；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5、具有履行合同所必需的设备和专业技术能力：具有履行合同所必需的设备和专业技术能力的承诺及说明；</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7、法定代表人或其授权委托书：法定代表人授权书（附法定代表人、被授权人身份证复印件及被授权人在本单位缴纳社保证明），法定代表人直接参加投标，须提供法定代表人身份证明；</w:t>
      </w:r>
    </w:p>
    <w:p>
      <w:pPr>
        <w:pStyle w:val="null3"/>
      </w:pPr>
      <w:r>
        <w:rPr>
          <w:rFonts w:ascii="仿宋_GB2312" w:hAnsi="仿宋_GB2312" w:cs="仿宋_GB2312" w:eastAsia="仿宋_GB2312"/>
        </w:rPr>
        <w:t>8、信誉要求：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西安市高陵区水资源服务中心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西安市高陵区西环城路23号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张娟利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029-86911665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西安市安居工程咨询有限公司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陕西省西安市灞桥区陕西省西安市国际港务区港兴三路5288号安居大厦A座11层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魏子澳、闫璐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029-88080366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 2002 年颁发的《招标代理服务收费管理 暂行办法》(计价格〔2002〕1980 号)的标准下浮 14.90% 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西安市高陵区水资源服务中心</w:t>
      </w:r>
      <w:r>
        <w:rPr>
          <w:rFonts w:ascii="仿宋_GB2312" w:hAnsi="仿宋_GB2312" w:cs="仿宋_GB2312" w:eastAsia="仿宋_GB2312"/>
        </w:rPr>
        <w:t>和</w:t>
      </w:r>
      <w:r>
        <w:rPr>
          <w:rFonts w:ascii="仿宋_GB2312" w:hAnsi="仿宋_GB2312" w:cs="仿宋_GB2312" w:eastAsia="仿宋_GB2312"/>
        </w:rPr>
        <w:t>西安市安居工程咨询有限公司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西安市高陵区水资源服务中心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西安市安居工程咨询有限公司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西安市高陵区水资源服务中心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西安市安居工程咨询有限公司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项目成果均需通过相关部门的验收。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西安市安居工程咨询有限公司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西安市安居工程咨询有限公司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西安市安居工程咨询有限公司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联系人：魏子澳、闫璐</w:t>
      </w:r>
    </w:p>
    <w:p>
      <w:pPr>
        <w:pStyle w:val="null3"/>
      </w:pPr>
      <w:r>
        <w:rPr>
          <w:rFonts w:ascii="仿宋_GB2312" w:hAnsi="仿宋_GB2312" w:cs="仿宋_GB2312" w:eastAsia="仿宋_GB2312"/>
        </w:rPr>
        <w:t>联系电话：029-88080366</w:t>
      </w:r>
    </w:p>
    <w:p>
      <w:pPr>
        <w:pStyle w:val="null3"/>
      </w:pPr>
      <w:r>
        <w:rPr>
          <w:rFonts w:ascii="仿宋_GB2312" w:hAnsi="仿宋_GB2312" w:cs="仿宋_GB2312" w:eastAsia="仿宋_GB2312"/>
        </w:rPr>
        <w:t>地址：西安市国际港务区港兴三路5288号安居大厦A座11层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任务围绕小型灌区用水核算开展，通过优化计量设施，实现对高陵区8个典型小型灌区12处关键监测点位的全覆盖及其配套设施建设，构建多维度的用水核算体系，结合灌区作物类型、种植面积、灌溉周期等基础信息，精准核算小型灌区用水量，建立基于监测数据的亩均用水量核算模型，形成科学规范的取用水量核算流程，制定标准化核算技术方案，提升高陵区小型灌区用水效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830,000.00</w:t>
      </w:r>
    </w:p>
    <w:p>
      <w:pPr>
        <w:pStyle w:val="null3"/>
      </w:pPr>
      <w:r>
        <w:rPr>
          <w:rFonts w:ascii="仿宋_GB2312" w:hAnsi="仿宋_GB2312" w:cs="仿宋_GB2312" w:eastAsia="仿宋_GB2312"/>
        </w:rPr>
        <w:t>采购包最高限价（元）: 830,000.00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西安市高陵区取用水监测计量能力提升重点项目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830,000.00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标的名称：西安市高陵区取用水监测计量能力提升重点项目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项目概况</w:t>
            </w:r>
          </w:p>
          <w:p>
            <w:pPr>
              <w:pStyle w:val="null3"/>
              <w:jc w:val="both"/>
            </w:pPr>
            <w:r>
              <w:rPr>
                <w:rFonts w:ascii="仿宋_GB2312" w:hAnsi="仿宋_GB2312" w:cs="仿宋_GB2312" w:eastAsia="仿宋_GB2312"/>
                <w:sz w:val="20"/>
              </w:rPr>
              <w:t>本项目主要任务围绕小型灌区用水核算开展，通过优化计量设施，实现对高陵区</w:t>
            </w:r>
            <w:r>
              <w:rPr>
                <w:rFonts w:ascii="仿宋_GB2312" w:hAnsi="仿宋_GB2312" w:cs="仿宋_GB2312" w:eastAsia="仿宋_GB2312"/>
                <w:sz w:val="20"/>
              </w:rPr>
              <w:t>8个典型小型灌区12处关键监测点位的全覆盖，构建多维度的用水核算体系，结合灌区作物类型、种植面积、灌溉周期等基础信息，精准核算小型灌区用水量，建立基于监测数据的亩均用水量核算模型，形成科学规范的取用水量核算流程，制定标准化核算技术方案，提升高陵区小型灌区用水效率。</w:t>
            </w:r>
          </w:p>
          <w:p>
            <w:pPr>
              <w:pStyle w:val="null3"/>
              <w:jc w:val="both"/>
            </w:pPr>
            <w:r>
              <w:rPr>
                <w:rFonts w:ascii="仿宋_GB2312" w:hAnsi="仿宋_GB2312" w:cs="仿宋_GB2312" w:eastAsia="仿宋_GB2312"/>
                <w:sz w:val="20"/>
                <w:b/>
              </w:rPr>
              <w:t>工作内容</w:t>
            </w:r>
          </w:p>
          <w:p>
            <w:pPr>
              <w:pStyle w:val="null3"/>
              <w:jc w:val="both"/>
            </w:pPr>
            <w:r>
              <w:rPr>
                <w:rFonts w:ascii="仿宋_GB2312" w:hAnsi="仿宋_GB2312" w:cs="仿宋_GB2312" w:eastAsia="仿宋_GB2312"/>
                <w:sz w:val="20"/>
              </w:rPr>
              <w:t>本项目包括小型灌区用水核算和取水口计量监测，其中，小型灌区用水核算涉及鹿苑街道张家村、通远街道灰堆村、通远街道火箭村、通远街道北孙村、张卜街道贾蔡村、张卜街道东关村、张卜街道塬后村、耿镇街道虎家村，共计</w:t>
            </w:r>
            <w:r>
              <w:rPr>
                <w:rFonts w:ascii="仿宋_GB2312" w:hAnsi="仿宋_GB2312" w:cs="仿宋_GB2312" w:eastAsia="仿宋_GB2312"/>
                <w:sz w:val="20"/>
              </w:rPr>
              <w:t>8处典型小型灌区的用水核算，安装计量设施12套及其配套设施建设、用水核算报告1项、用水核算技术方案1套。</w:t>
            </w:r>
          </w:p>
          <w:tbl>
            <w:tblPr>
              <w:tblBorders>
                <w:top w:val="none" w:color="000000" w:sz="4"/>
                <w:left w:val="none" w:color="000000" w:sz="4"/>
                <w:bottom w:val="none" w:color="000000" w:sz="4"/>
                <w:right w:val="none" w:color="000000" w:sz="4"/>
                <w:insideH w:val="none"/>
                <w:insideV w:val="none"/>
              </w:tblBorders>
            </w:tblPr>
            <w:tblGrid>
              <w:gridCol w:w="389"/>
              <w:gridCol w:w="1370"/>
              <w:gridCol w:w="389"/>
              <w:gridCol w:w="389"/>
            </w:tblGrid>
            <w:tr>
              <w:tc>
                <w:tcPr>
                  <w:tcW w:type="dxa" w:w="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3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3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用水核算报告</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用水核算技术方案</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明渠监测设施</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雷达流量计</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测控终端（</w:t>
                  </w:r>
                  <w:r>
                    <w:rPr>
                      <w:rFonts w:ascii="仿宋_GB2312" w:hAnsi="仿宋_GB2312" w:cs="仿宋_GB2312" w:eastAsia="仿宋_GB2312"/>
                      <w:sz w:val="21"/>
                    </w:rPr>
                    <w:t>RTU）设备</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太阳能板</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锂电池</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立杆</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横杆</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防水设备机箱</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土壤检测设备</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土壤墒情检测设施</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记录仪数据采集终端</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农林气象监测设施</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相关配套工程</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pPr>
              <w:pStyle w:val="null3"/>
              <w:jc w:val="both"/>
            </w:pPr>
            <w:r>
              <w:rPr>
                <w:rFonts w:ascii="仿宋_GB2312" w:hAnsi="仿宋_GB2312" w:cs="仿宋_GB2312" w:eastAsia="仿宋_GB2312"/>
                <w:sz w:val="20"/>
                <w:b/>
              </w:rPr>
              <w:t>成果资料</w:t>
            </w:r>
          </w:p>
          <w:p>
            <w:pPr>
              <w:pStyle w:val="null3"/>
              <w:jc w:val="both"/>
            </w:pPr>
            <w:r>
              <w:rPr>
                <w:rFonts w:ascii="仿宋_GB2312" w:hAnsi="仿宋_GB2312" w:cs="仿宋_GB2312" w:eastAsia="仿宋_GB2312"/>
                <w:sz w:val="20"/>
              </w:rPr>
              <w:t>本项目成果资料包括：</w:t>
            </w:r>
            <w:r>
              <w:rPr>
                <w:rFonts w:ascii="仿宋_GB2312" w:hAnsi="仿宋_GB2312" w:cs="仿宋_GB2312" w:eastAsia="仿宋_GB2312"/>
                <w:sz w:val="20"/>
              </w:rPr>
              <w:t>8处典型小型灌区的用水核算报告1项、用水核算技术方案1套、安装12处明渠雷达流量计、安装农林气象监测系统1套、土壤检测仪1套和土壤检测记录仪1套。</w:t>
            </w:r>
          </w:p>
          <w:p>
            <w:pPr>
              <w:pStyle w:val="null3"/>
              <w:jc w:val="both"/>
            </w:pPr>
            <w:r>
              <w:rPr>
                <w:rFonts w:ascii="仿宋_GB2312" w:hAnsi="仿宋_GB2312" w:cs="仿宋_GB2312" w:eastAsia="仿宋_GB2312"/>
                <w:sz w:val="20"/>
                <w:b/>
              </w:rPr>
              <w:t>技术参数</w:t>
            </w:r>
          </w:p>
          <w:p>
            <w:pPr>
              <w:pStyle w:val="null3"/>
              <w:jc w:val="both"/>
            </w:pPr>
            <w:r>
              <w:rPr>
                <w:rFonts w:ascii="仿宋_GB2312" w:hAnsi="仿宋_GB2312" w:cs="仿宋_GB2312" w:eastAsia="仿宋_GB2312"/>
                <w:sz w:val="20"/>
                <w:b/>
              </w:rPr>
              <w:t>一、明渠监测设施</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1）雷达流量计</w:t>
            </w:r>
          </w:p>
          <w:p>
            <w:pPr>
              <w:pStyle w:val="null3"/>
              <w:jc w:val="both"/>
            </w:pPr>
            <w:r>
              <w:rPr>
                <w:rFonts w:ascii="仿宋_GB2312" w:hAnsi="仿宋_GB2312" w:cs="仿宋_GB2312" w:eastAsia="仿宋_GB2312"/>
                <w:sz w:val="20"/>
              </w:rPr>
              <w:t>雷达流量计相关指标：</w:t>
            </w:r>
          </w:p>
          <w:p>
            <w:pPr>
              <w:pStyle w:val="null3"/>
              <w:jc w:val="both"/>
            </w:pPr>
            <w:r>
              <w:rPr>
                <w:rFonts w:ascii="仿宋_GB2312" w:hAnsi="仿宋_GB2312" w:cs="仿宋_GB2312" w:eastAsia="仿宋_GB2312"/>
                <w:sz w:val="20"/>
              </w:rPr>
              <w:t>▲1）测速范围：不低于0.15～15m/s</w:t>
            </w:r>
          </w:p>
          <w:p>
            <w:pPr>
              <w:pStyle w:val="null3"/>
              <w:jc w:val="both"/>
            </w:pPr>
            <w:r>
              <w:rPr>
                <w:rFonts w:ascii="仿宋_GB2312" w:hAnsi="仿宋_GB2312" w:cs="仿宋_GB2312" w:eastAsia="仿宋_GB2312"/>
                <w:sz w:val="20"/>
              </w:rPr>
              <w:t>▲2）测速分辨率：0.01m/s</w:t>
            </w:r>
          </w:p>
          <w:p>
            <w:pPr>
              <w:pStyle w:val="null3"/>
              <w:jc w:val="both"/>
            </w:pPr>
            <w:r>
              <w:rPr>
                <w:rFonts w:ascii="仿宋_GB2312" w:hAnsi="仿宋_GB2312" w:cs="仿宋_GB2312" w:eastAsia="仿宋_GB2312"/>
                <w:sz w:val="20"/>
              </w:rPr>
              <w:t>3）供电电压：DC9~36V</w:t>
            </w:r>
          </w:p>
          <w:p>
            <w:pPr>
              <w:pStyle w:val="null3"/>
              <w:jc w:val="both"/>
            </w:pPr>
            <w:r>
              <w:rPr>
                <w:rFonts w:ascii="仿宋_GB2312" w:hAnsi="仿宋_GB2312" w:cs="仿宋_GB2312" w:eastAsia="仿宋_GB2312"/>
                <w:sz w:val="20"/>
              </w:rPr>
              <w:t>4）工作温度：-35℃~70℃</w:t>
            </w:r>
          </w:p>
          <w:p>
            <w:pPr>
              <w:pStyle w:val="null3"/>
              <w:jc w:val="both"/>
            </w:pPr>
            <w:r>
              <w:rPr>
                <w:rFonts w:ascii="仿宋_GB2312" w:hAnsi="仿宋_GB2312" w:cs="仿宋_GB2312" w:eastAsia="仿宋_GB2312"/>
                <w:sz w:val="20"/>
              </w:rPr>
              <w:t>5）防护等级：大于等于IP67</w:t>
            </w:r>
          </w:p>
          <w:p>
            <w:pPr>
              <w:pStyle w:val="null3"/>
              <w:jc w:val="both"/>
            </w:pPr>
            <w:r>
              <w:rPr>
                <w:rFonts w:ascii="仿宋_GB2312" w:hAnsi="仿宋_GB2312" w:cs="仿宋_GB2312" w:eastAsia="仿宋_GB2312"/>
                <w:sz w:val="20"/>
              </w:rPr>
              <w:t>▲6）通信接口：RS-485 /RS-232</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2）</w:t>
            </w:r>
            <w:r>
              <w:rPr>
                <w:rFonts w:ascii="仿宋_GB2312" w:hAnsi="仿宋_GB2312" w:cs="仿宋_GB2312" w:eastAsia="仿宋_GB2312"/>
                <w:sz w:val="20"/>
                <w:b/>
              </w:rPr>
              <w:t>测控终端（</w:t>
            </w:r>
            <w:r>
              <w:rPr>
                <w:rFonts w:ascii="仿宋_GB2312" w:hAnsi="仿宋_GB2312" w:cs="仿宋_GB2312" w:eastAsia="仿宋_GB2312"/>
                <w:sz w:val="20"/>
                <w:b/>
              </w:rPr>
              <w:t>RTU）设备</w:t>
            </w:r>
          </w:p>
          <w:p>
            <w:pPr>
              <w:pStyle w:val="null3"/>
              <w:jc w:val="both"/>
            </w:pPr>
            <w:r>
              <w:rPr>
                <w:rFonts w:ascii="仿宋_GB2312" w:hAnsi="仿宋_GB2312" w:cs="仿宋_GB2312" w:eastAsia="仿宋_GB2312"/>
                <w:sz w:val="20"/>
              </w:rPr>
              <w:t>测控终端（</w:t>
            </w:r>
            <w:r>
              <w:rPr>
                <w:rFonts w:ascii="仿宋_GB2312" w:hAnsi="仿宋_GB2312" w:cs="仿宋_GB2312" w:eastAsia="仿宋_GB2312"/>
                <w:sz w:val="20"/>
              </w:rPr>
              <w:t>RTU）技术参数：</w:t>
            </w:r>
          </w:p>
          <w:p>
            <w:pPr>
              <w:pStyle w:val="null3"/>
              <w:jc w:val="both"/>
            </w:pPr>
            <w:r>
              <w:rPr>
                <w:rFonts w:ascii="仿宋_GB2312" w:hAnsi="仿宋_GB2312" w:cs="仿宋_GB2312" w:eastAsia="仿宋_GB2312"/>
                <w:sz w:val="20"/>
              </w:rPr>
              <w:t>▲1）符合SZY206-2021规约。</w:t>
            </w:r>
          </w:p>
          <w:p>
            <w:pPr>
              <w:pStyle w:val="null3"/>
              <w:jc w:val="both"/>
            </w:pPr>
            <w:r>
              <w:rPr>
                <w:rFonts w:ascii="仿宋_GB2312" w:hAnsi="仿宋_GB2312" w:cs="仿宋_GB2312" w:eastAsia="仿宋_GB2312"/>
                <w:sz w:val="20"/>
              </w:rPr>
              <w:t>2）低功耗：值守≤10ma@12V，工作≤30mA@12V（不含通信模块）。</w:t>
            </w:r>
          </w:p>
          <w:p>
            <w:pPr>
              <w:pStyle w:val="null3"/>
              <w:jc w:val="both"/>
            </w:pPr>
            <w:r>
              <w:rPr>
                <w:rFonts w:ascii="仿宋_GB2312" w:hAnsi="仿宋_GB2312" w:cs="仿宋_GB2312" w:eastAsia="仿宋_GB2312"/>
                <w:sz w:val="20"/>
              </w:rPr>
              <w:t>3）通信方式：内置4G全网通模块。（含6年流量服务）</w:t>
            </w:r>
          </w:p>
          <w:p>
            <w:pPr>
              <w:pStyle w:val="null3"/>
              <w:jc w:val="both"/>
            </w:pPr>
            <w:r>
              <w:rPr>
                <w:rFonts w:ascii="仿宋_GB2312" w:hAnsi="仿宋_GB2312" w:cs="仿宋_GB2312" w:eastAsia="仿宋_GB2312"/>
                <w:sz w:val="20"/>
              </w:rPr>
              <w:t>4）存储：≥8MB。</w:t>
            </w:r>
          </w:p>
          <w:p>
            <w:pPr>
              <w:pStyle w:val="null3"/>
              <w:jc w:val="both"/>
            </w:pPr>
            <w:r>
              <w:rPr>
                <w:rFonts w:ascii="仿宋_GB2312" w:hAnsi="仿宋_GB2312" w:cs="仿宋_GB2312" w:eastAsia="仿宋_GB2312"/>
                <w:sz w:val="20"/>
              </w:rPr>
              <w:t>▲5）接口：RS-485 /RS-232。</w:t>
            </w:r>
          </w:p>
          <w:p>
            <w:pPr>
              <w:pStyle w:val="null3"/>
              <w:jc w:val="both"/>
            </w:pPr>
            <w:r>
              <w:rPr>
                <w:rFonts w:ascii="仿宋_GB2312" w:hAnsi="仿宋_GB2312" w:cs="仿宋_GB2312" w:eastAsia="仿宋_GB2312"/>
                <w:sz w:val="20"/>
              </w:rPr>
              <w:t>6）工作温度：不低于-10℃~50℃。</w:t>
            </w:r>
          </w:p>
          <w:p>
            <w:pPr>
              <w:pStyle w:val="null3"/>
              <w:jc w:val="both"/>
            </w:pPr>
            <w:r>
              <w:rPr>
                <w:rFonts w:ascii="仿宋_GB2312" w:hAnsi="仿宋_GB2312" w:cs="仿宋_GB2312" w:eastAsia="仿宋_GB2312"/>
                <w:sz w:val="20"/>
              </w:rPr>
              <w:t>7）工作湿度：≤95% RH 。</w:t>
            </w:r>
          </w:p>
          <w:p>
            <w:pPr>
              <w:pStyle w:val="null3"/>
              <w:jc w:val="both"/>
            </w:pPr>
            <w:r>
              <w:rPr>
                <w:rFonts w:ascii="仿宋_GB2312" w:hAnsi="仿宋_GB2312" w:cs="仿宋_GB2312" w:eastAsia="仿宋_GB2312"/>
                <w:sz w:val="20"/>
              </w:rPr>
              <w:t>8）工作模式：支持定时自报、遥测应答、事件加报、休眠省电多种工作模式。</w:t>
            </w:r>
          </w:p>
          <w:p>
            <w:pPr>
              <w:pStyle w:val="null3"/>
              <w:jc w:val="both"/>
            </w:pPr>
            <w:r>
              <w:rPr>
                <w:rFonts w:ascii="仿宋_GB2312" w:hAnsi="仿宋_GB2312" w:cs="仿宋_GB2312" w:eastAsia="仿宋_GB2312"/>
                <w:sz w:val="20"/>
              </w:rPr>
              <w:t>9）采集功能：支持自动周期采集、阈值触发采集、远程手动召测</w:t>
            </w:r>
          </w:p>
          <w:p>
            <w:pPr>
              <w:pStyle w:val="null3"/>
              <w:jc w:val="both"/>
            </w:pPr>
            <w:r>
              <w:rPr>
                <w:rFonts w:ascii="仿宋_GB2312" w:hAnsi="仿宋_GB2312" w:cs="仿宋_GB2312" w:eastAsia="仿宋_GB2312"/>
                <w:sz w:val="20"/>
              </w:rPr>
              <w:t>10）数据功能：支持掉电数据保存、历史数据追忆、远程参数修改配置</w:t>
            </w:r>
          </w:p>
          <w:p>
            <w:pPr>
              <w:pStyle w:val="null3"/>
              <w:jc w:val="both"/>
            </w:pPr>
            <w:r>
              <w:rPr>
                <w:rFonts w:ascii="仿宋_GB2312" w:hAnsi="仿宋_GB2312" w:cs="仿宋_GB2312" w:eastAsia="仿宋_GB2312"/>
                <w:sz w:val="20"/>
              </w:rPr>
              <w:t>11）时钟精度：内置高精度硬件时钟，支持平台自动校时。</w:t>
            </w:r>
          </w:p>
          <w:p>
            <w:pPr>
              <w:pStyle w:val="null3"/>
              <w:jc w:val="both"/>
            </w:pPr>
            <w:r>
              <w:rPr>
                <w:rFonts w:ascii="仿宋_GB2312" w:hAnsi="仿宋_GB2312" w:cs="仿宋_GB2312" w:eastAsia="仿宋_GB2312"/>
                <w:sz w:val="20"/>
                <w:color w:val="000000"/>
              </w:rPr>
              <w:t>12）供电系统选型设计：主要由光伏板、集成光伏控制器、锂电池、支架等组成。对监测系统的所有设备进行供电，在阴雨天气下满足连续工作7日历天，能够保证系统正常运行。</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3）太阳能板：≥90W。</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4）锂电池：≥45Ah。</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5）立杆：高度≥3.0m，杆体外径≥114mm，管壁厚度≥2mm，满足抗风强度要求。</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6）横杆：横杆长度≥2.0m，杆体外径≥114mm，管壁厚度≥2mm。</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7）防水设备机箱：尺寸≥ 500×400×180mm，内部安装空间满足设备布置。</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土壤检测设备</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1）土</w:t>
            </w:r>
            <w:r>
              <w:rPr>
                <w:rFonts w:ascii="仿宋_GB2312" w:hAnsi="仿宋_GB2312" w:cs="仿宋_GB2312" w:eastAsia="仿宋_GB2312"/>
                <w:sz w:val="20"/>
                <w:b/>
              </w:rPr>
              <w:t>土壤墒情检测设施</w:t>
            </w:r>
          </w:p>
          <w:p>
            <w:pPr>
              <w:pStyle w:val="null3"/>
              <w:jc w:val="both"/>
            </w:pPr>
            <w:r>
              <w:rPr>
                <w:rFonts w:ascii="仿宋_GB2312" w:hAnsi="仿宋_GB2312" w:cs="仿宋_GB2312" w:eastAsia="仿宋_GB2312"/>
                <w:sz w:val="20"/>
              </w:rPr>
              <w:t>土壤墒情监测设施结构主要由土壤墒情检测系统、记录仪等组成。</w:t>
            </w:r>
          </w:p>
          <w:p>
            <w:pPr>
              <w:pStyle w:val="null3"/>
              <w:jc w:val="both"/>
            </w:pPr>
            <w:r>
              <w:rPr>
                <w:rFonts w:ascii="仿宋_GB2312" w:hAnsi="仿宋_GB2312" w:cs="仿宋_GB2312" w:eastAsia="仿宋_GB2312"/>
                <w:sz w:val="20"/>
              </w:rPr>
              <w:t>1.土壤墒情检测系统</w:t>
            </w:r>
          </w:p>
          <w:p>
            <w:pPr>
              <w:pStyle w:val="null3"/>
              <w:jc w:val="both"/>
            </w:pPr>
            <w:r>
              <w:rPr>
                <w:rFonts w:ascii="仿宋_GB2312" w:hAnsi="仿宋_GB2312" w:cs="仿宋_GB2312" w:eastAsia="仿宋_GB2312"/>
                <w:sz w:val="20"/>
              </w:rPr>
              <w:t>探针型多参数检测仪是集</w:t>
            </w:r>
            <w:r>
              <w:rPr>
                <w:rFonts w:ascii="仿宋_GB2312" w:hAnsi="仿宋_GB2312" w:cs="仿宋_GB2312" w:eastAsia="仿宋_GB2312"/>
                <w:sz w:val="20"/>
              </w:rPr>
              <w:t>“土壤温度、含水率、电导率、PH值”等多种土质参数检测于一体，是观测和研究盐渍土的发生、演变、改良以及水盐动态的重要工具。</w:t>
            </w:r>
          </w:p>
          <w:p>
            <w:pPr>
              <w:pStyle w:val="null3"/>
              <w:jc w:val="both"/>
            </w:pPr>
            <w:r>
              <w:rPr>
                <w:rFonts w:ascii="仿宋_GB2312" w:hAnsi="仿宋_GB2312" w:cs="仿宋_GB2312" w:eastAsia="仿宋_GB2312"/>
                <w:sz w:val="20"/>
              </w:rPr>
              <w:t>1）测量范围：</w:t>
            </w:r>
          </w:p>
          <w:p>
            <w:pPr>
              <w:pStyle w:val="null3"/>
              <w:jc w:val="both"/>
            </w:pPr>
            <w:r>
              <w:rPr>
                <w:rFonts w:ascii="仿宋_GB2312" w:hAnsi="仿宋_GB2312" w:cs="仿宋_GB2312" w:eastAsia="仿宋_GB2312"/>
                <w:sz w:val="20"/>
              </w:rPr>
              <w:t>▲土壤温度：不低于-40℃～+80℃</w:t>
            </w:r>
          </w:p>
          <w:p>
            <w:pPr>
              <w:pStyle w:val="null3"/>
              <w:jc w:val="both"/>
            </w:pPr>
            <w:r>
              <w:rPr>
                <w:rFonts w:ascii="仿宋_GB2312" w:hAnsi="仿宋_GB2312" w:cs="仿宋_GB2312" w:eastAsia="仿宋_GB2312"/>
                <w:sz w:val="20"/>
              </w:rPr>
              <w:t>▲土壤水分：不低于0%RH～100%RH</w:t>
            </w:r>
          </w:p>
          <w:p>
            <w:pPr>
              <w:pStyle w:val="null3"/>
              <w:jc w:val="both"/>
            </w:pPr>
            <w:r>
              <w:rPr>
                <w:rFonts w:ascii="仿宋_GB2312" w:hAnsi="仿宋_GB2312" w:cs="仿宋_GB2312" w:eastAsia="仿宋_GB2312"/>
                <w:sz w:val="20"/>
              </w:rPr>
              <w:t>▲土壤电导率：不低于0～20000μs/cm</w:t>
            </w:r>
          </w:p>
          <w:p>
            <w:pPr>
              <w:pStyle w:val="null3"/>
              <w:jc w:val="both"/>
            </w:pPr>
            <w:r>
              <w:rPr>
                <w:rFonts w:ascii="仿宋_GB2312" w:hAnsi="仿宋_GB2312" w:cs="仿宋_GB2312" w:eastAsia="仿宋_GB2312"/>
                <w:sz w:val="20"/>
              </w:rPr>
              <w:t>▲土壤pH：不低于3～9pH</w:t>
            </w:r>
          </w:p>
          <w:p>
            <w:pPr>
              <w:pStyle w:val="null3"/>
              <w:jc w:val="both"/>
            </w:pPr>
            <w:r>
              <w:rPr>
                <w:rFonts w:ascii="仿宋_GB2312" w:hAnsi="仿宋_GB2312" w:cs="仿宋_GB2312" w:eastAsia="仿宋_GB2312"/>
                <w:sz w:val="20"/>
              </w:rPr>
              <w:t>2）技术参数：</w:t>
            </w:r>
          </w:p>
          <w:p>
            <w:pPr>
              <w:pStyle w:val="null3"/>
              <w:jc w:val="both"/>
            </w:pPr>
            <w:r>
              <w:rPr>
                <w:rFonts w:ascii="仿宋_GB2312" w:hAnsi="仿宋_GB2312" w:cs="仿宋_GB2312" w:eastAsia="仿宋_GB2312"/>
                <w:sz w:val="20"/>
              </w:rPr>
              <w:t>▲接口：RS485</w:t>
            </w:r>
          </w:p>
          <w:p>
            <w:pPr>
              <w:pStyle w:val="null3"/>
              <w:jc w:val="both"/>
            </w:pPr>
            <w:r>
              <w:rPr>
                <w:rFonts w:ascii="仿宋_GB2312" w:hAnsi="仿宋_GB2312" w:cs="仿宋_GB2312" w:eastAsia="仿宋_GB2312"/>
                <w:sz w:val="20"/>
              </w:rPr>
              <w:t>供电方式：</w:t>
            </w:r>
            <w:r>
              <w:rPr>
                <w:rFonts w:ascii="仿宋_GB2312" w:hAnsi="仿宋_GB2312" w:cs="仿宋_GB2312" w:eastAsia="仿宋_GB2312"/>
                <w:sz w:val="20"/>
              </w:rPr>
              <w:t>DC4.5V～30V</w:t>
            </w:r>
          </w:p>
          <w:p>
            <w:pPr>
              <w:pStyle w:val="null3"/>
              <w:jc w:val="both"/>
            </w:pPr>
            <w:r>
              <w:rPr>
                <w:rFonts w:ascii="仿宋_GB2312" w:hAnsi="仿宋_GB2312" w:cs="仿宋_GB2312" w:eastAsia="仿宋_GB2312"/>
                <w:sz w:val="20"/>
              </w:rPr>
              <w:t>平均功耗：</w:t>
            </w:r>
            <w:r>
              <w:rPr>
                <w:rFonts w:ascii="仿宋_GB2312" w:hAnsi="仿宋_GB2312" w:cs="仿宋_GB2312" w:eastAsia="仿宋_GB2312"/>
                <w:sz w:val="20"/>
              </w:rPr>
              <w:t>0.5W（24V DC供电）</w:t>
            </w:r>
          </w:p>
          <w:p>
            <w:pPr>
              <w:pStyle w:val="null3"/>
              <w:jc w:val="both"/>
            </w:pPr>
            <w:r>
              <w:rPr>
                <w:rFonts w:ascii="仿宋_GB2312" w:hAnsi="仿宋_GB2312" w:cs="仿宋_GB2312" w:eastAsia="仿宋_GB2312"/>
                <w:sz w:val="20"/>
              </w:rPr>
              <w:t>防护等级：</w:t>
            </w:r>
            <w:r>
              <w:rPr>
                <w:rFonts w:ascii="仿宋_GB2312" w:hAnsi="仿宋_GB2312" w:cs="仿宋_GB2312" w:eastAsia="仿宋_GB2312"/>
                <w:sz w:val="20"/>
              </w:rPr>
              <w:t>≥IP68</w:t>
            </w:r>
          </w:p>
          <w:p>
            <w:pPr>
              <w:pStyle w:val="null3"/>
              <w:jc w:val="both"/>
            </w:pPr>
            <w:r>
              <w:rPr>
                <w:rFonts w:ascii="仿宋_GB2312" w:hAnsi="仿宋_GB2312" w:cs="仿宋_GB2312" w:eastAsia="仿宋_GB2312"/>
                <w:sz w:val="20"/>
              </w:rPr>
              <w:t>工作温度：</w:t>
            </w:r>
            <w:r>
              <w:rPr>
                <w:rFonts w:ascii="仿宋_GB2312" w:hAnsi="仿宋_GB2312" w:cs="仿宋_GB2312" w:eastAsia="仿宋_GB2312"/>
                <w:sz w:val="20"/>
              </w:rPr>
              <w:t>-20℃～+60℃</w:t>
            </w:r>
          </w:p>
          <w:p>
            <w:pPr>
              <w:pStyle w:val="null3"/>
              <w:jc w:val="both"/>
            </w:pPr>
            <w:r>
              <w:rPr>
                <w:rFonts w:ascii="仿宋_GB2312" w:hAnsi="仿宋_GB2312" w:cs="仿宋_GB2312" w:eastAsia="仿宋_GB2312"/>
                <w:sz w:val="20"/>
              </w:rPr>
              <w:t>内核芯片耐温：</w:t>
            </w:r>
            <w:r>
              <w:rPr>
                <w:rFonts w:ascii="仿宋_GB2312" w:hAnsi="仿宋_GB2312" w:cs="仿宋_GB2312" w:eastAsia="仿宋_GB2312"/>
                <w:sz w:val="20"/>
              </w:rPr>
              <w:t>85℃</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2）</w:t>
            </w:r>
            <w:r>
              <w:rPr>
                <w:rFonts w:ascii="仿宋_GB2312" w:hAnsi="仿宋_GB2312" w:cs="仿宋_GB2312" w:eastAsia="仿宋_GB2312"/>
                <w:sz w:val="20"/>
              </w:rPr>
              <w:t>记录仪数据采集终端</w:t>
            </w:r>
          </w:p>
          <w:p>
            <w:pPr>
              <w:pStyle w:val="null3"/>
              <w:jc w:val="both"/>
            </w:pPr>
            <w:r>
              <w:rPr>
                <w:rFonts w:ascii="仿宋_GB2312" w:hAnsi="仿宋_GB2312" w:cs="仿宋_GB2312" w:eastAsia="仿宋_GB2312"/>
                <w:sz w:val="20"/>
              </w:rPr>
              <w:t>记录仪是集</w:t>
            </w:r>
            <w:r>
              <w:rPr>
                <w:rFonts w:ascii="仿宋_GB2312" w:hAnsi="仿宋_GB2312" w:cs="仿宋_GB2312" w:eastAsia="仿宋_GB2312"/>
                <w:sz w:val="20"/>
              </w:rPr>
              <w:t>"土质观测、记录、分析为一体"的智能化便携检测仪器，整机具备"重量轻、体积小、快速布设、方便收纳、电池供电"等优点，适用于各种需要快速检测土壤土质的应用场景。</w:t>
            </w:r>
          </w:p>
          <w:p>
            <w:pPr>
              <w:pStyle w:val="null3"/>
              <w:jc w:val="both"/>
            </w:pPr>
            <w:r>
              <w:rPr>
                <w:rFonts w:ascii="仿宋_GB2312" w:hAnsi="仿宋_GB2312" w:cs="仿宋_GB2312" w:eastAsia="仿宋_GB2312"/>
                <w:sz w:val="20"/>
              </w:rPr>
              <w:t>1）设备参数：</w:t>
            </w:r>
          </w:p>
          <w:p>
            <w:pPr>
              <w:pStyle w:val="null3"/>
              <w:jc w:val="both"/>
            </w:pPr>
            <w:r>
              <w:rPr>
                <w:rFonts w:ascii="仿宋_GB2312" w:hAnsi="仿宋_GB2312" w:cs="仿宋_GB2312" w:eastAsia="仿宋_GB2312"/>
                <w:sz w:val="20"/>
              </w:rPr>
              <w:t>工作温度：</w:t>
            </w:r>
            <w:r>
              <w:rPr>
                <w:rFonts w:ascii="仿宋_GB2312" w:hAnsi="仿宋_GB2312" w:cs="仿宋_GB2312" w:eastAsia="仿宋_GB2312"/>
                <w:sz w:val="20"/>
              </w:rPr>
              <w:t>-20℃～60℃</w:t>
            </w:r>
          </w:p>
          <w:p>
            <w:pPr>
              <w:pStyle w:val="null3"/>
              <w:jc w:val="both"/>
            </w:pPr>
            <w:r>
              <w:rPr>
                <w:rFonts w:ascii="仿宋_GB2312" w:hAnsi="仿宋_GB2312" w:cs="仿宋_GB2312" w:eastAsia="仿宋_GB2312"/>
                <w:sz w:val="20"/>
              </w:rPr>
              <w:t>工作湿度：</w:t>
            </w:r>
            <w:r>
              <w:rPr>
                <w:rFonts w:ascii="仿宋_GB2312" w:hAnsi="仿宋_GB2312" w:cs="仿宋_GB2312" w:eastAsia="仿宋_GB2312"/>
                <w:sz w:val="20"/>
              </w:rPr>
              <w:t>&lt;95%RH，无凝露</w:t>
            </w:r>
          </w:p>
          <w:p>
            <w:pPr>
              <w:pStyle w:val="null3"/>
              <w:jc w:val="both"/>
            </w:pPr>
            <w:r>
              <w:rPr>
                <w:rFonts w:ascii="仿宋_GB2312" w:hAnsi="仿宋_GB2312" w:cs="仿宋_GB2312" w:eastAsia="仿宋_GB2312"/>
                <w:sz w:val="20"/>
              </w:rPr>
              <w:t>▲待机时间：大于8h连续</w:t>
            </w:r>
          </w:p>
          <w:p>
            <w:pPr>
              <w:pStyle w:val="null3"/>
              <w:jc w:val="both"/>
            </w:pPr>
            <w:r>
              <w:rPr>
                <w:rFonts w:ascii="仿宋_GB2312" w:hAnsi="仿宋_GB2312" w:cs="仿宋_GB2312" w:eastAsia="仿宋_GB2312"/>
                <w:sz w:val="20"/>
              </w:rPr>
              <w:t>▲数据存储：≥100万条</w:t>
            </w:r>
          </w:p>
          <w:p>
            <w:pPr>
              <w:pStyle w:val="null3"/>
              <w:jc w:val="both"/>
            </w:pPr>
            <w:r>
              <w:rPr>
                <w:rFonts w:ascii="仿宋_GB2312" w:hAnsi="仿宋_GB2312" w:cs="仿宋_GB2312" w:eastAsia="仿宋_GB2312"/>
                <w:sz w:val="20"/>
              </w:rPr>
              <w:t>通信接口：</w:t>
            </w:r>
            <w:r>
              <w:rPr>
                <w:rFonts w:ascii="仿宋_GB2312" w:hAnsi="仿宋_GB2312" w:cs="仿宋_GB2312" w:eastAsia="仿宋_GB2312"/>
                <w:sz w:val="20"/>
              </w:rPr>
              <w:t>USB数据导出、RS485主站采集</w:t>
            </w:r>
          </w:p>
          <w:p>
            <w:pPr>
              <w:pStyle w:val="null3"/>
              <w:jc w:val="both"/>
            </w:pPr>
            <w:r>
              <w:rPr>
                <w:rFonts w:ascii="仿宋_GB2312" w:hAnsi="仿宋_GB2312" w:cs="仿宋_GB2312" w:eastAsia="仿宋_GB2312"/>
                <w:sz w:val="20"/>
                <w:b/>
              </w:rPr>
              <w:t>三、农林气象监测设施</w:t>
            </w:r>
          </w:p>
          <w:p>
            <w:pPr>
              <w:pStyle w:val="null3"/>
              <w:jc w:val="both"/>
            </w:pPr>
            <w:r>
              <w:rPr>
                <w:rFonts w:ascii="仿宋_GB2312" w:hAnsi="仿宋_GB2312" w:cs="仿宋_GB2312" w:eastAsia="仿宋_GB2312"/>
                <w:sz w:val="20"/>
              </w:rPr>
              <w:t>农林气象监测设施，使用设备生产厂家的相关平台接收及数据分析系统，</w:t>
            </w:r>
            <w:r>
              <w:rPr>
                <w:rFonts w:ascii="仿宋_GB2312" w:hAnsi="仿宋_GB2312" w:cs="仿宋_GB2312" w:eastAsia="仿宋_GB2312"/>
                <w:sz w:val="20"/>
              </w:rPr>
              <w:t>4G上传，3年流量服务。可与电脑、手机APP无线通信链接，导出相关数据。</w:t>
            </w:r>
          </w:p>
          <w:p>
            <w:pPr>
              <w:pStyle w:val="null3"/>
              <w:jc w:val="both"/>
            </w:pPr>
            <w:r>
              <w:rPr>
                <w:rFonts w:ascii="仿宋_GB2312" w:hAnsi="仿宋_GB2312" w:cs="仿宋_GB2312" w:eastAsia="仿宋_GB2312"/>
                <w:sz w:val="20"/>
              </w:rPr>
              <w:t>▲农林气象监测系统集风速、风向、空气温湿度、大气压力、光照强度、降水量等多个气象监测设备于一体，可实现对农田气象环境的24小时实时监测。用户可根据需要进行气象数据的统计分析，曲线分析，并提供数据的下载分析功能，数据通过4G网络传递至数据管理中心，供客户端下载。</w:t>
            </w:r>
          </w:p>
          <w:p>
            <w:pPr>
              <w:pStyle w:val="null3"/>
              <w:jc w:val="both"/>
            </w:pPr>
            <w:r>
              <w:rPr>
                <w:rFonts w:ascii="仿宋_GB2312" w:hAnsi="仿宋_GB2312" w:cs="仿宋_GB2312" w:eastAsia="仿宋_GB2312"/>
                <w:sz w:val="20"/>
                <w:b/>
              </w:rPr>
              <w:t>服务期限</w:t>
            </w:r>
          </w:p>
          <w:p>
            <w:pPr>
              <w:pStyle w:val="null3"/>
              <w:jc w:val="both"/>
            </w:pPr>
            <w:r>
              <w:rPr>
                <w:rFonts w:ascii="仿宋_GB2312" w:hAnsi="仿宋_GB2312" w:cs="仿宋_GB2312" w:eastAsia="仿宋_GB2312"/>
                <w:sz w:val="20"/>
              </w:rPr>
              <w:t>自合同签订之日起一年。</w:t>
            </w:r>
          </w:p>
          <w:p>
            <w:pPr>
              <w:pStyle w:val="null3"/>
              <w:jc w:val="both"/>
            </w:pPr>
            <w:r>
              <w:rPr>
                <w:rFonts w:ascii="仿宋_GB2312" w:hAnsi="仿宋_GB2312" w:cs="仿宋_GB2312" w:eastAsia="仿宋_GB2312"/>
                <w:sz w:val="20"/>
              </w:rPr>
              <w:t>质保期：</w:t>
            </w:r>
            <w:r>
              <w:rPr>
                <w:rFonts w:ascii="仿宋_GB2312" w:hAnsi="仿宋_GB2312" w:cs="仿宋_GB2312" w:eastAsia="仿宋_GB2312"/>
                <w:sz w:val="20"/>
              </w:rPr>
              <w:t>1年</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项目成果均需通过相关部门的验收。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签订合同后，达到付款条件起10个工作日内，支付合同总金额的40.0%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进度款，项目验收合格后，达到付款条件起10个工作日内，支付合同总金额的57.0%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进度款，质保期满后，无质量保修缺陷一次性不计息支付，达到付款条件起10个工作日内，支付合同总金额的3.0%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按《民法典》中的相关条款和本合同的的约定执行。未按合同或响应文件要求提供服务质里不能满足中方技术要求，甲方有权终止合同，甚至对乙方约行为进行追究。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为总价报价，磋商报价是供应商完成本项目所要求内容且验收合格的所有费用，包括但不限于人工费、检测费、设备费、税金、采购代理服务费等其他一切相关费用。任何有选择的报价将不予接受，否则按无效磋商处理。 （2）项目属性：服务。 （3）本项目所属行业为：其他未列明行业，从业人员300人以下为中小微型企业。其中，从业人员100人及以上的为中型企业；从业人员10人及以上的为小型企业；从业人员10人以下的为微型企业。 （4）按照西安市财政局关于促进政府采购公平竞争优化营商环境的通知&gt;(市财函(2021)431号)规定:供应商登记免费领取磋商文件的，如不参与项目投标，应在递交磋商响应文件截止时间前一日以书面形式告知采购代理机构。否则，采购代理机构可以向财政部门反映情况并提供相应的佐证。供应商一年内累计出现三次该情形，将被监管部门记录为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提供经审计的2025年度完整的财务报告或提交投标文件截止时间前六个月内其基本账户开户银行出具的资信证明；其他组织和自然人提供银行出具的资信证明或财务报表；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法定代表人授权书（附法定代表人、被授权人身份证复印件及被授权人在本单位缴纳社保证明），法定代表人直接参加投标，须提供法定代表人身份证明；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业绩.docx 中小企业声明函 商务应答表 服务内容及服务要求应答表 资格证明文件.docx 响应文件封面 报价一览表及分项报价表.docx 残疾人福利性单位声明函 服务方案 标的清单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业绩.docx 中小企业声明函 商务应答表 服务内容及服务要求应答表 报价表 资格证明文件.docx 响应文件封面 报价一览表及分项报价表.docx 残疾人福利性单位声明函 服务方案 标的清单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报价一览表及分项报价表.docx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业绩.docx 中小企业声明函 商务应答表 服务内容及服务要求应答表 报价表 资格证明文件.docx 响应文件封面 报价一览表及分项报价表.docx 残疾人福利性单位声明函 服务方案 标的清单 响应函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业绩.docx 中小企业声明函 商务应答表 服务内容及服务要求应答表 报价表 资格证明文件.docx 响应文件封面 报价一览表及分项报价表.docx 残疾人福利性单位声明函 服务方案 标的清单 响应函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评审内容 提供的产品技术参数及功能指标等满足磋商文件要求，符合国家、行业技术标准等，本项满分15分；（完全满足招标文件要求无偏离得15分；标记“▲”参数为重点参数，每负偏离1项扣1分，未标记的参数为一般参数，每负偏离1项扣1分，扣完为止）。应提供相关检测报告或产品彩页等可以证明产品参数的资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项目理解与重难点分析</w:t>
            </w:r>
          </w:p>
        </w:tc>
        <w:tc>
          <w:tcPr>
            <w:tcW w:type="dxa" w:w="2492"/>
          </w:tcPr>
          <w:p>
            <w:pPr>
              <w:pStyle w:val="null3"/>
            </w:pPr>
            <w:r>
              <w:rPr>
                <w:rFonts w:ascii="仿宋_GB2312" w:hAnsi="仿宋_GB2312" w:cs="仿宋_GB2312" w:eastAsia="仿宋_GB2312"/>
              </w:rPr>
              <w:t>一、评审内容 针对采购内容提出对项目的理解与重难点分析，内容包括：①项目实施工作思路；②项目实施工作调研内容；③项目实施目标分析。 二、评审标准 1、完整性：方案必须全面，对评审内容中的各项要求有详细描述； 2、针对性：方案能够紧扣项目实际情况，内容科学合理； 3、可实施性：切合本项目实际情况，提出步骤清晰、合理的方案。 三、赋分标准（满分18分） 评审内容每缺一项扣6分，评审内容有缺陷未完全响应评审标准的每项扣0.1-5.9分。 方案内容与本项目无关或未提供的，得0分。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项目实施方案、进度与应急保障</w:t>
            </w:r>
          </w:p>
        </w:tc>
        <w:tc>
          <w:tcPr>
            <w:tcW w:type="dxa" w:w="2492"/>
          </w:tcPr>
          <w:p>
            <w:pPr>
              <w:pStyle w:val="null3"/>
            </w:pPr>
            <w:r>
              <w:rPr>
                <w:rFonts w:ascii="仿宋_GB2312" w:hAnsi="仿宋_GB2312" w:cs="仿宋_GB2312" w:eastAsia="仿宋_GB2312"/>
              </w:rPr>
              <w:t>一、评审内容 针对采购内容提出项目实施方案、进度与应急保障措施，重点对用水核算技术方案及核算方法进行理解分析，方案包括：①总体实施方案；②进度保障措施；③质量保障措施；④应急预案 二、评审标准 1、完整性：方案必须全面，对评审内容中的各项要求有详细描述； 2、针对性：方案能够紧扣项目实际情况，内容科学合理； 3、可实施性：切合本项目实际情况，提出步骤清晰、合理的方案。 三、赋分标准（满分24分） 评审内容每缺一项扣6分，评审内容有缺陷未完全响应评审标准的每项扣0.1-5.9分。 方案内容与本项目无关或未提供的，得0分。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投标人针对本项目提供的售后服务承诺，包括售后服务流程、响应能力与响应时间、应急处理预案、备品备件保障等服务承诺。二、评审和赋分标准：1、方案详尽可行，响应时间优于要求，售后服务团队配置完善，得5-8分；2、 方案完整，但缺乏针对性的具体措施，得2-5分；3、提供了基本售后服务承诺，内容过于简略，无明显针对性，得1-2分。方案内容与本项目无关或未提供的，得0分。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1、项目负责人具备中级及以上职称的得3分，最高3分。 2、项目负责人具备水利相关职业资格证书的得2分，最高2分。 评审依据:以申请人加盖公章的职称证、职业资格证书复印件或扫描件为准，并提供本公司2026年任意一个月的社保证明。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项目团队及人员配置</w:t>
            </w:r>
          </w:p>
        </w:tc>
        <w:tc>
          <w:tcPr>
            <w:tcW w:type="dxa" w:w="2492"/>
          </w:tcPr>
          <w:p>
            <w:pPr>
              <w:pStyle w:val="null3"/>
            </w:pPr>
            <w:r>
              <w:rPr>
                <w:rFonts w:ascii="仿宋_GB2312" w:hAnsi="仿宋_GB2312" w:cs="仿宋_GB2312" w:eastAsia="仿宋_GB2312"/>
              </w:rPr>
              <w:t>1、项目技术人员具备水利或水资源相关专业高级职称的，每提供一名人员得3分最高得6分。 评审依据：以申请人加盖公章的职称证复印件或扫描件为准，并提供技术总工的劳动合同或本公司2026年任意一个月的社保证明。 2、项目团队成员具备相关特种作业操作证的，每个得1分，满分2分；项目团队成员具备水利相关证书，每个得1分，满分2分。 评审依据：以申请人加盖公章的特种作业操作证、相关证书复印件或扫描件为准，并提供本公司2026年的任意一个月社保证明或劳动合同。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供应商提供2024年1月1日至今类似项目业绩，业绩以合同为依据，响应文件中附有其证明资料，每提供一个业绩证明计5分，满分10分。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1.经初审合格的磋商响应文件，其磋商报价为有效磋商报价，并进行价格评审。 2.满足磋商文件实质性要求且最终报价最低的供应商的价格为磋商基准价，其价格分为满分10分。 3.磋商报价得分=（磋商基准价/最终磋商报价）×10的公式计算得分。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详见附件：报价一览表及分项报价表.docx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