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B78D566">
      <w:pPr>
        <w:pStyle w:val="2"/>
        <w:numPr>
          <w:ilvl w:val="0"/>
          <w:numId w:val="0"/>
        </w:numPr>
        <w:snapToGrid w:val="0"/>
        <w:spacing w:line="360" w:lineRule="auto"/>
        <w:jc w:val="center"/>
        <w:rPr>
          <w:rFonts w:hint="eastAsia" w:ascii="仿宋" w:eastAsia="仿宋" w:cs="仿宋"/>
          <w:sz w:val="36"/>
          <w:szCs w:val="36"/>
          <w:lang w:bidi="ar-SA"/>
        </w:rPr>
      </w:pPr>
      <w:r>
        <w:rPr>
          <w:rFonts w:hint="eastAsia" w:ascii="仿宋" w:eastAsia="仿宋" w:cs="仿宋"/>
          <w:sz w:val="36"/>
          <w:szCs w:val="36"/>
          <w:lang w:bidi="ar-SA"/>
        </w:rPr>
        <w:t>合同格式及主要条款</w:t>
      </w:r>
    </w:p>
    <w:p w14:paraId="7DBEA436">
      <w:pPr>
        <w:spacing w:before="120" w:line="360" w:lineRule="auto"/>
        <w:jc w:val="center"/>
        <w:rPr>
          <w:rFonts w:hint="eastAsia" w:ascii="仿宋" w:eastAsia="仿宋" w:cs="仿宋"/>
          <w:b/>
          <w:bCs/>
          <w:sz w:val="28"/>
          <w:szCs w:val="28"/>
          <w:lang w:bidi="ar-SA"/>
        </w:rPr>
      </w:pPr>
      <w:r>
        <w:rPr>
          <w:rFonts w:hint="eastAsia" w:ascii="仿宋" w:eastAsia="仿宋" w:cs="仿宋"/>
          <w:b/>
          <w:bCs/>
          <w:sz w:val="28"/>
          <w:szCs w:val="28"/>
          <w:lang w:bidi="ar-SA"/>
        </w:rPr>
        <w:t>（参考格式）</w:t>
      </w:r>
    </w:p>
    <w:p w14:paraId="79B0F374">
      <w:pPr>
        <w:spacing w:line="360" w:lineRule="auto"/>
        <w:ind w:firstLine="482" w:firstLineChars="200"/>
        <w:jc w:val="left"/>
        <w:rPr>
          <w:rFonts w:hint="eastAsia" w:ascii="仿宋" w:hAnsi="仿宋" w:eastAsia="仿宋" w:cs="仿宋"/>
          <w:b/>
          <w:sz w:val="24"/>
          <w:szCs w:val="24"/>
          <w:lang w:eastAsia="zh-CN"/>
        </w:rPr>
      </w:pPr>
      <w:r>
        <w:rPr>
          <w:rFonts w:hint="eastAsia" w:ascii="仿宋" w:hAnsi="仿宋" w:eastAsia="仿宋" w:cs="仿宋"/>
          <w:b/>
          <w:sz w:val="24"/>
          <w:szCs w:val="24"/>
        </w:rPr>
        <w:t>采购人（甲方）：</w:t>
      </w:r>
      <w:r>
        <w:rPr>
          <w:rFonts w:hint="eastAsia" w:ascii="仿宋" w:hAnsi="仿宋" w:eastAsia="仿宋" w:cs="仿宋"/>
          <w:b/>
          <w:sz w:val="24"/>
          <w:szCs w:val="24"/>
          <w:lang w:eastAsia="zh-CN"/>
        </w:rPr>
        <w:t>西安市农业农村局</w:t>
      </w:r>
    </w:p>
    <w:p w14:paraId="69B23C7A">
      <w:pPr>
        <w:spacing w:line="360" w:lineRule="auto"/>
        <w:ind w:firstLine="482" w:firstLineChars="200"/>
        <w:jc w:val="left"/>
        <w:rPr>
          <w:rFonts w:hint="eastAsia" w:ascii="仿宋" w:hAnsi="仿宋" w:eastAsia="仿宋" w:cs="仿宋"/>
          <w:b/>
          <w:sz w:val="24"/>
          <w:szCs w:val="24"/>
        </w:rPr>
      </w:pPr>
      <w:r>
        <w:rPr>
          <w:rFonts w:hint="eastAsia" w:ascii="仿宋" w:hAnsi="仿宋" w:eastAsia="仿宋" w:cs="仿宋"/>
          <w:b/>
          <w:sz w:val="24"/>
          <w:szCs w:val="24"/>
        </w:rPr>
        <w:t>供应商（乙方）：</w:t>
      </w:r>
    </w:p>
    <w:p w14:paraId="4852BFD8">
      <w:pPr>
        <w:spacing w:line="50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根据《中华人民共和国民法典》、《中华人民共和国政府采购法》与项目行业有关的法律法规，以及本项目相关采购要求的规定，合同双方就乙方向采购方提供</w:t>
      </w:r>
      <w:r>
        <w:rPr>
          <w:rFonts w:hint="eastAsia" w:ascii="仿宋" w:hAnsi="仿宋" w:eastAsia="仿宋" w:cs="仿宋"/>
          <w:sz w:val="24"/>
          <w:szCs w:val="24"/>
          <w:u w:val="single"/>
        </w:rPr>
        <w:t>202</w:t>
      </w:r>
      <w:r>
        <w:rPr>
          <w:rFonts w:hint="eastAsia" w:ascii="仿宋" w:hAnsi="仿宋" w:eastAsia="仿宋" w:cs="仿宋"/>
          <w:sz w:val="24"/>
          <w:szCs w:val="24"/>
          <w:u w:val="single"/>
          <w:lang w:val="en-US" w:eastAsia="zh-CN"/>
        </w:rPr>
        <w:t>6</w:t>
      </w:r>
      <w:r>
        <w:rPr>
          <w:rFonts w:hint="eastAsia" w:ascii="仿宋" w:hAnsi="仿宋" w:eastAsia="仿宋" w:cs="仿宋"/>
          <w:sz w:val="24"/>
          <w:szCs w:val="24"/>
          <w:u w:val="single"/>
        </w:rPr>
        <w:t xml:space="preserve">年度农产品质量安全专项和应急风险监测项目 </w:t>
      </w:r>
      <w:r>
        <w:rPr>
          <w:rFonts w:hint="eastAsia" w:ascii="仿宋" w:hAnsi="仿宋" w:eastAsia="仿宋" w:cs="仿宋"/>
          <w:sz w:val="24"/>
          <w:szCs w:val="24"/>
        </w:rPr>
        <w:t>服务事宜，经协商达成一致，确立本合同。</w:t>
      </w:r>
    </w:p>
    <w:p w14:paraId="35990395">
      <w:pPr>
        <w:spacing w:line="50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第一条 合同标的及付款方式</w:t>
      </w:r>
    </w:p>
    <w:p w14:paraId="701C8ECB">
      <w:pPr>
        <w:spacing w:line="50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1、合同标的及标的物</w:t>
      </w:r>
    </w:p>
    <w:p w14:paraId="34C9ED35">
      <w:pPr>
        <w:spacing w:line="500" w:lineRule="exact"/>
        <w:ind w:firstLine="480" w:firstLineChars="200"/>
        <w:rPr>
          <w:rFonts w:hint="default" w:ascii="仿宋" w:hAnsi="仿宋" w:eastAsia="仿宋" w:cs="仿宋"/>
          <w:sz w:val="24"/>
          <w:szCs w:val="24"/>
          <w:lang w:val="en-US"/>
        </w:rPr>
      </w:pPr>
      <w:r>
        <w:rPr>
          <w:rFonts w:hint="eastAsia" w:ascii="仿宋" w:hAnsi="仿宋" w:eastAsia="仿宋" w:cs="仿宋"/>
          <w:sz w:val="24"/>
          <w:szCs w:val="24"/>
          <w:lang w:eastAsia="zh-CN"/>
        </w:rPr>
        <w:t>农产品质量安全专项和应急风险监测项目</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lang w:val="en-US" w:eastAsia="zh-CN"/>
        </w:rPr>
        <w:t>包</w:t>
      </w:r>
    </w:p>
    <w:p w14:paraId="2E7F8FD1">
      <w:pPr>
        <w:spacing w:line="50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2、费用标准</w:t>
      </w:r>
    </w:p>
    <w:p w14:paraId="575FFA9B">
      <w:pPr>
        <w:spacing w:line="500" w:lineRule="exact"/>
        <w:ind w:firstLine="480" w:firstLineChars="200"/>
        <w:rPr>
          <w:rFonts w:hint="eastAsia" w:ascii="仿宋" w:hAnsi="仿宋" w:eastAsia="仿宋" w:cs="仿宋"/>
          <w:sz w:val="24"/>
          <w:szCs w:val="24"/>
          <w:highlight w:val="none"/>
        </w:rPr>
      </w:pPr>
      <w:r>
        <w:rPr>
          <w:rFonts w:hint="eastAsia" w:ascii="仿宋" w:hAnsi="仿宋" w:eastAsia="仿宋" w:cs="仿宋"/>
          <w:sz w:val="24"/>
          <w:szCs w:val="24"/>
        </w:rPr>
        <w:t>人民币大写：</w:t>
      </w:r>
      <w:r>
        <w:rPr>
          <w:rFonts w:hint="eastAsia" w:ascii="仿宋" w:hAnsi="仿宋" w:eastAsia="仿宋" w:cs="仿宋"/>
          <w:sz w:val="24"/>
          <w:szCs w:val="24"/>
          <w:u w:val="single"/>
        </w:rPr>
        <w:t xml:space="preserve">     </w:t>
      </w:r>
      <w:r>
        <w:rPr>
          <w:rFonts w:hint="eastAsia" w:ascii="仿宋" w:hAnsi="仿宋" w:eastAsia="仿宋" w:cs="仿宋"/>
          <w:sz w:val="24"/>
          <w:szCs w:val="24"/>
        </w:rPr>
        <w:t xml:space="preserve">元整 ，（人民币小写 </w:t>
      </w:r>
      <w:r>
        <w:rPr>
          <w:rFonts w:hint="eastAsia" w:ascii="仿宋" w:hAnsi="仿宋" w:eastAsia="仿宋" w:cs="仿宋"/>
          <w:sz w:val="24"/>
          <w:szCs w:val="24"/>
          <w:u w:val="single"/>
        </w:rPr>
        <w:t xml:space="preserve">   </w:t>
      </w:r>
      <w:r>
        <w:rPr>
          <w:rFonts w:hint="eastAsia" w:ascii="仿宋" w:hAnsi="仿宋" w:eastAsia="仿宋" w:cs="仿宋"/>
          <w:sz w:val="24"/>
          <w:szCs w:val="24"/>
        </w:rPr>
        <w:t>元整 ）。该费用为含税价，包含</w:t>
      </w:r>
      <w:r>
        <w:rPr>
          <w:rFonts w:hint="eastAsia" w:ascii="仿宋" w:hAnsi="仿宋" w:eastAsia="仿宋" w:cs="仿宋"/>
          <w:sz w:val="24"/>
          <w:szCs w:val="24"/>
          <w:lang w:val="en-US" w:eastAsia="zh-CN"/>
        </w:rPr>
        <w:t>服务</w:t>
      </w:r>
      <w:r>
        <w:rPr>
          <w:rFonts w:hint="eastAsia" w:ascii="仿宋" w:hAnsi="仿宋" w:eastAsia="仿宋" w:cs="仿宋"/>
          <w:sz w:val="24"/>
          <w:szCs w:val="24"/>
        </w:rPr>
        <w:t>费、实施费、管</w:t>
      </w:r>
      <w:r>
        <w:rPr>
          <w:rFonts w:hint="eastAsia" w:ascii="仿宋" w:hAnsi="仿宋" w:eastAsia="仿宋" w:cs="仿宋"/>
          <w:sz w:val="24"/>
          <w:szCs w:val="24"/>
          <w:highlight w:val="none"/>
        </w:rPr>
        <w:t>理费、人工费、保险费、税费等乙方完成本合同全部义务的所有费用。</w:t>
      </w:r>
    </w:p>
    <w:p w14:paraId="3C8254F7">
      <w:pPr>
        <w:numPr>
          <w:ilvl w:val="0"/>
          <w:numId w:val="0"/>
        </w:numPr>
        <w:spacing w:line="500" w:lineRule="exact"/>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3、结算方式</w:t>
      </w:r>
    </w:p>
    <w:p w14:paraId="06E1C49F">
      <w:pPr>
        <w:numPr>
          <w:ilvl w:val="0"/>
          <w:numId w:val="0"/>
        </w:numPr>
        <w:spacing w:line="500" w:lineRule="exact"/>
        <w:ind w:firstLine="480" w:firstLineChars="200"/>
        <w:rPr>
          <w:rFonts w:hint="eastAsia" w:ascii="仿宋" w:hAnsi="仿宋" w:eastAsia="仿宋" w:cs="仿宋"/>
          <w:color w:val="auto"/>
          <w:sz w:val="24"/>
          <w:szCs w:val="24"/>
          <w:lang w:val="en-US" w:eastAsia="zh-CN"/>
        </w:rPr>
      </w:pPr>
      <w:bookmarkStart w:id="0" w:name="OLE_LINK2"/>
      <w:bookmarkStart w:id="1" w:name="OLE_LINK1"/>
      <w:bookmarkStart w:id="2" w:name="OLE_LINK5"/>
      <w:bookmarkStart w:id="3" w:name="OLE_LINK6"/>
      <w:r>
        <w:rPr>
          <w:rFonts w:hint="eastAsia" w:ascii="仿宋" w:hAnsi="仿宋" w:eastAsia="仿宋" w:cs="仿宋"/>
          <w:color w:val="auto"/>
          <w:sz w:val="24"/>
          <w:szCs w:val="24"/>
          <w:lang w:val="en-US" w:eastAsia="zh-CN"/>
        </w:rPr>
        <w:t>（1）合同签订后，达到付款条件30日内，支付合同总价款的40%。</w:t>
      </w:r>
    </w:p>
    <w:bookmarkEnd w:id="0"/>
    <w:bookmarkEnd w:id="1"/>
    <w:p w14:paraId="33762094">
      <w:pPr>
        <w:numPr>
          <w:ilvl w:val="0"/>
          <w:numId w:val="0"/>
        </w:numPr>
        <w:spacing w:line="500" w:lineRule="exact"/>
        <w:ind w:firstLine="480" w:firstLineChars="200"/>
        <w:rPr>
          <w:rFonts w:hint="eastAsia" w:ascii="仿宋" w:hAnsi="仿宋" w:eastAsia="仿宋" w:cs="仿宋"/>
          <w:color w:val="auto"/>
          <w:sz w:val="24"/>
          <w:szCs w:val="24"/>
          <w:lang w:val="en-US" w:eastAsia="zh-CN"/>
        </w:rPr>
      </w:pPr>
      <w:bookmarkStart w:id="4" w:name="OLE_LINK4"/>
      <w:bookmarkStart w:id="5" w:name="OLE_LINK3"/>
      <w:r>
        <w:rPr>
          <w:rFonts w:hint="eastAsia" w:ascii="仿宋" w:hAnsi="仿宋" w:eastAsia="仿宋" w:cs="仿宋"/>
          <w:color w:val="auto"/>
          <w:sz w:val="24"/>
          <w:szCs w:val="24"/>
          <w:lang w:val="en-US" w:eastAsia="zh-CN"/>
        </w:rPr>
        <w:t>（2） 项目验收合格后，达到付款条件30日内，支付合同总价款的60%。</w:t>
      </w:r>
    </w:p>
    <w:bookmarkEnd w:id="2"/>
    <w:bookmarkEnd w:id="3"/>
    <w:bookmarkEnd w:id="4"/>
    <w:bookmarkEnd w:id="5"/>
    <w:p w14:paraId="7825433A">
      <w:pPr>
        <w:numPr>
          <w:ilvl w:val="0"/>
          <w:numId w:val="0"/>
        </w:numPr>
        <w:spacing w:line="500" w:lineRule="exact"/>
        <w:ind w:firstLine="480" w:firstLineChars="200"/>
        <w:rPr>
          <w:rFonts w:hint="eastAsia" w:ascii="仿宋" w:hAnsi="仿宋" w:eastAsia="仿宋" w:cs="仿宋"/>
          <w:color w:val="auto"/>
          <w:sz w:val="24"/>
          <w:szCs w:val="24"/>
        </w:rPr>
      </w:pPr>
      <w:r>
        <w:rPr>
          <w:rFonts w:hint="eastAsia" w:ascii="仿宋" w:hAnsi="仿宋" w:eastAsia="仿宋" w:cs="仿宋"/>
          <w:color w:val="auto"/>
          <w:kern w:val="2"/>
          <w:sz w:val="24"/>
          <w:szCs w:val="24"/>
          <w:lang w:val="en-US" w:eastAsia="zh-CN" w:bidi="ar-SA"/>
        </w:rPr>
        <w:t>4、</w:t>
      </w:r>
      <w:r>
        <w:rPr>
          <w:rFonts w:hint="eastAsia" w:ascii="仿宋" w:hAnsi="仿宋" w:eastAsia="仿宋" w:cs="仿宋"/>
          <w:color w:val="auto"/>
          <w:sz w:val="24"/>
          <w:szCs w:val="24"/>
        </w:rPr>
        <w:t>乙方收款账户信息</w:t>
      </w:r>
    </w:p>
    <w:p w14:paraId="4806AE2C">
      <w:pPr>
        <w:spacing w:line="50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户 名：</w:t>
      </w:r>
    </w:p>
    <w:p w14:paraId="1B40A326">
      <w:pPr>
        <w:spacing w:line="50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开户行：</w:t>
      </w:r>
    </w:p>
    <w:p w14:paraId="791AD0E0">
      <w:pPr>
        <w:spacing w:line="50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 xml:space="preserve">账 号： </w:t>
      </w:r>
    </w:p>
    <w:p w14:paraId="2CFB7B19">
      <w:pPr>
        <w:numPr>
          <w:ilvl w:val="0"/>
          <w:numId w:val="0"/>
        </w:numPr>
        <w:spacing w:line="500" w:lineRule="exact"/>
        <w:ind w:firstLine="480" w:firstLineChars="200"/>
        <w:rPr>
          <w:rFonts w:hint="eastAsia" w:ascii="仿宋" w:hAnsi="仿宋" w:eastAsia="仿宋" w:cs="仿宋"/>
          <w:sz w:val="24"/>
          <w:szCs w:val="24"/>
        </w:rPr>
      </w:pPr>
      <w:r>
        <w:rPr>
          <w:rFonts w:hint="eastAsia" w:ascii="仿宋" w:hAnsi="仿宋" w:eastAsia="仿宋" w:cs="仿宋"/>
          <w:kern w:val="2"/>
          <w:sz w:val="24"/>
          <w:szCs w:val="24"/>
          <w:lang w:val="en-US" w:eastAsia="zh-CN" w:bidi="ar-SA"/>
        </w:rPr>
        <w:t>5、</w:t>
      </w:r>
      <w:r>
        <w:rPr>
          <w:rFonts w:hint="eastAsia" w:ascii="仿宋" w:hAnsi="仿宋" w:eastAsia="仿宋" w:cs="仿宋"/>
          <w:sz w:val="24"/>
          <w:szCs w:val="24"/>
        </w:rPr>
        <w:t>甲方开票信息</w:t>
      </w:r>
    </w:p>
    <w:p w14:paraId="0A538D62">
      <w:pPr>
        <w:spacing w:line="500" w:lineRule="exact"/>
        <w:ind w:firstLine="480" w:firstLineChars="200"/>
        <w:rPr>
          <w:rFonts w:hint="eastAsia" w:ascii="仿宋" w:hAnsi="仿宋" w:eastAsia="仿宋" w:cs="仿宋"/>
          <w:sz w:val="24"/>
          <w:szCs w:val="24"/>
          <w:lang w:eastAsia="zh-CN"/>
        </w:rPr>
      </w:pPr>
      <w:r>
        <w:rPr>
          <w:rFonts w:hint="eastAsia" w:ascii="仿宋" w:hAnsi="仿宋" w:eastAsia="仿宋" w:cs="仿宋"/>
          <w:sz w:val="24"/>
          <w:szCs w:val="24"/>
        </w:rPr>
        <w:t>户  名：</w:t>
      </w:r>
      <w:r>
        <w:rPr>
          <w:rFonts w:hint="eastAsia" w:ascii="仿宋" w:hAnsi="仿宋" w:eastAsia="仿宋" w:cs="仿宋"/>
          <w:sz w:val="24"/>
          <w:szCs w:val="24"/>
          <w:lang w:eastAsia="zh-CN"/>
        </w:rPr>
        <w:t>西安市农业农村局</w:t>
      </w:r>
    </w:p>
    <w:p w14:paraId="1C0E4D94">
      <w:pPr>
        <w:spacing w:line="50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税  号：</w:t>
      </w:r>
    </w:p>
    <w:p w14:paraId="7E8B7D4D">
      <w:pPr>
        <w:spacing w:line="50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开户行：</w:t>
      </w:r>
    </w:p>
    <w:p w14:paraId="57DA1595">
      <w:pPr>
        <w:spacing w:line="50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账  号：</w:t>
      </w:r>
    </w:p>
    <w:p w14:paraId="00DE8648">
      <w:pPr>
        <w:spacing w:line="50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地  址：</w:t>
      </w:r>
    </w:p>
    <w:p w14:paraId="1AD18E9F">
      <w:pPr>
        <w:numPr>
          <w:ilvl w:val="0"/>
          <w:numId w:val="1"/>
        </w:numPr>
        <w:spacing w:line="50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服务期限：自合同签订之日起至2026年10月31日前完成。</w:t>
      </w:r>
    </w:p>
    <w:p w14:paraId="7D7DCCF2">
      <w:pPr>
        <w:numPr>
          <w:ilvl w:val="0"/>
          <w:numId w:val="0"/>
        </w:numPr>
        <w:spacing w:line="50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第三条 服务内容及标准</w:t>
      </w:r>
    </w:p>
    <w:p w14:paraId="3A35C4F0">
      <w:pPr>
        <w:spacing w:line="50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具体内容以</w:t>
      </w:r>
      <w:r>
        <w:rPr>
          <w:rFonts w:hint="eastAsia" w:ascii="仿宋" w:hAnsi="仿宋" w:eastAsia="仿宋" w:cs="仿宋"/>
          <w:sz w:val="24"/>
          <w:szCs w:val="24"/>
          <w:lang w:eastAsia="zh-CN"/>
        </w:rPr>
        <w:t>磋商文件</w:t>
      </w:r>
      <w:r>
        <w:rPr>
          <w:rFonts w:hint="eastAsia" w:ascii="仿宋" w:hAnsi="仿宋" w:eastAsia="仿宋" w:cs="仿宋"/>
          <w:sz w:val="24"/>
          <w:szCs w:val="24"/>
        </w:rPr>
        <w:t>以及</w:t>
      </w:r>
      <w:r>
        <w:rPr>
          <w:rFonts w:hint="eastAsia" w:ascii="仿宋" w:hAnsi="仿宋" w:eastAsia="仿宋" w:cs="仿宋"/>
          <w:sz w:val="24"/>
          <w:szCs w:val="24"/>
          <w:lang w:eastAsia="zh-CN"/>
        </w:rPr>
        <w:t>成交供应商</w:t>
      </w:r>
      <w:r>
        <w:rPr>
          <w:rFonts w:hint="eastAsia" w:ascii="仿宋" w:hAnsi="仿宋" w:eastAsia="仿宋" w:cs="仿宋"/>
          <w:sz w:val="24"/>
          <w:szCs w:val="24"/>
        </w:rPr>
        <w:t>“</w:t>
      </w:r>
      <w:r>
        <w:rPr>
          <w:rFonts w:hint="eastAsia" w:ascii="仿宋" w:hAnsi="仿宋" w:eastAsia="仿宋" w:cs="仿宋"/>
          <w:sz w:val="24"/>
          <w:szCs w:val="24"/>
          <w:lang w:eastAsia="zh-CN"/>
        </w:rPr>
        <w:t>响应文件</w:t>
      </w:r>
      <w:r>
        <w:rPr>
          <w:rFonts w:hint="eastAsia" w:ascii="仿宋" w:hAnsi="仿宋" w:eastAsia="仿宋" w:cs="仿宋"/>
          <w:sz w:val="24"/>
          <w:szCs w:val="24"/>
        </w:rPr>
        <w:t>”为准。</w:t>
      </w:r>
    </w:p>
    <w:p w14:paraId="286D9366">
      <w:pPr>
        <w:spacing w:line="50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第四条 双方权利及义务</w:t>
      </w:r>
    </w:p>
    <w:p w14:paraId="43C8813A">
      <w:pPr>
        <w:spacing w:line="50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1、甲乙双方必须遵守本合同并执行合同中的各项规定，保证本合同的正常履行。</w:t>
      </w:r>
    </w:p>
    <w:p w14:paraId="66BF63AD">
      <w:pPr>
        <w:spacing w:line="50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2、甲方有权根据本合同所约定的内容及标准，对乙方提供的服务进度和服务质量进行检查，如乙方提供的服务质量不符合本合同的约定，甲方有权要求乙方在指定时间内作出补充或修正。</w:t>
      </w:r>
    </w:p>
    <w:p w14:paraId="66EADAD6">
      <w:pPr>
        <w:spacing w:line="500" w:lineRule="exact"/>
        <w:ind w:firstLine="480" w:firstLineChars="200"/>
        <w:rPr>
          <w:rFonts w:hint="eastAsia" w:ascii="仿宋" w:hAnsi="仿宋" w:eastAsia="仿宋" w:cs="仿宋"/>
          <w:sz w:val="24"/>
          <w:szCs w:val="24"/>
        </w:rPr>
      </w:pPr>
      <w:r>
        <w:rPr>
          <w:rFonts w:hint="eastAsia" w:ascii="仿宋" w:hAnsi="仿宋" w:eastAsia="仿宋" w:cs="仿宋"/>
          <w:sz w:val="24"/>
          <w:szCs w:val="24"/>
          <w:lang w:val="en-US" w:eastAsia="zh-CN"/>
        </w:rPr>
        <w:t>3</w:t>
      </w:r>
      <w:r>
        <w:rPr>
          <w:rFonts w:hint="eastAsia" w:ascii="仿宋" w:hAnsi="仿宋" w:eastAsia="仿宋" w:cs="仿宋"/>
          <w:sz w:val="24"/>
          <w:szCs w:val="24"/>
        </w:rPr>
        <w:t>、甲方有权对乙方的服务成果、服务实施等提出要求或修改建议，乙方应按甲方要求或修改建议进行完善或修改。</w:t>
      </w:r>
    </w:p>
    <w:p w14:paraId="195D8EE3">
      <w:pPr>
        <w:spacing w:line="500" w:lineRule="exact"/>
        <w:ind w:firstLine="480" w:firstLineChars="200"/>
        <w:rPr>
          <w:rFonts w:hint="eastAsia" w:ascii="仿宋" w:hAnsi="仿宋" w:eastAsia="仿宋" w:cs="仿宋"/>
          <w:sz w:val="24"/>
          <w:szCs w:val="24"/>
        </w:rPr>
      </w:pPr>
      <w:r>
        <w:rPr>
          <w:rFonts w:hint="eastAsia" w:ascii="仿宋" w:hAnsi="仿宋" w:eastAsia="仿宋" w:cs="仿宋"/>
          <w:sz w:val="24"/>
          <w:szCs w:val="24"/>
          <w:lang w:val="en-US" w:eastAsia="zh-CN"/>
        </w:rPr>
        <w:t>4</w:t>
      </w:r>
      <w:r>
        <w:rPr>
          <w:rFonts w:hint="eastAsia" w:ascii="仿宋" w:hAnsi="仿宋" w:eastAsia="仿宋" w:cs="仿宋"/>
          <w:sz w:val="24"/>
          <w:szCs w:val="24"/>
        </w:rPr>
        <w:t>、乙方确保本项目涉及统计内容等均不侵犯任何第三方权利，否则应当承担侵权责任，如因此对甲方造成损失的，还应赔偿甲方损失。</w:t>
      </w:r>
    </w:p>
    <w:p w14:paraId="4A0E7006">
      <w:pPr>
        <w:spacing w:line="500" w:lineRule="exact"/>
        <w:ind w:firstLine="480" w:firstLineChars="200"/>
        <w:rPr>
          <w:rFonts w:hint="eastAsia" w:ascii="仿宋" w:hAnsi="仿宋" w:eastAsia="仿宋" w:cs="仿宋"/>
          <w:sz w:val="24"/>
          <w:szCs w:val="24"/>
        </w:rPr>
      </w:pPr>
      <w:r>
        <w:rPr>
          <w:rFonts w:hint="eastAsia" w:ascii="仿宋" w:hAnsi="仿宋" w:eastAsia="仿宋" w:cs="仿宋"/>
          <w:sz w:val="24"/>
          <w:szCs w:val="24"/>
          <w:lang w:val="en-US" w:eastAsia="zh-CN"/>
        </w:rPr>
        <w:t>5</w:t>
      </w:r>
      <w:r>
        <w:rPr>
          <w:rFonts w:hint="eastAsia" w:ascii="仿宋" w:hAnsi="仿宋" w:eastAsia="仿宋" w:cs="仿宋"/>
          <w:sz w:val="24"/>
          <w:szCs w:val="24"/>
        </w:rPr>
        <w:t>、本项目的相关资料（包括履约过程中获取的相关资料）在未经甲方书面同意的情况下不得用作其他地方。</w:t>
      </w:r>
    </w:p>
    <w:p w14:paraId="1C9F93D2">
      <w:pPr>
        <w:spacing w:line="50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第</w:t>
      </w:r>
      <w:r>
        <w:rPr>
          <w:rFonts w:hint="eastAsia" w:ascii="仿宋" w:hAnsi="仿宋" w:eastAsia="仿宋" w:cs="仿宋"/>
          <w:sz w:val="24"/>
          <w:szCs w:val="24"/>
          <w:lang w:val="en-US" w:eastAsia="zh-CN"/>
        </w:rPr>
        <w:t>五</w:t>
      </w:r>
      <w:r>
        <w:rPr>
          <w:rFonts w:hint="eastAsia" w:ascii="仿宋" w:hAnsi="仿宋" w:eastAsia="仿宋" w:cs="仿宋"/>
          <w:sz w:val="24"/>
          <w:szCs w:val="24"/>
        </w:rPr>
        <w:t>条 验收交付标准和方法</w:t>
      </w:r>
    </w:p>
    <w:p w14:paraId="5D55A7D1">
      <w:pPr>
        <w:spacing w:line="500" w:lineRule="exact"/>
        <w:ind w:firstLine="480" w:firstLineChars="200"/>
        <w:rPr>
          <w:rFonts w:hint="eastAsia" w:ascii="仿宋" w:hAnsi="仿宋" w:eastAsia="仿宋" w:cs="仿宋"/>
          <w:sz w:val="24"/>
          <w:szCs w:val="24"/>
        </w:rPr>
      </w:pPr>
      <w:r>
        <w:rPr>
          <w:rFonts w:hint="eastAsia" w:ascii="仿宋" w:hAnsi="仿宋" w:eastAsia="仿宋" w:cs="仿宋"/>
          <w:sz w:val="24"/>
          <w:szCs w:val="24"/>
          <w:lang w:val="en-US" w:eastAsia="zh-CN"/>
        </w:rPr>
        <w:t>1、</w:t>
      </w:r>
      <w:r>
        <w:rPr>
          <w:rFonts w:hint="eastAsia" w:ascii="仿宋" w:hAnsi="仿宋" w:eastAsia="仿宋" w:cs="仿宋"/>
          <w:sz w:val="24"/>
          <w:szCs w:val="24"/>
        </w:rPr>
        <w:t>服务内容完成后先由乙方进行自检，自检合格后邀请甲方进行验收。甲方确认乙方的自检内容后，组织乙方（必要时请有关专家）进行最终验收，验收时乙方应派员参加，共同对验收结果进行确认，并承担相关责任（必要时甲方可委托具有相关资质的第三方检测机构/技术专家对产品/设备进行系统验收，由此产生的相关费用由乙方承担，需要国家法定检验部门进行检验或验收的由乙方负责联系）。验收合格后，填写履约验收单作为对服务的最终认可。</w:t>
      </w:r>
    </w:p>
    <w:p w14:paraId="3EC203D1">
      <w:pPr>
        <w:spacing w:line="500" w:lineRule="exact"/>
        <w:ind w:firstLine="480" w:firstLineChars="200"/>
        <w:rPr>
          <w:rFonts w:hint="eastAsia" w:ascii="仿宋" w:hAnsi="仿宋" w:eastAsia="仿宋" w:cs="仿宋"/>
          <w:sz w:val="24"/>
          <w:szCs w:val="24"/>
        </w:rPr>
      </w:pPr>
      <w:r>
        <w:rPr>
          <w:rFonts w:hint="eastAsia" w:ascii="仿宋" w:hAnsi="仿宋" w:eastAsia="仿宋" w:cs="仿宋"/>
          <w:sz w:val="24"/>
          <w:szCs w:val="24"/>
          <w:lang w:val="en-US" w:eastAsia="zh-CN"/>
        </w:rPr>
        <w:t>2、</w:t>
      </w:r>
      <w:r>
        <w:rPr>
          <w:rFonts w:hint="eastAsia" w:ascii="仿宋" w:hAnsi="仿宋" w:eastAsia="仿宋" w:cs="仿宋"/>
          <w:sz w:val="24"/>
          <w:szCs w:val="24"/>
        </w:rPr>
        <w:t>乙方向甲方提交服务实施过程中的所有资料</w:t>
      </w:r>
      <w:r>
        <w:rPr>
          <w:rFonts w:hint="eastAsia" w:ascii="仿宋" w:hAnsi="仿宋" w:eastAsia="仿宋" w:cs="仿宋"/>
          <w:sz w:val="24"/>
          <w:szCs w:val="24"/>
          <w:lang w:eastAsia="zh-CN"/>
        </w:rPr>
        <w:t>，</w:t>
      </w:r>
      <w:r>
        <w:rPr>
          <w:rFonts w:hint="eastAsia" w:ascii="仿宋" w:hAnsi="仿宋" w:eastAsia="仿宋" w:cs="仿宋"/>
          <w:sz w:val="24"/>
          <w:szCs w:val="24"/>
        </w:rPr>
        <w:t xml:space="preserve">以便甲方日后管理和维护。 </w:t>
      </w:r>
    </w:p>
    <w:p w14:paraId="44D0BBF1">
      <w:pPr>
        <w:spacing w:line="500" w:lineRule="exact"/>
        <w:ind w:firstLine="480" w:firstLineChars="200"/>
        <w:rPr>
          <w:rFonts w:hint="eastAsia" w:ascii="仿宋" w:hAnsi="仿宋" w:eastAsia="仿宋" w:cs="仿宋"/>
          <w:sz w:val="24"/>
          <w:szCs w:val="24"/>
        </w:rPr>
      </w:pPr>
      <w:r>
        <w:rPr>
          <w:rFonts w:hint="eastAsia" w:ascii="仿宋" w:hAnsi="仿宋" w:eastAsia="仿宋" w:cs="仿宋"/>
          <w:sz w:val="24"/>
          <w:szCs w:val="24"/>
          <w:lang w:val="en-US" w:eastAsia="zh-CN"/>
        </w:rPr>
        <w:t>3、</w:t>
      </w:r>
      <w:r>
        <w:rPr>
          <w:rFonts w:hint="eastAsia" w:ascii="仿宋" w:hAnsi="仿宋" w:eastAsia="仿宋" w:cs="仿宋"/>
          <w:sz w:val="24"/>
          <w:szCs w:val="24"/>
        </w:rPr>
        <w:t>验收依据：</w:t>
      </w:r>
    </w:p>
    <w:p w14:paraId="2B9CF9E6">
      <w:pPr>
        <w:spacing w:line="500" w:lineRule="exact"/>
        <w:ind w:firstLine="480" w:firstLineChars="200"/>
        <w:rPr>
          <w:rFonts w:hint="eastAsia" w:ascii="仿宋" w:hAnsi="仿宋" w:eastAsia="仿宋" w:cs="仿宋"/>
          <w:sz w:val="24"/>
          <w:szCs w:val="24"/>
        </w:rPr>
      </w:pPr>
      <w:r>
        <w:rPr>
          <w:rFonts w:hint="eastAsia" w:ascii="仿宋" w:hAnsi="仿宋" w:eastAsia="仿宋" w:cs="仿宋"/>
          <w:sz w:val="24"/>
          <w:szCs w:val="24"/>
          <w:lang w:eastAsia="zh-CN"/>
        </w:rPr>
        <w:t>（</w:t>
      </w:r>
      <w:r>
        <w:rPr>
          <w:rFonts w:hint="eastAsia" w:ascii="仿宋" w:hAnsi="仿宋" w:eastAsia="仿宋" w:cs="仿宋"/>
          <w:sz w:val="24"/>
          <w:szCs w:val="24"/>
          <w:lang w:val="en-US" w:eastAsia="zh-CN"/>
        </w:rPr>
        <w:t>1</w:t>
      </w:r>
      <w:r>
        <w:rPr>
          <w:rFonts w:hint="eastAsia" w:ascii="仿宋" w:hAnsi="仿宋" w:eastAsia="仿宋" w:cs="仿宋"/>
          <w:sz w:val="24"/>
          <w:szCs w:val="24"/>
          <w:lang w:eastAsia="zh-CN"/>
        </w:rPr>
        <w:t>）</w:t>
      </w:r>
      <w:r>
        <w:rPr>
          <w:rFonts w:hint="eastAsia" w:ascii="仿宋" w:hAnsi="仿宋" w:eastAsia="仿宋" w:cs="仿宋"/>
          <w:sz w:val="24"/>
          <w:szCs w:val="24"/>
        </w:rPr>
        <w:t>磋商文件、响应文件、澄清表（函）；</w:t>
      </w:r>
    </w:p>
    <w:p w14:paraId="37A62183">
      <w:pPr>
        <w:spacing w:line="500" w:lineRule="exact"/>
        <w:ind w:firstLine="480" w:firstLineChars="200"/>
        <w:rPr>
          <w:rFonts w:hint="eastAsia" w:ascii="仿宋" w:hAnsi="仿宋" w:eastAsia="仿宋" w:cs="仿宋"/>
          <w:sz w:val="24"/>
          <w:szCs w:val="24"/>
        </w:rPr>
      </w:pPr>
      <w:r>
        <w:rPr>
          <w:rFonts w:hint="eastAsia" w:ascii="仿宋" w:hAnsi="仿宋" w:eastAsia="仿宋" w:cs="仿宋"/>
          <w:sz w:val="24"/>
          <w:szCs w:val="24"/>
          <w:lang w:eastAsia="zh-CN"/>
        </w:rPr>
        <w:t>（</w:t>
      </w:r>
      <w:r>
        <w:rPr>
          <w:rFonts w:hint="eastAsia" w:ascii="仿宋" w:hAnsi="仿宋" w:eastAsia="仿宋" w:cs="仿宋"/>
          <w:sz w:val="24"/>
          <w:szCs w:val="24"/>
          <w:lang w:val="en-US" w:eastAsia="zh-CN"/>
        </w:rPr>
        <w:t>2</w:t>
      </w:r>
      <w:r>
        <w:rPr>
          <w:rFonts w:hint="eastAsia" w:ascii="仿宋" w:hAnsi="仿宋" w:eastAsia="仿宋" w:cs="仿宋"/>
          <w:sz w:val="24"/>
          <w:szCs w:val="24"/>
          <w:lang w:eastAsia="zh-CN"/>
        </w:rPr>
        <w:t>）</w:t>
      </w:r>
      <w:r>
        <w:rPr>
          <w:rFonts w:hint="eastAsia" w:ascii="仿宋" w:hAnsi="仿宋" w:eastAsia="仿宋" w:cs="仿宋"/>
          <w:sz w:val="24"/>
          <w:szCs w:val="24"/>
        </w:rPr>
        <w:t>本合同及附件文本；</w:t>
      </w:r>
    </w:p>
    <w:p w14:paraId="4F6577DD">
      <w:pPr>
        <w:spacing w:line="500" w:lineRule="exact"/>
        <w:ind w:firstLine="480" w:firstLineChars="200"/>
        <w:rPr>
          <w:rFonts w:hint="eastAsia" w:ascii="仿宋" w:hAnsi="仿宋" w:eastAsia="仿宋" w:cs="仿宋"/>
          <w:sz w:val="24"/>
          <w:szCs w:val="24"/>
        </w:rPr>
      </w:pPr>
      <w:r>
        <w:rPr>
          <w:rFonts w:hint="eastAsia" w:ascii="仿宋" w:hAnsi="仿宋" w:eastAsia="仿宋" w:cs="仿宋"/>
          <w:sz w:val="24"/>
          <w:szCs w:val="24"/>
          <w:lang w:eastAsia="zh-CN"/>
        </w:rPr>
        <w:t>（</w:t>
      </w:r>
      <w:r>
        <w:rPr>
          <w:rFonts w:hint="eastAsia" w:ascii="仿宋" w:hAnsi="仿宋" w:eastAsia="仿宋" w:cs="仿宋"/>
          <w:sz w:val="24"/>
          <w:szCs w:val="24"/>
          <w:lang w:val="en-US" w:eastAsia="zh-CN"/>
        </w:rPr>
        <w:t>3</w:t>
      </w:r>
      <w:r>
        <w:rPr>
          <w:rFonts w:hint="eastAsia" w:ascii="仿宋" w:hAnsi="仿宋" w:eastAsia="仿宋" w:cs="仿宋"/>
          <w:sz w:val="24"/>
          <w:szCs w:val="24"/>
          <w:lang w:eastAsia="zh-CN"/>
        </w:rPr>
        <w:t>）</w:t>
      </w:r>
      <w:r>
        <w:rPr>
          <w:rFonts w:hint="eastAsia" w:ascii="仿宋" w:hAnsi="仿宋" w:eastAsia="仿宋" w:cs="仿宋"/>
          <w:sz w:val="24"/>
          <w:szCs w:val="24"/>
        </w:rPr>
        <w:t>国家相应的标准、规范。</w:t>
      </w:r>
    </w:p>
    <w:p w14:paraId="5D00EEB7">
      <w:pPr>
        <w:spacing w:line="500" w:lineRule="exact"/>
        <w:ind w:firstLine="480" w:firstLineChars="20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第六条 知识产权归属和处理方式</w:t>
      </w:r>
    </w:p>
    <w:p w14:paraId="66E090E0">
      <w:pPr>
        <w:spacing w:line="500" w:lineRule="exact"/>
        <w:ind w:firstLine="480" w:firstLineChars="20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甲方有义务保护乙方的知识产权，未经乙方同意，不得将乙方交付的具有知识产权性质的成果文件、资料向第三方转让或用于本合同以外的项目。如发生以上情况，乙方有权索赔，但甲方依据相关法定职责对外公开的除外。</w:t>
      </w:r>
    </w:p>
    <w:p w14:paraId="47DD0E85">
      <w:pPr>
        <w:spacing w:line="500" w:lineRule="exact"/>
        <w:ind w:firstLine="480" w:firstLineChars="20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第七条 成本补偿和风险分担约定</w:t>
      </w:r>
    </w:p>
    <w:p w14:paraId="3B8C1C64">
      <w:pPr>
        <w:spacing w:line="500" w:lineRule="exact"/>
        <w:ind w:firstLine="480" w:firstLineChars="20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1）乙方应遵守国家有关保密的法律法规和行业规定，并对甲方提供的资料负有保密义务。未经甲方同意，不得将承接政府服务项目获得的政府、公民个人等各种信息和资料提供给其他单位和个人。如发生以上情况，甲方有权索赔。</w:t>
      </w:r>
    </w:p>
    <w:p w14:paraId="3538F720">
      <w:pPr>
        <w:spacing w:line="500" w:lineRule="exact"/>
        <w:ind w:firstLine="480" w:firstLineChars="20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（2）本条款为独立条款，本合同的无效、变更、解除和终止均不影响本条款的效力。</w:t>
      </w:r>
    </w:p>
    <w:p w14:paraId="74C9AC7A">
      <w:pPr>
        <w:spacing w:line="500" w:lineRule="exact"/>
        <w:ind w:firstLine="480" w:firstLineChars="20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（3）双方拟定的其他条款。</w:t>
      </w:r>
    </w:p>
    <w:p w14:paraId="2B2C3210">
      <w:pPr>
        <w:spacing w:line="500" w:lineRule="exact"/>
        <w:ind w:firstLine="480" w:firstLineChars="20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第八条 违约责任与解决争议的方法</w:t>
      </w:r>
    </w:p>
    <w:p w14:paraId="1734AA35">
      <w:pPr>
        <w:spacing w:line="500" w:lineRule="exact"/>
        <w:ind w:firstLine="480" w:firstLineChars="20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1、违约责任</w:t>
      </w:r>
    </w:p>
    <w:p w14:paraId="3070E7DD">
      <w:pPr>
        <w:spacing w:line="500" w:lineRule="exact"/>
        <w:ind w:firstLine="480" w:firstLineChars="20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 xml:space="preserve">（1）合同中未约定的，按《民法典》中的相关条款执行。 </w:t>
      </w:r>
    </w:p>
    <w:p w14:paraId="2C4B141C">
      <w:pPr>
        <w:spacing w:line="500" w:lineRule="exact"/>
        <w:ind w:firstLine="480" w:firstLineChars="20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2）未按合同要求提供服务或服务质量不能满足合同要求不能满足合同要求，甲方应当将乙方违约的情况以及拟采取的措施以书面形式报政府采购监管部门，根据政府采购监管部门的处理意见，甲方有权依据《民法典》有关条款及合同约定解除合同，乙方应向甲方支付合同总价款20％的违约金。同时，政府采购监管部门有权依据《政府釆购法》及相关法律法规对乙方的违法行为进行相应的处罚。</w:t>
      </w:r>
    </w:p>
    <w:p w14:paraId="64C50ECC">
      <w:pPr>
        <w:spacing w:line="500" w:lineRule="exact"/>
        <w:ind w:firstLine="480" w:firstLineChars="20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（3）在本合同履行过程中，双方因违约或造成对方经济、社会效益等损失的应当赔偿。</w:t>
      </w:r>
    </w:p>
    <w:p w14:paraId="217D88FA">
      <w:pPr>
        <w:spacing w:line="500" w:lineRule="exact"/>
        <w:ind w:firstLine="480" w:firstLineChars="20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（4）甲方无正当理由拒绝接受服务的，需向乙方偿付本合同总价款20%的违约金。甲方逾期付款的，则每日按逾期金额的1%向乙方偿付违约金，若违约金不能弥补甲方损失，乙方还应赔偿损失。</w:t>
      </w:r>
    </w:p>
    <w:p w14:paraId="29BD55AB">
      <w:pPr>
        <w:spacing w:line="500" w:lineRule="exact"/>
        <w:ind w:firstLine="480" w:firstLineChars="20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（5）乙方提供的服务不符合本项目相关文件和本合同规定的，甲方有权拒绝，并且乙方须向甲方支付本合同总价款10%的违约金，若违约金不能弥补甲方损失，乙方还应赔偿损失。</w:t>
      </w:r>
    </w:p>
    <w:p w14:paraId="72FC913F">
      <w:pPr>
        <w:spacing w:line="500" w:lineRule="exact"/>
        <w:ind w:firstLine="480" w:firstLineChars="20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（6）未经甲方同意，乙方不得擅自将本合同服务转包第三方承担。</w:t>
      </w:r>
    </w:p>
    <w:p w14:paraId="102F12E7">
      <w:pPr>
        <w:spacing w:line="500" w:lineRule="exact"/>
        <w:ind w:firstLine="480" w:firstLineChars="20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（7）本合同中各条款约定的违约金可自甲方未支付款项中直接扣除，违约金若不能弥补甲方损失的，乙方还应赔偿甲方损失。</w:t>
      </w:r>
    </w:p>
    <w:p w14:paraId="554554B3">
      <w:pPr>
        <w:spacing w:line="500" w:lineRule="exact"/>
        <w:ind w:firstLine="480" w:firstLineChars="20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（8）双方拟定的其他条款。</w:t>
      </w:r>
    </w:p>
    <w:p w14:paraId="040C115C">
      <w:pPr>
        <w:spacing w:line="500" w:lineRule="exact"/>
        <w:ind w:firstLine="480" w:firstLineChars="20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2、解决争议</w:t>
      </w:r>
    </w:p>
    <w:p w14:paraId="46B12890">
      <w:pPr>
        <w:spacing w:line="500" w:lineRule="exact"/>
        <w:ind w:firstLine="480" w:firstLineChars="20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（1）本合同在履行过程中发生的争议，由甲、乙双方当事人协商解决，协商不成的按下列第</w:t>
      </w:r>
      <w:r>
        <w:rPr>
          <w:rFonts w:hint="eastAsia" w:ascii="仿宋" w:hAnsi="仿宋" w:eastAsia="仿宋" w:cs="仿宋"/>
          <w:sz w:val="24"/>
          <w:szCs w:val="24"/>
          <w:u w:val="single"/>
          <w:lang w:val="en-US" w:eastAsia="zh-CN"/>
        </w:rPr>
        <w:t>2</w:t>
      </w:r>
      <w:r>
        <w:rPr>
          <w:rFonts w:hint="eastAsia" w:ascii="仿宋" w:hAnsi="仿宋" w:eastAsia="仿宋" w:cs="仿宋"/>
          <w:sz w:val="24"/>
          <w:szCs w:val="24"/>
          <w:lang w:val="en-US" w:eastAsia="zh-CN"/>
        </w:rPr>
        <w:t>种方式解决：</w:t>
      </w:r>
    </w:p>
    <w:p w14:paraId="22BA5286">
      <w:pPr>
        <w:spacing w:line="500" w:lineRule="exact"/>
        <w:ind w:firstLine="480" w:firstLineChars="20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1）提交西安仲裁委员会仲裁；</w:t>
      </w:r>
    </w:p>
    <w:p w14:paraId="4AEEF764">
      <w:pPr>
        <w:spacing w:line="500" w:lineRule="exact"/>
        <w:ind w:firstLine="480" w:firstLineChars="20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2）依法向甲方所在地人民法院起诉。</w:t>
      </w:r>
    </w:p>
    <w:p w14:paraId="4DB564F8">
      <w:pPr>
        <w:spacing w:line="500" w:lineRule="exact"/>
        <w:ind w:firstLine="480" w:firstLineChars="20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（2）本条款为独立条款，本合同的无效、变更、解除和终止均不影响本条款的效力。</w:t>
      </w:r>
    </w:p>
    <w:p w14:paraId="68B13DAF">
      <w:pPr>
        <w:spacing w:line="50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第</w:t>
      </w:r>
      <w:r>
        <w:rPr>
          <w:rFonts w:hint="eastAsia" w:ascii="仿宋" w:hAnsi="仿宋" w:eastAsia="仿宋" w:cs="仿宋"/>
          <w:sz w:val="24"/>
          <w:szCs w:val="24"/>
          <w:lang w:val="en-US" w:eastAsia="zh-CN"/>
        </w:rPr>
        <w:t>九</w:t>
      </w:r>
      <w:r>
        <w:rPr>
          <w:rFonts w:hint="eastAsia" w:ascii="仿宋" w:hAnsi="仿宋" w:eastAsia="仿宋" w:cs="仿宋"/>
          <w:sz w:val="24"/>
          <w:szCs w:val="24"/>
        </w:rPr>
        <w:t>条 合同其他条款</w:t>
      </w:r>
    </w:p>
    <w:p w14:paraId="135F0314">
      <w:pPr>
        <w:spacing w:line="500" w:lineRule="exact"/>
        <w:ind w:firstLine="480" w:firstLineChars="200"/>
        <w:rPr>
          <w:rFonts w:hint="eastAsia" w:ascii="仿宋" w:hAnsi="仿宋" w:eastAsia="仿宋" w:cs="仿宋"/>
          <w:sz w:val="24"/>
          <w:szCs w:val="24"/>
        </w:rPr>
      </w:pPr>
      <w:r>
        <w:rPr>
          <w:rFonts w:hint="eastAsia" w:ascii="仿宋" w:hAnsi="仿宋" w:eastAsia="仿宋" w:cs="仿宋"/>
          <w:sz w:val="24"/>
          <w:szCs w:val="24"/>
          <w:lang w:val="en-US" w:eastAsia="zh-CN"/>
        </w:rPr>
        <w:t>1、</w:t>
      </w:r>
      <w:r>
        <w:rPr>
          <w:rFonts w:hint="eastAsia" w:ascii="仿宋" w:hAnsi="仿宋" w:eastAsia="仿宋" w:cs="仿宋"/>
          <w:sz w:val="24"/>
          <w:szCs w:val="24"/>
        </w:rPr>
        <w:t>监督部门在合同的履行期间以及履行期后，可以随时检查项目的执行情况，对采购标准、采购内容进行调查核实，并对发现的问题进行处理。</w:t>
      </w:r>
    </w:p>
    <w:p w14:paraId="797C9137">
      <w:pPr>
        <w:spacing w:line="500" w:lineRule="exact"/>
        <w:ind w:firstLine="480" w:firstLineChars="200"/>
        <w:rPr>
          <w:rFonts w:hint="eastAsia" w:ascii="仿宋" w:hAnsi="仿宋" w:eastAsia="仿宋" w:cs="仿宋"/>
          <w:sz w:val="24"/>
          <w:szCs w:val="24"/>
        </w:rPr>
      </w:pPr>
      <w:r>
        <w:rPr>
          <w:rFonts w:hint="eastAsia" w:ascii="仿宋" w:hAnsi="仿宋" w:eastAsia="仿宋" w:cs="仿宋"/>
          <w:sz w:val="24"/>
          <w:szCs w:val="24"/>
          <w:lang w:val="en-US" w:eastAsia="zh-CN"/>
        </w:rPr>
        <w:t>2、</w:t>
      </w:r>
      <w:r>
        <w:rPr>
          <w:rFonts w:hint="eastAsia" w:ascii="仿宋" w:hAnsi="仿宋" w:eastAsia="仿宋" w:cs="仿宋"/>
          <w:sz w:val="24"/>
          <w:szCs w:val="24"/>
        </w:rPr>
        <w:t>磋商文件、响应文件、澄清表（函）、成交通知书、合同附件均成为合同不可分割的部分。</w:t>
      </w:r>
    </w:p>
    <w:p w14:paraId="02CC958C">
      <w:pPr>
        <w:spacing w:line="500" w:lineRule="exact"/>
        <w:ind w:firstLine="480" w:firstLineChars="200"/>
        <w:rPr>
          <w:rFonts w:hint="eastAsia" w:ascii="仿宋" w:hAnsi="仿宋" w:eastAsia="仿宋" w:cs="仿宋"/>
          <w:sz w:val="24"/>
          <w:szCs w:val="24"/>
        </w:rPr>
      </w:pPr>
      <w:r>
        <w:rPr>
          <w:rFonts w:hint="eastAsia" w:ascii="仿宋" w:hAnsi="仿宋" w:eastAsia="仿宋" w:cs="仿宋"/>
          <w:sz w:val="24"/>
          <w:szCs w:val="24"/>
          <w:lang w:val="en-US" w:eastAsia="zh-CN"/>
        </w:rPr>
        <w:t>3、</w:t>
      </w:r>
      <w:r>
        <w:rPr>
          <w:rFonts w:hint="eastAsia" w:ascii="仿宋" w:hAnsi="仿宋" w:eastAsia="仿宋" w:cs="仿宋"/>
          <w:sz w:val="24"/>
          <w:szCs w:val="24"/>
        </w:rPr>
        <w:t>甲乙双方因不可抗力导致本合同全部或部分不能履行时，发生不可抗力的一方应当在不可抗力发生后30天内书面通知对方，以减轻可能给对方造成的损失。因不可抗力导致本合同全部或部分不能履行时，双方各自承担其因此而造成的损失、损害。</w:t>
      </w:r>
    </w:p>
    <w:p w14:paraId="4EE12E9B">
      <w:pPr>
        <w:spacing w:line="500" w:lineRule="exact"/>
        <w:ind w:firstLine="480" w:firstLineChars="200"/>
        <w:rPr>
          <w:rFonts w:hint="eastAsia" w:ascii="仿宋" w:hAnsi="仿宋" w:eastAsia="仿宋" w:cs="仿宋"/>
          <w:sz w:val="24"/>
          <w:szCs w:val="24"/>
        </w:rPr>
      </w:pPr>
      <w:r>
        <w:rPr>
          <w:rFonts w:hint="eastAsia" w:ascii="仿宋" w:hAnsi="仿宋" w:eastAsia="仿宋" w:cs="仿宋"/>
          <w:sz w:val="24"/>
          <w:szCs w:val="24"/>
          <w:lang w:val="en-US" w:eastAsia="zh-CN"/>
        </w:rPr>
        <w:t>4、</w:t>
      </w:r>
      <w:r>
        <w:rPr>
          <w:rFonts w:hint="eastAsia" w:ascii="仿宋" w:hAnsi="仿宋" w:eastAsia="仿宋" w:cs="仿宋"/>
          <w:sz w:val="24"/>
          <w:szCs w:val="24"/>
        </w:rPr>
        <w:t>合同未尽事宜，由甲、乙双方协商后签订政府采购补充合同，与原合同具有同等法律效力。</w:t>
      </w:r>
    </w:p>
    <w:p w14:paraId="431B7984">
      <w:pPr>
        <w:spacing w:line="500" w:lineRule="exact"/>
        <w:ind w:firstLine="480" w:firstLineChars="200"/>
        <w:rPr>
          <w:rFonts w:hint="eastAsia" w:ascii="仿宋" w:hAnsi="仿宋" w:eastAsia="仿宋" w:cs="仿宋"/>
          <w:sz w:val="24"/>
          <w:szCs w:val="24"/>
        </w:rPr>
      </w:pPr>
      <w:r>
        <w:rPr>
          <w:rFonts w:hint="eastAsia" w:ascii="仿宋" w:hAnsi="仿宋" w:eastAsia="仿宋" w:cs="仿宋"/>
          <w:sz w:val="24"/>
          <w:szCs w:val="24"/>
          <w:lang w:val="en-US" w:eastAsia="zh-CN"/>
        </w:rPr>
        <w:t>5</w:t>
      </w:r>
      <w:r>
        <w:rPr>
          <w:rFonts w:hint="eastAsia" w:ascii="仿宋" w:hAnsi="仿宋" w:eastAsia="仿宋" w:cs="仿宋"/>
          <w:sz w:val="24"/>
          <w:szCs w:val="24"/>
        </w:rPr>
        <w:t>、本合同一式</w:t>
      </w:r>
      <w:r>
        <w:rPr>
          <w:rFonts w:hint="eastAsia" w:ascii="仿宋" w:hAnsi="仿宋" w:eastAsia="仿宋" w:cs="仿宋"/>
          <w:sz w:val="24"/>
          <w:szCs w:val="24"/>
          <w:u w:val="single"/>
        </w:rPr>
        <w:t xml:space="preserve">  </w:t>
      </w:r>
      <w:r>
        <w:rPr>
          <w:rFonts w:hint="eastAsia" w:ascii="仿宋" w:hAnsi="仿宋" w:eastAsia="仿宋" w:cs="仿宋"/>
          <w:sz w:val="24"/>
          <w:szCs w:val="24"/>
        </w:rPr>
        <w:t>份，甲乙双方各执</w:t>
      </w:r>
      <w:r>
        <w:rPr>
          <w:rFonts w:hint="eastAsia" w:ascii="仿宋" w:hAnsi="仿宋" w:eastAsia="仿宋" w:cs="仿宋"/>
          <w:sz w:val="24"/>
          <w:szCs w:val="24"/>
          <w:u w:val="single"/>
        </w:rPr>
        <w:t xml:space="preserve">  </w:t>
      </w:r>
      <w:r>
        <w:rPr>
          <w:rFonts w:hint="eastAsia" w:ascii="仿宋" w:hAnsi="仿宋" w:eastAsia="仿宋" w:cs="仿宋"/>
          <w:sz w:val="24"/>
          <w:szCs w:val="24"/>
        </w:rPr>
        <w:t>份，</w:t>
      </w:r>
      <w:bookmarkStart w:id="6" w:name="_GoBack"/>
      <w:bookmarkEnd w:id="6"/>
      <w:r>
        <w:rPr>
          <w:rFonts w:hint="eastAsia" w:ascii="仿宋" w:hAnsi="仿宋" w:eastAsia="仿宋" w:cs="仿宋"/>
          <w:sz w:val="24"/>
          <w:szCs w:val="24"/>
        </w:rPr>
        <w:t>均具有同等效力。</w:t>
      </w:r>
    </w:p>
    <w:p w14:paraId="3A6DF346">
      <w:pPr>
        <w:spacing w:line="500" w:lineRule="exact"/>
        <w:ind w:firstLine="480" w:firstLineChars="200"/>
        <w:rPr>
          <w:rFonts w:hint="eastAsia" w:ascii="仿宋" w:hAnsi="仿宋" w:eastAsia="仿宋" w:cs="仿宋"/>
          <w:szCs w:val="21"/>
        </w:rPr>
      </w:pPr>
      <w:r>
        <w:rPr>
          <w:rFonts w:hint="eastAsia" w:ascii="仿宋" w:hAnsi="仿宋" w:eastAsia="仿宋" w:cs="仿宋"/>
          <w:sz w:val="24"/>
          <w:szCs w:val="24"/>
          <w:lang w:val="en-US" w:eastAsia="zh-CN"/>
        </w:rPr>
        <w:t>6</w:t>
      </w:r>
      <w:r>
        <w:rPr>
          <w:rFonts w:hint="eastAsia" w:ascii="仿宋" w:hAnsi="仿宋" w:eastAsia="仿宋" w:cs="仿宋"/>
          <w:sz w:val="24"/>
          <w:szCs w:val="24"/>
        </w:rPr>
        <w:t>、甲方的</w:t>
      </w:r>
      <w:r>
        <w:rPr>
          <w:rFonts w:hint="eastAsia" w:ascii="仿宋" w:hAnsi="仿宋" w:eastAsia="仿宋" w:cs="仿宋"/>
          <w:sz w:val="24"/>
          <w:szCs w:val="24"/>
          <w:lang w:eastAsia="zh-CN"/>
        </w:rPr>
        <w:t>磋商文件</w:t>
      </w:r>
      <w:r>
        <w:rPr>
          <w:rFonts w:hint="eastAsia" w:ascii="仿宋" w:hAnsi="仿宋" w:eastAsia="仿宋" w:cs="仿宋"/>
          <w:sz w:val="24"/>
          <w:szCs w:val="24"/>
        </w:rPr>
        <w:t>中</w:t>
      </w:r>
      <w:r>
        <w:rPr>
          <w:rFonts w:hint="eastAsia" w:ascii="仿宋" w:hAnsi="仿宋" w:eastAsia="仿宋" w:cs="仿宋"/>
          <w:sz w:val="24"/>
          <w:szCs w:val="24"/>
          <w:lang w:val="en-US" w:eastAsia="zh-CN"/>
        </w:rPr>
        <w:t>采购需求</w:t>
      </w:r>
      <w:r>
        <w:rPr>
          <w:rFonts w:hint="eastAsia" w:ascii="仿宋" w:hAnsi="仿宋" w:eastAsia="仿宋" w:cs="仿宋"/>
          <w:sz w:val="24"/>
          <w:szCs w:val="24"/>
        </w:rPr>
        <w:t>以及乙方“</w:t>
      </w:r>
      <w:r>
        <w:rPr>
          <w:rFonts w:hint="eastAsia" w:ascii="仿宋" w:hAnsi="仿宋" w:eastAsia="仿宋" w:cs="仿宋"/>
          <w:sz w:val="24"/>
          <w:szCs w:val="24"/>
          <w:lang w:eastAsia="zh-CN"/>
        </w:rPr>
        <w:t>响应文件</w:t>
      </w:r>
      <w:r>
        <w:rPr>
          <w:rFonts w:hint="eastAsia" w:ascii="仿宋" w:hAnsi="仿宋" w:eastAsia="仿宋" w:cs="仿宋"/>
          <w:sz w:val="24"/>
          <w:szCs w:val="24"/>
        </w:rPr>
        <w:t>”为本合同不可分割的一部分，与本合同具有同等效力；如有不一致之处，以本合同约定为准。</w:t>
      </w:r>
    </w:p>
    <w:p w14:paraId="51FF49B0">
      <w:pPr>
        <w:pStyle w:val="13"/>
        <w:spacing w:line="360" w:lineRule="auto"/>
        <w:rPr>
          <w:rFonts w:hint="eastAsia" w:ascii="仿宋" w:hAnsi="仿宋" w:eastAsia="仿宋" w:cs="宋体"/>
          <w:color w:val="auto"/>
        </w:rPr>
        <w:sectPr>
          <w:headerReference r:id="rId4" w:type="first"/>
          <w:headerReference r:id="rId3" w:type="default"/>
          <w:footerReference r:id="rId5" w:type="default"/>
          <w:pgSz w:w="11906" w:h="16838"/>
          <w:pgMar w:top="1418" w:right="1418" w:bottom="1418" w:left="1418" w:header="851" w:footer="964" w:gutter="0"/>
          <w:cols w:space="720" w:num="1"/>
          <w:titlePg/>
          <w:docGrid w:linePitch="312" w:charSpace="0"/>
        </w:sectPr>
      </w:pPr>
    </w:p>
    <w:p w14:paraId="4D17E9DE">
      <w:pPr>
        <w:pStyle w:val="13"/>
        <w:spacing w:line="360" w:lineRule="auto"/>
        <w:rPr>
          <w:rFonts w:hint="eastAsia" w:ascii="仿宋" w:hAnsi="仿宋" w:eastAsia="仿宋" w:cs="宋体"/>
          <w:color w:val="auto"/>
        </w:rPr>
      </w:pPr>
      <w:r>
        <w:rPr>
          <w:rFonts w:hint="eastAsia" w:ascii="仿宋" w:hAnsi="仿宋" w:eastAsia="仿宋" w:cs="宋体"/>
          <w:color w:val="auto"/>
        </w:rPr>
        <w:t>此页无正文</w:t>
      </w:r>
    </w:p>
    <w:p w14:paraId="47354C05">
      <w:pPr>
        <w:spacing w:line="360" w:lineRule="auto"/>
        <w:rPr>
          <w:rFonts w:ascii="仿宋" w:hAnsi="仿宋" w:eastAsia="仿宋"/>
          <w:sz w:val="24"/>
          <w:szCs w:val="24"/>
        </w:rPr>
      </w:pPr>
    </w:p>
    <w:tbl>
      <w:tblPr>
        <w:tblStyle w:val="9"/>
        <w:tblW w:w="0" w:type="auto"/>
        <w:jc w:val="center"/>
        <w:tblLayout w:type="fixed"/>
        <w:tblCellMar>
          <w:top w:w="0" w:type="dxa"/>
          <w:left w:w="108" w:type="dxa"/>
          <w:bottom w:w="0" w:type="dxa"/>
          <w:right w:w="108" w:type="dxa"/>
        </w:tblCellMar>
      </w:tblPr>
      <w:tblGrid>
        <w:gridCol w:w="4643"/>
        <w:gridCol w:w="4643"/>
      </w:tblGrid>
      <w:tr w14:paraId="099540E5">
        <w:tblPrEx>
          <w:tblCellMar>
            <w:top w:w="0" w:type="dxa"/>
            <w:left w:w="108" w:type="dxa"/>
            <w:bottom w:w="0" w:type="dxa"/>
            <w:right w:w="108" w:type="dxa"/>
          </w:tblCellMar>
        </w:tblPrEx>
        <w:trPr>
          <w:jc w:val="center"/>
        </w:trPr>
        <w:tc>
          <w:tcPr>
            <w:tcW w:w="4643" w:type="dxa"/>
            <w:noWrap w:val="0"/>
            <w:vAlign w:val="top"/>
          </w:tcPr>
          <w:p w14:paraId="465F8F52">
            <w:pPr>
              <w:widowControl/>
              <w:autoSpaceDE w:val="0"/>
              <w:autoSpaceDN w:val="0"/>
              <w:snapToGrid w:val="0"/>
              <w:spacing w:line="360" w:lineRule="auto"/>
              <w:ind w:right="-154"/>
              <w:textAlignment w:val="bottom"/>
              <w:rPr>
                <w:rFonts w:hint="eastAsia" w:ascii="仿宋" w:hAnsi="仿宋" w:eastAsia="仿宋"/>
                <w:kern w:val="0"/>
                <w:sz w:val="24"/>
                <w:szCs w:val="24"/>
              </w:rPr>
            </w:pPr>
            <w:r>
              <w:rPr>
                <w:rFonts w:hint="eastAsia" w:ascii="仿宋" w:hAnsi="仿宋" w:eastAsia="仿宋"/>
                <w:kern w:val="0"/>
                <w:sz w:val="24"/>
                <w:szCs w:val="24"/>
              </w:rPr>
              <w:t>甲方名称</w:t>
            </w:r>
            <w:r>
              <w:rPr>
                <w:rFonts w:hint="eastAsia" w:ascii="仿宋" w:hAnsi="仿宋" w:eastAsia="仿宋"/>
                <w:spacing w:val="-20"/>
                <w:kern w:val="0"/>
                <w:sz w:val="24"/>
                <w:szCs w:val="24"/>
              </w:rPr>
              <w:t>（盖章）</w:t>
            </w:r>
            <w:r>
              <w:rPr>
                <w:rFonts w:hint="eastAsia" w:ascii="仿宋" w:hAnsi="仿宋" w:eastAsia="仿宋"/>
                <w:kern w:val="0"/>
                <w:sz w:val="24"/>
                <w:szCs w:val="24"/>
              </w:rPr>
              <w:t>:</w:t>
            </w:r>
          </w:p>
          <w:p w14:paraId="0D5F2308">
            <w:pPr>
              <w:widowControl/>
              <w:autoSpaceDE w:val="0"/>
              <w:autoSpaceDN w:val="0"/>
              <w:snapToGrid w:val="0"/>
              <w:spacing w:line="360" w:lineRule="auto"/>
              <w:ind w:right="-154"/>
              <w:textAlignment w:val="bottom"/>
              <w:rPr>
                <w:rFonts w:hint="eastAsia" w:ascii="仿宋" w:hAnsi="仿宋" w:eastAsia="仿宋"/>
                <w:kern w:val="0"/>
                <w:sz w:val="24"/>
                <w:szCs w:val="24"/>
              </w:rPr>
            </w:pPr>
            <w:r>
              <w:rPr>
                <w:rFonts w:hint="eastAsia" w:ascii="仿宋" w:hAnsi="仿宋" w:eastAsia="仿宋"/>
                <w:kern w:val="0"/>
                <w:sz w:val="24"/>
                <w:szCs w:val="24"/>
              </w:rPr>
              <w:t>地址：</w:t>
            </w:r>
          </w:p>
          <w:p w14:paraId="69EAE5D3">
            <w:pPr>
              <w:widowControl/>
              <w:autoSpaceDE w:val="0"/>
              <w:autoSpaceDN w:val="0"/>
              <w:snapToGrid w:val="0"/>
              <w:spacing w:line="360" w:lineRule="auto"/>
              <w:ind w:right="-154"/>
              <w:textAlignment w:val="bottom"/>
              <w:rPr>
                <w:rFonts w:hint="eastAsia" w:ascii="仿宋" w:hAnsi="仿宋" w:eastAsia="仿宋"/>
                <w:kern w:val="0"/>
                <w:sz w:val="24"/>
                <w:szCs w:val="24"/>
              </w:rPr>
            </w:pPr>
            <w:r>
              <w:rPr>
                <w:rFonts w:hint="eastAsia" w:ascii="仿宋" w:hAnsi="仿宋" w:eastAsia="仿宋"/>
                <w:kern w:val="0"/>
                <w:sz w:val="24"/>
                <w:szCs w:val="24"/>
              </w:rPr>
              <w:t>代表人（签字）：</w:t>
            </w:r>
          </w:p>
          <w:p w14:paraId="76218589">
            <w:pPr>
              <w:widowControl/>
              <w:autoSpaceDE w:val="0"/>
              <w:autoSpaceDN w:val="0"/>
              <w:snapToGrid w:val="0"/>
              <w:spacing w:line="360" w:lineRule="auto"/>
              <w:ind w:right="-154"/>
              <w:textAlignment w:val="bottom"/>
              <w:rPr>
                <w:rFonts w:hint="eastAsia" w:ascii="仿宋" w:hAnsi="仿宋" w:eastAsia="仿宋"/>
                <w:kern w:val="0"/>
                <w:sz w:val="24"/>
                <w:szCs w:val="24"/>
              </w:rPr>
            </w:pPr>
            <w:r>
              <w:rPr>
                <w:rFonts w:hint="eastAsia" w:ascii="仿宋" w:hAnsi="仿宋" w:eastAsia="仿宋"/>
                <w:kern w:val="0"/>
                <w:sz w:val="24"/>
                <w:szCs w:val="24"/>
              </w:rPr>
              <w:t>电话：</w:t>
            </w:r>
          </w:p>
          <w:p w14:paraId="0A62F539">
            <w:pPr>
              <w:widowControl/>
              <w:autoSpaceDE w:val="0"/>
              <w:autoSpaceDN w:val="0"/>
              <w:snapToGrid w:val="0"/>
              <w:spacing w:line="360" w:lineRule="auto"/>
              <w:ind w:right="-154"/>
              <w:textAlignment w:val="bottom"/>
              <w:rPr>
                <w:rFonts w:hint="eastAsia" w:ascii="仿宋" w:hAnsi="仿宋" w:eastAsia="仿宋"/>
                <w:kern w:val="0"/>
                <w:sz w:val="24"/>
                <w:szCs w:val="24"/>
              </w:rPr>
            </w:pPr>
            <w:r>
              <w:rPr>
                <w:rFonts w:hint="eastAsia" w:ascii="仿宋" w:hAnsi="仿宋" w:eastAsia="仿宋"/>
                <w:kern w:val="0"/>
                <w:sz w:val="24"/>
                <w:szCs w:val="24"/>
              </w:rPr>
              <w:t>开户银行：</w:t>
            </w:r>
          </w:p>
          <w:p w14:paraId="60C1CEAB">
            <w:pPr>
              <w:widowControl/>
              <w:autoSpaceDE w:val="0"/>
              <w:autoSpaceDN w:val="0"/>
              <w:snapToGrid w:val="0"/>
              <w:spacing w:line="360" w:lineRule="auto"/>
              <w:ind w:right="-154"/>
              <w:textAlignment w:val="bottom"/>
              <w:rPr>
                <w:rFonts w:ascii="仿宋" w:hAnsi="仿宋" w:eastAsia="仿宋"/>
                <w:kern w:val="0"/>
                <w:sz w:val="24"/>
                <w:szCs w:val="24"/>
              </w:rPr>
            </w:pPr>
            <w:r>
              <w:rPr>
                <w:rFonts w:hint="eastAsia" w:ascii="仿宋" w:hAnsi="仿宋" w:eastAsia="仿宋"/>
                <w:kern w:val="0"/>
                <w:sz w:val="24"/>
                <w:szCs w:val="24"/>
              </w:rPr>
              <w:t>帐号：</w:t>
            </w:r>
          </w:p>
          <w:p w14:paraId="4D0971D6">
            <w:pPr>
              <w:pStyle w:val="13"/>
              <w:spacing w:line="360" w:lineRule="auto"/>
              <w:rPr>
                <w:rFonts w:ascii="仿宋" w:hAnsi="仿宋" w:eastAsia="仿宋"/>
                <w:color w:val="auto"/>
              </w:rPr>
            </w:pPr>
            <w:r>
              <w:rPr>
                <w:rFonts w:hint="eastAsia" w:ascii="仿宋" w:hAnsi="仿宋" w:eastAsia="仿宋"/>
                <w:color w:val="auto"/>
              </w:rPr>
              <w:t xml:space="preserve">签订日期： </w:t>
            </w:r>
            <w:r>
              <w:rPr>
                <w:rFonts w:ascii="仿宋" w:hAnsi="仿宋" w:eastAsia="仿宋"/>
                <w:color w:val="auto"/>
              </w:rPr>
              <w:t xml:space="preserve">   </w:t>
            </w:r>
            <w:r>
              <w:rPr>
                <w:rFonts w:hint="eastAsia" w:ascii="仿宋" w:hAnsi="仿宋" w:eastAsia="仿宋"/>
                <w:color w:val="auto"/>
              </w:rPr>
              <w:t xml:space="preserve">年 </w:t>
            </w:r>
            <w:r>
              <w:rPr>
                <w:rFonts w:ascii="仿宋" w:hAnsi="仿宋" w:eastAsia="仿宋"/>
                <w:color w:val="auto"/>
              </w:rPr>
              <w:t xml:space="preserve">  </w:t>
            </w:r>
            <w:r>
              <w:rPr>
                <w:rFonts w:hint="eastAsia" w:ascii="仿宋" w:hAnsi="仿宋" w:eastAsia="仿宋"/>
                <w:color w:val="auto"/>
              </w:rPr>
              <w:t xml:space="preserve">月 </w:t>
            </w:r>
            <w:r>
              <w:rPr>
                <w:rFonts w:ascii="仿宋" w:hAnsi="仿宋" w:eastAsia="仿宋"/>
                <w:color w:val="auto"/>
              </w:rPr>
              <w:t xml:space="preserve"> </w:t>
            </w:r>
            <w:r>
              <w:rPr>
                <w:rFonts w:hint="eastAsia" w:ascii="仿宋" w:hAnsi="仿宋" w:eastAsia="仿宋"/>
                <w:color w:val="auto"/>
              </w:rPr>
              <w:t>日</w:t>
            </w:r>
          </w:p>
          <w:p w14:paraId="4BEFFA83">
            <w:pPr>
              <w:pStyle w:val="13"/>
              <w:spacing w:line="360" w:lineRule="auto"/>
              <w:rPr>
                <w:rFonts w:hint="eastAsia" w:ascii="仿宋" w:hAnsi="仿宋" w:eastAsia="仿宋"/>
                <w:color w:val="auto"/>
              </w:rPr>
            </w:pPr>
          </w:p>
          <w:p w14:paraId="3C1D2BAD">
            <w:pPr>
              <w:pStyle w:val="13"/>
              <w:spacing w:line="360" w:lineRule="auto"/>
              <w:rPr>
                <w:rFonts w:ascii="仿宋" w:hAnsi="仿宋" w:eastAsia="仿宋"/>
                <w:color w:val="auto"/>
              </w:rPr>
            </w:pPr>
          </w:p>
          <w:p w14:paraId="7D23EC8F">
            <w:pPr>
              <w:pStyle w:val="13"/>
              <w:spacing w:line="360" w:lineRule="auto"/>
              <w:rPr>
                <w:rFonts w:hint="eastAsia" w:ascii="仿宋" w:hAnsi="仿宋" w:eastAsia="仿宋"/>
                <w:color w:val="auto"/>
              </w:rPr>
            </w:pPr>
          </w:p>
        </w:tc>
        <w:tc>
          <w:tcPr>
            <w:tcW w:w="4643" w:type="dxa"/>
            <w:noWrap w:val="0"/>
            <w:vAlign w:val="top"/>
          </w:tcPr>
          <w:p w14:paraId="616039CE">
            <w:pPr>
              <w:widowControl/>
              <w:autoSpaceDE w:val="0"/>
              <w:autoSpaceDN w:val="0"/>
              <w:snapToGrid w:val="0"/>
              <w:spacing w:line="360" w:lineRule="auto"/>
              <w:ind w:right="-154"/>
              <w:textAlignment w:val="bottom"/>
              <w:rPr>
                <w:rFonts w:hint="eastAsia" w:ascii="仿宋" w:hAnsi="仿宋" w:eastAsia="仿宋"/>
                <w:kern w:val="0"/>
                <w:sz w:val="24"/>
                <w:szCs w:val="24"/>
              </w:rPr>
            </w:pPr>
            <w:r>
              <w:rPr>
                <w:rFonts w:hint="eastAsia" w:ascii="仿宋" w:hAnsi="仿宋" w:eastAsia="仿宋"/>
                <w:kern w:val="0"/>
                <w:sz w:val="24"/>
                <w:szCs w:val="24"/>
              </w:rPr>
              <w:t>乙方名称</w:t>
            </w:r>
            <w:r>
              <w:rPr>
                <w:rFonts w:hint="eastAsia" w:ascii="仿宋" w:hAnsi="仿宋" w:eastAsia="仿宋"/>
                <w:spacing w:val="-20"/>
                <w:kern w:val="0"/>
                <w:sz w:val="24"/>
                <w:szCs w:val="24"/>
              </w:rPr>
              <w:t>（盖章）</w:t>
            </w:r>
            <w:r>
              <w:rPr>
                <w:rFonts w:hint="eastAsia" w:ascii="仿宋" w:hAnsi="仿宋" w:eastAsia="仿宋"/>
                <w:kern w:val="0"/>
                <w:sz w:val="24"/>
                <w:szCs w:val="24"/>
              </w:rPr>
              <w:t>:</w:t>
            </w:r>
          </w:p>
          <w:p w14:paraId="5916AE73">
            <w:pPr>
              <w:widowControl/>
              <w:autoSpaceDE w:val="0"/>
              <w:autoSpaceDN w:val="0"/>
              <w:snapToGrid w:val="0"/>
              <w:spacing w:line="360" w:lineRule="auto"/>
              <w:ind w:right="-154"/>
              <w:textAlignment w:val="bottom"/>
              <w:rPr>
                <w:rFonts w:hint="eastAsia" w:ascii="仿宋" w:hAnsi="仿宋" w:eastAsia="仿宋"/>
                <w:kern w:val="0"/>
                <w:sz w:val="24"/>
                <w:szCs w:val="24"/>
              </w:rPr>
            </w:pPr>
            <w:r>
              <w:rPr>
                <w:rFonts w:hint="eastAsia" w:ascii="仿宋" w:hAnsi="仿宋" w:eastAsia="仿宋"/>
                <w:kern w:val="0"/>
                <w:sz w:val="24"/>
                <w:szCs w:val="24"/>
              </w:rPr>
              <w:t>地址：</w:t>
            </w:r>
          </w:p>
          <w:p w14:paraId="5FF646F5">
            <w:pPr>
              <w:widowControl/>
              <w:autoSpaceDE w:val="0"/>
              <w:autoSpaceDN w:val="0"/>
              <w:snapToGrid w:val="0"/>
              <w:spacing w:line="360" w:lineRule="auto"/>
              <w:ind w:right="-154"/>
              <w:textAlignment w:val="bottom"/>
              <w:rPr>
                <w:rFonts w:hint="eastAsia" w:ascii="仿宋" w:hAnsi="仿宋" w:eastAsia="仿宋"/>
                <w:kern w:val="0"/>
                <w:sz w:val="24"/>
                <w:szCs w:val="24"/>
              </w:rPr>
            </w:pPr>
            <w:r>
              <w:rPr>
                <w:rFonts w:hint="eastAsia" w:ascii="仿宋" w:hAnsi="仿宋" w:eastAsia="仿宋"/>
                <w:kern w:val="0"/>
                <w:sz w:val="24"/>
                <w:szCs w:val="24"/>
              </w:rPr>
              <w:t>代表人（签字）：</w:t>
            </w:r>
          </w:p>
          <w:p w14:paraId="762D80A2">
            <w:pPr>
              <w:widowControl/>
              <w:autoSpaceDE w:val="0"/>
              <w:autoSpaceDN w:val="0"/>
              <w:snapToGrid w:val="0"/>
              <w:spacing w:line="360" w:lineRule="auto"/>
              <w:ind w:right="-154"/>
              <w:textAlignment w:val="bottom"/>
              <w:rPr>
                <w:rFonts w:hint="eastAsia" w:ascii="仿宋" w:hAnsi="仿宋" w:eastAsia="仿宋"/>
                <w:kern w:val="0"/>
                <w:sz w:val="24"/>
                <w:szCs w:val="24"/>
              </w:rPr>
            </w:pPr>
            <w:r>
              <w:rPr>
                <w:rFonts w:hint="eastAsia" w:ascii="仿宋" w:hAnsi="仿宋" w:eastAsia="仿宋"/>
                <w:kern w:val="0"/>
                <w:sz w:val="24"/>
                <w:szCs w:val="24"/>
              </w:rPr>
              <w:t>电话：</w:t>
            </w:r>
          </w:p>
          <w:p w14:paraId="30CE18E4">
            <w:pPr>
              <w:widowControl/>
              <w:autoSpaceDE w:val="0"/>
              <w:autoSpaceDN w:val="0"/>
              <w:snapToGrid w:val="0"/>
              <w:spacing w:line="360" w:lineRule="auto"/>
              <w:ind w:right="-154"/>
              <w:textAlignment w:val="bottom"/>
              <w:rPr>
                <w:rFonts w:hint="eastAsia" w:ascii="仿宋" w:hAnsi="仿宋" w:eastAsia="仿宋"/>
                <w:kern w:val="0"/>
                <w:sz w:val="24"/>
                <w:szCs w:val="24"/>
              </w:rPr>
            </w:pPr>
            <w:r>
              <w:rPr>
                <w:rFonts w:hint="eastAsia" w:ascii="仿宋" w:hAnsi="仿宋" w:eastAsia="仿宋"/>
                <w:kern w:val="0"/>
                <w:sz w:val="24"/>
                <w:szCs w:val="24"/>
              </w:rPr>
              <w:t>开户银行：</w:t>
            </w:r>
          </w:p>
          <w:p w14:paraId="390D28AD">
            <w:pPr>
              <w:widowControl/>
              <w:autoSpaceDE w:val="0"/>
              <w:autoSpaceDN w:val="0"/>
              <w:snapToGrid w:val="0"/>
              <w:spacing w:line="360" w:lineRule="auto"/>
              <w:ind w:right="-154"/>
              <w:textAlignment w:val="bottom"/>
              <w:rPr>
                <w:rFonts w:ascii="仿宋" w:hAnsi="仿宋" w:eastAsia="仿宋"/>
                <w:kern w:val="0"/>
                <w:sz w:val="24"/>
                <w:szCs w:val="24"/>
              </w:rPr>
            </w:pPr>
            <w:r>
              <w:rPr>
                <w:rFonts w:hint="eastAsia" w:ascii="仿宋" w:hAnsi="仿宋" w:eastAsia="仿宋"/>
                <w:kern w:val="0"/>
                <w:sz w:val="24"/>
                <w:szCs w:val="24"/>
              </w:rPr>
              <w:t>帐号：</w:t>
            </w:r>
          </w:p>
          <w:p w14:paraId="5350242D">
            <w:pPr>
              <w:pStyle w:val="13"/>
              <w:spacing w:line="360" w:lineRule="auto"/>
              <w:rPr>
                <w:rFonts w:ascii="仿宋" w:hAnsi="仿宋" w:eastAsia="仿宋"/>
                <w:color w:val="auto"/>
              </w:rPr>
            </w:pPr>
            <w:r>
              <w:rPr>
                <w:rFonts w:hint="eastAsia" w:ascii="仿宋" w:hAnsi="仿宋" w:eastAsia="仿宋"/>
                <w:color w:val="auto"/>
              </w:rPr>
              <w:t xml:space="preserve">签订日期： </w:t>
            </w:r>
            <w:r>
              <w:rPr>
                <w:rFonts w:ascii="仿宋" w:hAnsi="仿宋" w:eastAsia="仿宋"/>
                <w:color w:val="auto"/>
              </w:rPr>
              <w:t xml:space="preserve">   </w:t>
            </w:r>
            <w:r>
              <w:rPr>
                <w:rFonts w:hint="eastAsia" w:ascii="仿宋" w:hAnsi="仿宋" w:eastAsia="仿宋"/>
                <w:color w:val="auto"/>
              </w:rPr>
              <w:t xml:space="preserve">年 </w:t>
            </w:r>
            <w:r>
              <w:rPr>
                <w:rFonts w:ascii="仿宋" w:hAnsi="仿宋" w:eastAsia="仿宋"/>
                <w:color w:val="auto"/>
              </w:rPr>
              <w:t xml:space="preserve">  </w:t>
            </w:r>
            <w:r>
              <w:rPr>
                <w:rFonts w:hint="eastAsia" w:ascii="仿宋" w:hAnsi="仿宋" w:eastAsia="仿宋"/>
                <w:color w:val="auto"/>
              </w:rPr>
              <w:t xml:space="preserve">月 </w:t>
            </w:r>
            <w:r>
              <w:rPr>
                <w:rFonts w:ascii="仿宋" w:hAnsi="仿宋" w:eastAsia="仿宋"/>
                <w:color w:val="auto"/>
              </w:rPr>
              <w:t xml:space="preserve"> </w:t>
            </w:r>
            <w:r>
              <w:rPr>
                <w:rFonts w:hint="eastAsia" w:ascii="仿宋" w:hAnsi="仿宋" w:eastAsia="仿宋"/>
                <w:color w:val="auto"/>
              </w:rPr>
              <w:t>日</w:t>
            </w:r>
          </w:p>
          <w:p w14:paraId="5E162EA8">
            <w:pPr>
              <w:pStyle w:val="13"/>
              <w:spacing w:line="360" w:lineRule="auto"/>
              <w:rPr>
                <w:rFonts w:hint="eastAsia" w:ascii="仿宋" w:hAnsi="仿宋" w:eastAsia="仿宋"/>
                <w:color w:val="auto"/>
              </w:rPr>
            </w:pPr>
          </w:p>
        </w:tc>
      </w:tr>
    </w:tbl>
    <w:p w14:paraId="76611E97">
      <w:pPr>
        <w:pStyle w:val="14"/>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仿宋" w:hAnsi="仿宋" w:eastAsia="仿宋" w:cs="仿宋"/>
          <w:sz w:val="24"/>
          <w:szCs w:val="24"/>
        </w:rPr>
      </w:pPr>
    </w:p>
    <w:p w14:paraId="7D40F62A">
      <w:pPr>
        <w:pStyle w:val="14"/>
        <w:rPr>
          <w:rFonts w:hint="eastAsia" w:ascii="仿宋" w:hAnsi="仿宋" w:eastAsia="仿宋" w:cs="仿宋"/>
        </w:rPr>
      </w:pPr>
      <w:r>
        <w:rPr>
          <w:rFonts w:hint="eastAsia" w:ascii="仿宋" w:hAnsi="仿宋" w:eastAsia="仿宋" w:cs="仿宋"/>
        </w:rPr>
        <w:t xml:space="preserve"> </w:t>
      </w:r>
    </w:p>
    <w:p w14:paraId="757CE771">
      <w:pPr>
        <w:pStyle w:val="14"/>
        <w:rPr>
          <w:rFonts w:hint="eastAsia" w:ascii="仿宋" w:hAnsi="仿宋" w:eastAsia="仿宋" w:cs="仿宋"/>
          <w:lang w:val="en-US" w:eastAsia="zh-Hans"/>
        </w:rPr>
      </w:pPr>
    </w:p>
    <w:p w14:paraId="34C47BB3">
      <w:pPr>
        <w:rPr>
          <w:rFonts w:hint="eastAsia"/>
          <w:lang w:eastAsia="zh-CN"/>
        </w:rPr>
      </w:pPr>
    </w:p>
    <w:sectPr>
      <w:headerReference r:id="rId6" w:type="default"/>
      <w:footerReference r:id="rId7"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opperplate Gothic Bold">
    <w:altName w:val="Segoe Print"/>
    <w:panose1 w:val="020E0705020206020404"/>
    <w:charset w:val="00"/>
    <w:family w:val="swiss"/>
    <w:pitch w:val="default"/>
    <w:sig w:usb0="00000000" w:usb1="00000000" w:usb2="00000000" w:usb3="00000000" w:csb0="20000001" w:csb1="00000000"/>
  </w:font>
  <w:font w:name="Segoe Print">
    <w:panose1 w:val="02000600000000000000"/>
    <w:charset w:val="00"/>
    <w:family w:val="auto"/>
    <w:pitch w:val="default"/>
    <w:sig w:usb0="0000028F" w:usb1="00000000" w:usb2="00000000" w:usb3="00000000" w:csb0="2000009F" w:csb1="4701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48362C">
    <w:pPr>
      <w:pStyle w:val="6"/>
      <w:tabs>
        <w:tab w:val="right" w:pos="8820"/>
        <w:tab w:val="clear" w:pos="8306"/>
      </w:tabs>
      <w:ind w:right="77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3338FE">
    <w:pPr>
      <w:pStyle w:val="6"/>
      <w:tabs>
        <w:tab w:val="right" w:pos="8820"/>
        <w:tab w:val="clear" w:pos="8306"/>
      </w:tabs>
      <w:ind w:right="775"/>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D00035">
    <w:pPr>
      <w:pStyle w:val="7"/>
      <w:pBdr>
        <w:bottom w:val="none" w:color="auto" w:sz="0" w:space="1"/>
      </w:pBdr>
      <w:tabs>
        <w:tab w:val="clear" w:pos="4153"/>
      </w:tabs>
      <w:ind w:firstLine="501" w:firstLineChars="0"/>
      <w:jc w:val="left"/>
      <w:rPr>
        <w:rFonts w:ascii="仿宋" w:hAnsi="仿宋" w:eastAsia="仿宋"/>
        <w:sz w:val="21"/>
        <w:szCs w:val="21"/>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4EAD55">
    <w:pPr>
      <w:pStyle w:val="7"/>
      <w:pBdr>
        <w:bottom w:val="none" w:color="auto" w:sz="0" w:space="1"/>
      </w:pBdr>
    </w:pPr>
    <w:r>
      <w:rPr>
        <w:rFonts w:hint="eastAsia" w:ascii="仿宋" w:hAnsi="仿宋" w:eastAsia="仿宋" w:cs="宋体"/>
        <w:b/>
        <w:bCs/>
        <w:color w:val="333333"/>
        <w:sz w:val="21"/>
        <w:szCs w:val="21"/>
        <w:shd w:val="clear" w:color="auto" w:fill="FFFFFF"/>
      </w:rPr>
      <w:t xml:space="preserve"> </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16AB06">
    <w:pPr>
      <w:pStyle w:val="7"/>
      <w:pBdr>
        <w:bottom w:val="none" w:color="auto" w:sz="0" w:space="1"/>
      </w:pBdr>
      <w:tabs>
        <w:tab w:val="clear" w:pos="4153"/>
      </w:tabs>
      <w:ind w:firstLine="501" w:firstLineChars="0"/>
      <w:jc w:val="left"/>
      <w:rPr>
        <w:rFonts w:ascii="仿宋" w:hAnsi="仿宋" w:eastAsia="仿宋"/>
        <w:sz w:val="21"/>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12C0192"/>
    <w:multiLevelType w:val="singleLevel"/>
    <w:tmpl w:val="F12C0192"/>
    <w:lvl w:ilvl="0" w:tentative="0">
      <w:start w:val="2"/>
      <w:numFmt w:val="chineseCounting"/>
      <w:suff w:val="space"/>
      <w:lvlText w:val="第%1条"/>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Y1OWZmN2YwYjlkNTNiNTA5NjRhNGNmYzlmZmM3MzcifQ=="/>
  </w:docVars>
  <w:rsids>
    <w:rsidRoot w:val="00000000"/>
    <w:rsid w:val="06233776"/>
    <w:rsid w:val="0DD9136D"/>
    <w:rsid w:val="0EC137E9"/>
    <w:rsid w:val="114E7A8B"/>
    <w:rsid w:val="18205F6C"/>
    <w:rsid w:val="20DD2887"/>
    <w:rsid w:val="51234079"/>
    <w:rsid w:val="55B22754"/>
    <w:rsid w:val="570D6CD1"/>
    <w:rsid w:val="57F15A58"/>
    <w:rsid w:val="5CD94615"/>
    <w:rsid w:val="62425DED"/>
    <w:rsid w:val="6A4F1A31"/>
    <w:rsid w:val="6EA46635"/>
    <w:rsid w:val="7CF16C56"/>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1"/>
    <w:basedOn w:val="1"/>
    <w:next w:val="1"/>
    <w:qFormat/>
    <w:uiPriority w:val="0"/>
    <w:pPr>
      <w:spacing w:before="100" w:beforeAutospacing="1" w:after="100" w:afterAutospacing="1"/>
      <w:jc w:val="left"/>
      <w:outlineLvl w:val="0"/>
    </w:pPr>
    <w:rPr>
      <w:rFonts w:hint="eastAsia" w:ascii="宋体" w:hAnsi="宋体" w:eastAsia="宋体" w:cs="宋体"/>
      <w:b/>
      <w:bCs/>
      <w:kern w:val="44"/>
      <w:sz w:val="48"/>
      <w:szCs w:val="48"/>
      <w:lang w:val="en-US" w:eastAsia="zh-CN" w:bidi="ar"/>
    </w:rPr>
  </w:style>
  <w:style w:type="paragraph" w:styleId="3">
    <w:name w:val="heading 2"/>
    <w:basedOn w:val="1"/>
    <w:next w:val="1"/>
    <w:autoRedefine/>
    <w:unhideWhenUsed/>
    <w:qFormat/>
    <w:uiPriority w:val="0"/>
    <w:pPr>
      <w:spacing w:before="100" w:beforeAutospacing="1" w:after="100" w:afterAutospacing="1"/>
      <w:jc w:val="left"/>
      <w:outlineLvl w:val="1"/>
    </w:pPr>
    <w:rPr>
      <w:rFonts w:hint="eastAsia" w:ascii="宋体" w:hAnsi="宋体" w:eastAsia="宋体" w:cs="宋体"/>
      <w:b/>
      <w:bCs/>
      <w:kern w:val="0"/>
      <w:sz w:val="36"/>
      <w:szCs w:val="36"/>
      <w:lang w:val="en-US" w:eastAsia="zh-CN" w:bidi="ar"/>
    </w:rPr>
  </w:style>
  <w:style w:type="character" w:default="1" w:styleId="10">
    <w:name w:val="Default Paragraph Font"/>
    <w:autoRedefine/>
    <w:semiHidden/>
    <w:qFormat/>
    <w:uiPriority w:val="0"/>
  </w:style>
  <w:style w:type="table" w:default="1" w:styleId="9">
    <w:name w:val="Normal Table"/>
    <w:autoRedefine/>
    <w:semiHidden/>
    <w:qFormat/>
    <w:uiPriority w:val="0"/>
    <w:tblPr>
      <w:tblCellMar>
        <w:top w:w="0" w:type="dxa"/>
        <w:left w:w="108" w:type="dxa"/>
        <w:bottom w:w="0" w:type="dxa"/>
        <w:right w:w="108" w:type="dxa"/>
      </w:tblCellMar>
    </w:tblPr>
  </w:style>
  <w:style w:type="paragraph" w:styleId="4">
    <w:name w:val="Body Text"/>
    <w:basedOn w:val="1"/>
    <w:next w:val="1"/>
    <w:autoRedefine/>
    <w:qFormat/>
    <w:uiPriority w:val="0"/>
    <w:pPr>
      <w:widowControl w:val="0"/>
      <w:jc w:val="left"/>
    </w:pPr>
    <w:rPr>
      <w:rFonts w:ascii="Copperplate Gothic Bold" w:hAnsi="Copperplate Gothic Bold" w:eastAsia="宋体" w:cs="Times New Roman"/>
      <w:kern w:val="2"/>
      <w:sz w:val="28"/>
      <w:szCs w:val="24"/>
      <w:lang w:val="en-US" w:eastAsia="zh-CN" w:bidi="ar-SA"/>
    </w:rPr>
  </w:style>
  <w:style w:type="paragraph" w:styleId="5">
    <w:name w:val="Plain Text"/>
    <w:basedOn w:val="1"/>
    <w:autoRedefine/>
    <w:qFormat/>
    <w:uiPriority w:val="99"/>
    <w:pPr>
      <w:spacing w:line="324" w:lineRule="auto"/>
    </w:pPr>
    <w:rPr>
      <w:rFonts w:ascii="宋体" w:hAnsi="Courier New"/>
    </w:rPr>
  </w:style>
  <w:style w:type="paragraph" w:styleId="6">
    <w:name w:val="footer"/>
    <w:basedOn w:val="1"/>
    <w:qFormat/>
    <w:uiPriority w:val="99"/>
    <w:pPr>
      <w:tabs>
        <w:tab w:val="center" w:pos="4153"/>
        <w:tab w:val="right" w:pos="8306"/>
      </w:tabs>
      <w:snapToGrid w:val="0"/>
      <w:jc w:val="left"/>
    </w:pPr>
    <w:rPr>
      <w:sz w:val="18"/>
    </w:rPr>
  </w:style>
  <w:style w:type="paragraph" w:styleId="7">
    <w:name w:val="header"/>
    <w:basedOn w:val="1"/>
    <w:qFormat/>
    <w:uiPriority w:val="0"/>
    <w:pPr>
      <w:pBdr>
        <w:bottom w:val="single" w:color="auto" w:sz="6" w:space="1"/>
      </w:pBdr>
      <w:tabs>
        <w:tab w:val="center" w:pos="4153"/>
        <w:tab w:val="right" w:pos="8306"/>
      </w:tabs>
      <w:snapToGrid w:val="0"/>
      <w:jc w:val="center"/>
    </w:pPr>
    <w:rPr>
      <w:sz w:val="18"/>
    </w:rPr>
  </w:style>
  <w:style w:type="paragraph" w:styleId="8">
    <w:name w:val="Normal (Web)"/>
    <w:basedOn w:val="1"/>
    <w:autoRedefine/>
    <w:qFormat/>
    <w:uiPriority w:val="0"/>
    <w:pPr>
      <w:spacing w:before="100" w:beforeAutospacing="1" w:after="100" w:afterAutospacing="1"/>
      <w:ind w:left="0" w:right="0"/>
      <w:jc w:val="left"/>
    </w:pPr>
    <w:rPr>
      <w:kern w:val="0"/>
      <w:sz w:val="24"/>
      <w:lang w:val="en-US" w:eastAsia="zh-CN" w:bidi="ar"/>
    </w:rPr>
  </w:style>
  <w:style w:type="character" w:styleId="11">
    <w:name w:val="Strong"/>
    <w:basedOn w:val="10"/>
    <w:autoRedefine/>
    <w:qFormat/>
    <w:uiPriority w:val="0"/>
    <w:rPr>
      <w:b/>
    </w:rPr>
  </w:style>
  <w:style w:type="character" w:styleId="12">
    <w:name w:val="Hyperlink"/>
    <w:basedOn w:val="10"/>
    <w:autoRedefine/>
    <w:qFormat/>
    <w:uiPriority w:val="0"/>
    <w:rPr>
      <w:color w:val="0000FF"/>
      <w:u w:val="single"/>
    </w:rPr>
  </w:style>
  <w:style w:type="paragraph" w:customStyle="1" w:styleId="13">
    <w:name w:val="Default"/>
    <w:qFormat/>
    <w:uiPriority w:val="0"/>
    <w:pPr>
      <w:widowControl w:val="0"/>
      <w:autoSpaceDE w:val="0"/>
      <w:autoSpaceDN w:val="0"/>
      <w:adjustRightInd w:val="0"/>
    </w:pPr>
    <w:rPr>
      <w:rFonts w:ascii="Times New Roman" w:hAnsi="Times New Roman" w:eastAsia="宋体" w:cs="Calibri"/>
      <w:color w:val="000000"/>
      <w:sz w:val="24"/>
      <w:szCs w:val="24"/>
      <w:lang w:val="en-US" w:eastAsia="zh-CN" w:bidi="ar-SA"/>
    </w:rPr>
  </w:style>
  <w:style w:type="paragraph" w:customStyle="1" w:styleId="14">
    <w:name w:val="null3"/>
    <w:autoRedefine/>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header" Target="header3.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2333</Words>
  <Characters>2343</Characters>
  <Lines>0</Lines>
  <Paragraphs>0</Paragraphs>
  <TotalTime>1</TotalTime>
  <ScaleCrop>false</ScaleCrop>
  <LinksUpToDate>false</LinksUpToDate>
  <CharactersWithSpaces>2406</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2024-03-04T02:33:00Z</dcterms:created>
  <dc:creator>Administrator</dc:creator>
  <cp:lastModifiedBy>孙笑梅</cp:lastModifiedBy>
  <dcterms:modified xsi:type="dcterms:W3CDTF">2026-05-28T07:52:55Z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566D5F4E939741978D36E7B42160864C_13</vt:lpwstr>
  </property>
  <property fmtid="{D5CDD505-2E9C-101B-9397-08002B2CF9AE}" pid="4" name="KSOTemplateDocerSaveRecord">
    <vt:lpwstr>eyJoZGlkIjoiMDk3ZTIyZDcxYTI5MTYzYzdiN2ExMjcwNjkwZTE3YjAiLCJ1c2VySWQiOiI1NTQxMjM5NjIifQ==</vt:lpwstr>
  </property>
</Properties>
</file>