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版本号：ZHZB-2026-10520260831001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青龙寺遗址基础设施提升项目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ZHZB-2026-105</w:t>
      </w:r>
      <w:r>
        <w:br/>
      </w:r>
      <w:r>
        <w:br/>
      </w:r>
      <w:r>
        <w:br/>
      </w:r>
    </w:p>
    <w:p>
      <w:pPr>
        <w:pStyle w:val="null3"/>
        <w:jc w:val="center"/>
        <w:outlineLvl w:val="2"/>
      </w:pPr>
      <w:r>
        <w:rPr>
          <w:rFonts w:ascii="仿宋_GB2312" w:hAnsi="仿宋_GB2312" w:cs="仿宋_GB2312" w:eastAsia="仿宋_GB2312"/>
          <w:sz w:val="28"/>
          <w:b/>
        </w:rPr>
        <w:t>西安市青龙寺遗址保管所</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西安市青龙寺遗址保管所</w:t>
      </w:r>
      <w:r>
        <w:rPr>
          <w:rFonts w:ascii="仿宋_GB2312" w:hAnsi="仿宋_GB2312" w:cs="仿宋_GB2312" w:eastAsia="仿宋_GB2312"/>
        </w:rPr>
        <w:t>委托，拟对</w:t>
      </w:r>
      <w:r>
        <w:rPr>
          <w:rFonts w:ascii="仿宋_GB2312" w:hAnsi="仿宋_GB2312" w:cs="仿宋_GB2312" w:eastAsia="仿宋_GB2312"/>
        </w:rPr>
        <w:t>青龙寺遗址基础设施提升项目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ZHZB-2026-105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青龙寺遗址基础设施提升项目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青龙寺遗址公园园区设施逐年老化，出现屋面变形、瓦件掉落，建筑漏水，建筑漆面大面积剥落，栏杆设施残损等问题，严重影响游客体验，威胁游客安全。考虑到仿古建筑木构特点，尽早维修能有效延长建筑寿命，阻止病害蔓延，大幅降低后期维修的成本，现对园区建筑设施进行系统性抢修维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采购包1（青龙寺遗址基础设施提升项目）：属于专门面向中小企业采购。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及拟派项目负责人资质和专业要求：（1）供应商应具备建设行政主管部门颁发合法有效的古建筑工程专业承包二级（含二级）以上资质证书和有效的安全生产许可证；（2）供应商拟派项目经理须具备合法有效的建筑工程专业二级（含二级）以上注册建造师执业资格和有效的安全生产考核合格证书（B证）且在本单位注册，未同时承担其他在建工程项目施工的管理工作，且无不良记录（提供承诺书）；（3）供应商基本信息及项目经理的基本信息在“陕西省住房和城乡建设厅(http://js.shaanxi.gov.cn/)”或“全国建筑市场监管公共服务平台(https://jzsc.mohurd.gov.cn/)”可查询；（4）供应商未被“信用中国”网站列入失信被执行人、重大税收违法失信主体名单，未被“中国政府采购网”网站列入政府采购严重违法失信行为记录名单；（5）单位负责人为同一人或者存在直接控股、管理关系的不同供应商，不得参加同一合同项下的采购活动；（6）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西安市青龙寺遗址保管所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西影路铁炉庙村北1号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029-89316144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唐昊、王臻、王阿磊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15686470916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采购包1：2,285,000.00元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计价格[2002]1980号文件及国家发展和改革委员会办公厅颁发的《关于降低部分建设项目收费标准规范收费行为等有关问题的通知》（发改价格[2011]534号）的规定标准收取。代理服务费缴纳账户信息： 银行户名：众合国际项目管理有限公司 开户银行：西安银行股份有限公司高新四路支行 账 号：6110 1158 0000 0858 34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西安市青龙寺遗址保管所</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西安市青龙寺遗址保管所</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西安市青龙寺遗址保管所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质量验收“合格”标准；（2）符合《安全生产管理条例》的标准；符合工程相关规范要求；（3）工程验收标准：双方约定，在符合采购文件及合同中关于本工程施工要求的前提下，以采购人现场验收合格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联系人：唐昊、王臻、王阿磊</w:t>
      </w:r>
    </w:p>
    <w:p>
      <w:pPr>
        <w:pStyle w:val="null3"/>
      </w:pPr>
      <w:r>
        <w:rPr>
          <w:rFonts w:ascii="仿宋_GB2312" w:hAnsi="仿宋_GB2312" w:cs="仿宋_GB2312" w:eastAsia="仿宋_GB2312"/>
        </w:rPr>
        <w:t>联系电话：15686470916</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2,285,000.00</w:t>
      </w:r>
    </w:p>
    <w:p>
      <w:pPr>
        <w:pStyle w:val="null3"/>
      </w:pPr>
      <w:r>
        <w:rPr>
          <w:rFonts w:ascii="仿宋_GB2312" w:hAnsi="仿宋_GB2312" w:cs="仿宋_GB2312" w:eastAsia="仿宋_GB2312"/>
        </w:rPr>
        <w:t>采购包最高限价（元）: 2,285,000.00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青龙寺遗址基础设施提升项目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2,285,000.00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标的名称：青龙寺遗址基础设施提升项目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ind w:firstLine="400"/>
            </w:pPr>
            <w:r>
              <w:rPr>
                <w:rFonts w:ascii="仿宋_GB2312" w:hAnsi="仿宋_GB2312" w:cs="仿宋_GB2312" w:eastAsia="仿宋_GB2312"/>
              </w:rPr>
              <w:t>青龙寺遗址公园园区设施逐年老化，出现屋面变形、瓦件掉落，建筑漏水，建筑漆面大面积剥落，栏杆设施残损等问题，严重影响游客体验，威胁游客安全。考虑到仿古建筑木构特点，尽早维修能有效延长建筑寿命，阻止病害蔓延，大幅降低后期维修的成本，现对园区建筑设施进行系统性抢修维护。</w:t>
            </w:r>
          </w:p>
          <w:p>
            <w:pPr>
              <w:pStyle w:val="null3"/>
            </w:pPr>
            <w:r>
              <w:rPr>
                <w:rFonts w:ascii="仿宋_GB2312" w:hAnsi="仿宋_GB2312" w:cs="仿宋_GB2312" w:eastAsia="仿宋_GB2312"/>
              </w:rPr>
              <w:t>二、工程内容和施工地点、计划工期、缺陷责任期、质量保修期</w:t>
            </w:r>
          </w:p>
          <w:p>
            <w:pPr>
              <w:pStyle w:val="null3"/>
              <w:ind w:firstLine="400"/>
            </w:pPr>
            <w:r>
              <w:rPr>
                <w:rFonts w:ascii="仿宋_GB2312" w:hAnsi="仿宋_GB2312" w:cs="仿宋_GB2312" w:eastAsia="仿宋_GB2312"/>
              </w:rPr>
              <w:t>（一）工程内容：本工程主要内容包括：对遗址公园北大门主楼外立面进行整修，修复残损构件，维修油漆饰面。对位于古原楼的遗址博物馆北侧一层屋檐瓦面进行抢修，修复破损瓦。对仿唐庭院景观设施老化、黄土裸露等问题进行简单整治，修整道路、修复墙面、增设护栏、补栽绿植等（具体以工程量清单为准）；此次维护维修建筑单体最大面积约</w:t>
            </w:r>
            <w:r>
              <w:rPr>
                <w:rFonts w:ascii="仿宋_GB2312" w:hAnsi="仿宋_GB2312" w:cs="仿宋_GB2312" w:eastAsia="仿宋_GB2312"/>
              </w:rPr>
              <w:t>378.1平米。</w:t>
            </w:r>
          </w:p>
          <w:p>
            <w:pPr>
              <w:pStyle w:val="null3"/>
              <w:ind w:firstLine="400"/>
            </w:pPr>
            <w:r>
              <w:rPr>
                <w:rFonts w:ascii="仿宋_GB2312" w:hAnsi="仿宋_GB2312" w:cs="仿宋_GB2312" w:eastAsia="仿宋_GB2312"/>
              </w:rPr>
              <w:t>（二）工程地点：青龙寺遗址公园。</w:t>
            </w:r>
          </w:p>
          <w:p>
            <w:pPr>
              <w:pStyle w:val="null3"/>
              <w:ind w:firstLine="400"/>
            </w:pPr>
            <w:r>
              <w:rPr>
                <w:rFonts w:ascii="仿宋_GB2312" w:hAnsi="仿宋_GB2312" w:cs="仿宋_GB2312" w:eastAsia="仿宋_GB2312"/>
              </w:rPr>
              <w:t>（三）计划工期：自进场开工之日起</w:t>
            </w:r>
            <w:r>
              <w:rPr>
                <w:rFonts w:ascii="仿宋_GB2312" w:hAnsi="仿宋_GB2312" w:cs="仿宋_GB2312" w:eastAsia="仿宋_GB2312"/>
              </w:rPr>
              <w:t>90日历天。</w:t>
            </w:r>
          </w:p>
          <w:p>
            <w:pPr>
              <w:pStyle w:val="null3"/>
              <w:ind w:firstLine="400"/>
            </w:pPr>
            <w:r>
              <w:rPr>
                <w:rFonts w:ascii="仿宋_GB2312" w:hAnsi="仿宋_GB2312" w:cs="仿宋_GB2312" w:eastAsia="仿宋_GB2312"/>
              </w:rPr>
              <w:t>（四）缺陷责任期：缺陷责任期为</w:t>
            </w:r>
            <w:r>
              <w:rPr>
                <w:rFonts w:ascii="仿宋_GB2312" w:hAnsi="仿宋_GB2312" w:cs="仿宋_GB2312" w:eastAsia="仿宋_GB2312"/>
              </w:rPr>
              <w:t>1年。</w:t>
            </w:r>
          </w:p>
          <w:p>
            <w:pPr>
              <w:pStyle w:val="null3"/>
              <w:ind w:firstLine="400"/>
            </w:pPr>
            <w:r>
              <w:rPr>
                <w:rFonts w:ascii="仿宋_GB2312" w:hAnsi="仿宋_GB2312" w:cs="仿宋_GB2312" w:eastAsia="仿宋_GB2312"/>
              </w:rPr>
              <w:t>（五）质量保修期：整体质保自工程验收合格之日起</w:t>
            </w:r>
            <w:r>
              <w:rPr>
                <w:rFonts w:ascii="仿宋_GB2312" w:hAnsi="仿宋_GB2312" w:cs="仿宋_GB2312" w:eastAsia="仿宋_GB2312"/>
              </w:rPr>
              <w:t>1年（其他相关部分工程的质量保修期根据《建设工程质量管理条例》及有关规定执行）。</w:t>
            </w:r>
          </w:p>
          <w:p>
            <w:pPr>
              <w:pStyle w:val="null3"/>
            </w:pPr>
            <w:r>
              <w:rPr>
                <w:rFonts w:ascii="仿宋_GB2312" w:hAnsi="仿宋_GB2312" w:cs="仿宋_GB2312" w:eastAsia="仿宋_GB2312"/>
              </w:rPr>
              <w:t>三、工程量清单及计价依据</w:t>
            </w:r>
          </w:p>
          <w:p>
            <w:pPr>
              <w:pStyle w:val="null3"/>
              <w:ind w:firstLine="400"/>
            </w:pPr>
            <w:r>
              <w:rPr>
                <w:rFonts w:ascii="仿宋_GB2312" w:hAnsi="仿宋_GB2312" w:cs="仿宋_GB2312" w:eastAsia="仿宋_GB2312"/>
              </w:rPr>
              <w:t>1.已批复的设计方案及施工图纸</w:t>
            </w:r>
          </w:p>
          <w:p>
            <w:pPr>
              <w:pStyle w:val="null3"/>
              <w:ind w:firstLine="400"/>
            </w:pPr>
            <w:r>
              <w:rPr>
                <w:rFonts w:ascii="仿宋_GB2312" w:hAnsi="仿宋_GB2312" w:cs="仿宋_GB2312" w:eastAsia="仿宋_GB2312"/>
              </w:rPr>
              <w:t>2.《陕西省建设工程工程量清单计价计算标准》（2025）、《陕西省建设工程费用规则》（2025）及其配套文件;</w:t>
            </w:r>
          </w:p>
          <w:p>
            <w:pPr>
              <w:pStyle w:val="null3"/>
              <w:ind w:firstLine="400"/>
            </w:pPr>
            <w:r>
              <w:rPr>
                <w:rFonts w:ascii="仿宋_GB2312" w:hAnsi="仿宋_GB2312" w:cs="仿宋_GB2312" w:eastAsia="仿宋_GB2312"/>
              </w:rPr>
              <w:t>3.人工费执行标准按综合一类工，综合二类工，综合三类工进行分类；</w:t>
            </w:r>
          </w:p>
          <w:p>
            <w:pPr>
              <w:pStyle w:val="null3"/>
              <w:ind w:firstLine="400"/>
            </w:pPr>
            <w:r>
              <w:rPr>
                <w:rFonts w:ascii="仿宋_GB2312" w:hAnsi="仿宋_GB2312" w:cs="仿宋_GB2312" w:eastAsia="仿宋_GB2312"/>
              </w:rPr>
              <w:t>4.劳保统筹按规定计入工程造价；</w:t>
            </w:r>
          </w:p>
          <w:p>
            <w:pPr>
              <w:pStyle w:val="null3"/>
              <w:ind w:firstLine="400"/>
            </w:pPr>
            <w:r>
              <w:rPr>
                <w:rFonts w:ascii="仿宋_GB2312" w:hAnsi="仿宋_GB2312" w:cs="仿宋_GB2312" w:eastAsia="仿宋_GB2312"/>
              </w:rPr>
              <w:t>5.材料价按当时当地市场价计入；</w:t>
            </w:r>
          </w:p>
          <w:p>
            <w:pPr>
              <w:pStyle w:val="null3"/>
              <w:ind w:firstLine="400"/>
            </w:pPr>
            <w:r>
              <w:rPr>
                <w:rFonts w:ascii="仿宋_GB2312" w:hAnsi="仿宋_GB2312" w:cs="仿宋_GB2312" w:eastAsia="仿宋_GB2312"/>
              </w:rPr>
              <w:t>6.正常施工组织设计及施工方法；</w:t>
            </w:r>
          </w:p>
          <w:p>
            <w:pPr>
              <w:pStyle w:val="null3"/>
              <w:ind w:firstLine="400"/>
            </w:pPr>
            <w:r>
              <w:rPr>
                <w:rFonts w:ascii="仿宋_GB2312" w:hAnsi="仿宋_GB2312" w:cs="仿宋_GB2312" w:eastAsia="仿宋_GB2312"/>
              </w:rPr>
              <w:t>7.与建设工程项目有关的标准、规范、技术资料等。</w:t>
            </w:r>
          </w:p>
          <w:p>
            <w:pPr>
              <w:pStyle w:val="null3"/>
            </w:pPr>
            <w:r>
              <w:rPr>
                <w:rFonts w:ascii="仿宋_GB2312" w:hAnsi="仿宋_GB2312" w:cs="仿宋_GB2312" w:eastAsia="仿宋_GB2312"/>
              </w:rPr>
              <w:t>四、施工内容要求</w:t>
            </w:r>
          </w:p>
          <w:p>
            <w:pPr>
              <w:pStyle w:val="null3"/>
              <w:ind w:firstLine="400"/>
            </w:pPr>
            <w:r>
              <w:rPr>
                <w:rFonts w:ascii="仿宋_GB2312" w:hAnsi="仿宋_GB2312" w:cs="仿宋_GB2312" w:eastAsia="仿宋_GB2312"/>
              </w:rPr>
              <w:t>1.在施工期间，中标供应商必须注意人员安全，加强安全措施，并对施工人员进行安全教育。施工人员必须持证上岗；</w:t>
            </w:r>
          </w:p>
          <w:p>
            <w:pPr>
              <w:pStyle w:val="null3"/>
              <w:ind w:firstLine="400"/>
            </w:pPr>
            <w:r>
              <w:rPr>
                <w:rFonts w:ascii="仿宋_GB2312" w:hAnsi="仿宋_GB2312" w:cs="仿宋_GB2312" w:eastAsia="仿宋_GB2312"/>
              </w:rPr>
              <w:t>2.供应商根据工程实际情况编制施工方案，制定工期进度安排表；</w:t>
            </w:r>
          </w:p>
          <w:p>
            <w:pPr>
              <w:pStyle w:val="null3"/>
              <w:ind w:firstLine="400"/>
            </w:pPr>
            <w:r>
              <w:rPr>
                <w:rFonts w:ascii="仿宋_GB2312" w:hAnsi="仿宋_GB2312" w:cs="仿宋_GB2312" w:eastAsia="仿宋_GB2312"/>
              </w:rPr>
              <w:t>3.施工过程中，严格遵守建设单位的各种管理规定及规章制度，做到文明施工。发生工伤及意外事故由施工单位负责；</w:t>
            </w:r>
          </w:p>
          <w:p>
            <w:pPr>
              <w:pStyle w:val="null3"/>
              <w:ind w:firstLine="400"/>
            </w:pPr>
            <w:r>
              <w:rPr>
                <w:rFonts w:ascii="仿宋_GB2312" w:hAnsi="仿宋_GB2312" w:cs="仿宋_GB2312" w:eastAsia="仿宋_GB2312"/>
              </w:rPr>
              <w:t>4.施工全过程必须服从文物安全管控，严格按照文物部门批复方案施工，承担文物安全责任，遵循最小干预原则，不得损伤文物本体及历史风貌，做好成品保护；</w:t>
            </w:r>
          </w:p>
          <w:p>
            <w:pPr>
              <w:pStyle w:val="null3"/>
              <w:ind w:firstLine="400"/>
            </w:pPr>
            <w:r>
              <w:rPr>
                <w:rFonts w:ascii="仿宋_GB2312" w:hAnsi="仿宋_GB2312" w:cs="仿宋_GB2312" w:eastAsia="仿宋_GB2312"/>
              </w:rPr>
              <w:t>5.工程实行包工包料，供应商必须具备相应的资质，不得转包、分包；</w:t>
            </w:r>
          </w:p>
          <w:p>
            <w:pPr>
              <w:pStyle w:val="null3"/>
              <w:ind w:firstLine="400"/>
            </w:pPr>
            <w:r>
              <w:rPr>
                <w:rFonts w:ascii="仿宋_GB2312" w:hAnsi="仿宋_GB2312" w:cs="仿宋_GB2312" w:eastAsia="仿宋_GB2312"/>
              </w:rPr>
              <w:t>6.施工过程中，严格遵守采购人的各种管理规定及规章制度，做到文明施工，避免工伤及意外事故发生；</w:t>
            </w:r>
          </w:p>
          <w:p>
            <w:pPr>
              <w:pStyle w:val="null3"/>
              <w:ind w:firstLine="400"/>
            </w:pPr>
            <w:r>
              <w:rPr>
                <w:rFonts w:ascii="仿宋_GB2312" w:hAnsi="仿宋_GB2312" w:cs="仿宋_GB2312" w:eastAsia="仿宋_GB2312"/>
              </w:rPr>
              <w:t>7.严格按照国家和省上有关规定施工、规范施工，确保工程合格，如有更改须事先征得有关方面的同意，并在采购人落实后实施，并出具书面说明；</w:t>
            </w:r>
          </w:p>
          <w:p>
            <w:pPr>
              <w:pStyle w:val="null3"/>
              <w:ind w:firstLine="400"/>
            </w:pPr>
            <w:r>
              <w:rPr>
                <w:rFonts w:ascii="仿宋_GB2312" w:hAnsi="仿宋_GB2312" w:cs="仿宋_GB2312" w:eastAsia="仿宋_GB2312"/>
              </w:rPr>
              <w:t>8.所有进场材料需携带合格证等质量证明文件。由采购人现场代表对所进场材料予以验收并签字确认；</w:t>
            </w:r>
          </w:p>
          <w:p>
            <w:pPr>
              <w:pStyle w:val="null3"/>
              <w:ind w:firstLine="400"/>
            </w:pPr>
            <w:r>
              <w:rPr>
                <w:rFonts w:ascii="仿宋_GB2312" w:hAnsi="仿宋_GB2312" w:cs="仿宋_GB2312" w:eastAsia="仿宋_GB2312"/>
              </w:rPr>
              <w:t>9.施工期间需采取必要措施确保现场正常运行；</w:t>
            </w:r>
          </w:p>
          <w:p>
            <w:pPr>
              <w:pStyle w:val="null3"/>
              <w:ind w:firstLine="400"/>
            </w:pPr>
            <w:r>
              <w:rPr>
                <w:rFonts w:ascii="仿宋_GB2312" w:hAnsi="仿宋_GB2312" w:cs="仿宋_GB2312" w:eastAsia="仿宋_GB2312"/>
              </w:rPr>
              <w:t>10.施工方未经采购人同意，不得擅自更换本工程在磋商响应文件中指定的项目施工负责人(项目经理)及施工队伍。否则将终止合同并按政府采购有关规定进行处理。</w:t>
            </w:r>
          </w:p>
          <w:p>
            <w:pPr>
              <w:pStyle w:val="null3"/>
            </w:pPr>
            <w:r>
              <w:rPr>
                <w:rFonts w:ascii="仿宋_GB2312" w:hAnsi="仿宋_GB2312" w:cs="仿宋_GB2312" w:eastAsia="仿宋_GB2312"/>
              </w:rPr>
              <w:t>五、结算方式</w:t>
            </w:r>
          </w:p>
          <w:p>
            <w:pPr>
              <w:pStyle w:val="null3"/>
              <w:ind w:firstLine="400"/>
            </w:pPr>
            <w:r>
              <w:rPr>
                <w:rFonts w:ascii="仿宋_GB2312" w:hAnsi="仿宋_GB2312" w:cs="仿宋_GB2312" w:eastAsia="仿宋_GB2312"/>
              </w:rPr>
              <w:t>款项结算：</w:t>
            </w:r>
          </w:p>
          <w:p>
            <w:pPr>
              <w:pStyle w:val="null3"/>
              <w:ind w:firstLine="400"/>
            </w:pPr>
            <w:r>
              <w:rPr>
                <w:rFonts w:ascii="仿宋_GB2312" w:hAnsi="仿宋_GB2312" w:cs="仿宋_GB2312" w:eastAsia="仿宋_GB2312"/>
              </w:rPr>
              <w:t>（</w:t>
            </w:r>
            <w:r>
              <w:rPr>
                <w:rFonts w:ascii="仿宋_GB2312" w:hAnsi="仿宋_GB2312" w:cs="仿宋_GB2312" w:eastAsia="仿宋_GB2312"/>
              </w:rPr>
              <w:t>1）合同签订后，10个工作日内，支付合同总价款40%作为预付款；</w:t>
            </w:r>
          </w:p>
          <w:p>
            <w:pPr>
              <w:pStyle w:val="null3"/>
              <w:ind w:firstLine="400"/>
            </w:pPr>
            <w:r>
              <w:rPr>
                <w:rFonts w:ascii="仿宋_GB2312" w:hAnsi="仿宋_GB2312" w:cs="仿宋_GB2312" w:eastAsia="仿宋_GB2312"/>
              </w:rPr>
              <w:t>（</w:t>
            </w:r>
            <w:r>
              <w:rPr>
                <w:rFonts w:ascii="仿宋_GB2312" w:hAnsi="仿宋_GB2312" w:cs="仿宋_GB2312" w:eastAsia="仿宋_GB2312"/>
              </w:rPr>
              <w:t>2）工程量完成70%后，10个工作日内，支付总工程款30%作为进度款；</w:t>
            </w:r>
          </w:p>
          <w:p>
            <w:pPr>
              <w:pStyle w:val="null3"/>
              <w:ind w:firstLine="400"/>
            </w:pPr>
            <w:r>
              <w:rPr>
                <w:rFonts w:ascii="仿宋_GB2312" w:hAnsi="仿宋_GB2312" w:cs="仿宋_GB2312" w:eastAsia="仿宋_GB2312"/>
              </w:rPr>
              <w:t>（</w:t>
            </w:r>
            <w:r>
              <w:rPr>
                <w:rFonts w:ascii="仿宋_GB2312" w:hAnsi="仿宋_GB2312" w:cs="仿宋_GB2312" w:eastAsia="仿宋_GB2312"/>
              </w:rPr>
              <w:t>3）工程竣工验收合格并经结算评审后，10个工作日内，支付到审定竣工结算总价的100%</w:t>
            </w:r>
            <w:r>
              <w:rPr>
                <w:rFonts w:ascii="仿宋_GB2312" w:hAnsi="仿宋_GB2312" w:cs="仿宋_GB2312" w:eastAsia="仿宋_GB2312"/>
              </w:rPr>
              <w:t>；</w:t>
            </w:r>
          </w:p>
          <w:p>
            <w:pPr>
              <w:pStyle w:val="null3"/>
              <w:ind w:firstLine="400"/>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）付款前乙方需向甲方开具财务部门认可的等额发票。</w:t>
            </w:r>
          </w:p>
          <w:p>
            <w:pPr>
              <w:pStyle w:val="null3"/>
            </w:pPr>
            <w:r>
              <w:rPr>
                <w:rFonts w:ascii="仿宋_GB2312" w:hAnsi="仿宋_GB2312" w:cs="仿宋_GB2312" w:eastAsia="仿宋_GB2312"/>
              </w:rPr>
              <w:t>六、其他</w:t>
            </w:r>
          </w:p>
          <w:p>
            <w:pPr>
              <w:pStyle w:val="null3"/>
              <w:ind w:firstLine="400"/>
            </w:pPr>
            <w:r>
              <w:rPr>
                <w:rFonts w:ascii="仿宋_GB2312" w:hAnsi="仿宋_GB2312" w:cs="仿宋_GB2312" w:eastAsia="仿宋_GB2312"/>
              </w:rPr>
              <w:t>1.质量验收标准或规范</w:t>
            </w:r>
          </w:p>
          <w:p>
            <w:pPr>
              <w:pStyle w:val="null3"/>
              <w:ind w:firstLine="400"/>
            </w:pPr>
            <w:r>
              <w:rPr>
                <w:rFonts w:ascii="仿宋_GB2312" w:hAnsi="仿宋_GB2312" w:cs="仿宋_GB2312" w:eastAsia="仿宋_GB2312"/>
              </w:rPr>
              <w:t>（</w:t>
            </w:r>
            <w:r>
              <w:rPr>
                <w:rFonts w:ascii="仿宋_GB2312" w:hAnsi="仿宋_GB2312" w:cs="仿宋_GB2312" w:eastAsia="仿宋_GB2312"/>
              </w:rPr>
              <w:t>1）符合国家及行业质量验收“合格”标准；</w:t>
            </w:r>
          </w:p>
          <w:p>
            <w:pPr>
              <w:pStyle w:val="null3"/>
              <w:ind w:firstLine="400"/>
            </w:pPr>
            <w:r>
              <w:rPr>
                <w:rFonts w:ascii="仿宋_GB2312" w:hAnsi="仿宋_GB2312" w:cs="仿宋_GB2312" w:eastAsia="仿宋_GB2312"/>
              </w:rPr>
              <w:t>（</w:t>
            </w:r>
            <w:r>
              <w:rPr>
                <w:rFonts w:ascii="仿宋_GB2312" w:hAnsi="仿宋_GB2312" w:cs="仿宋_GB2312" w:eastAsia="仿宋_GB2312"/>
              </w:rPr>
              <w:t>2）符合《安全生产管理条例》的标准；符合工程相关规范要求；</w:t>
            </w:r>
          </w:p>
          <w:p>
            <w:pPr>
              <w:pStyle w:val="null3"/>
              <w:ind w:firstLine="400"/>
            </w:pPr>
            <w:r>
              <w:rPr>
                <w:rFonts w:ascii="仿宋_GB2312" w:hAnsi="仿宋_GB2312" w:cs="仿宋_GB2312" w:eastAsia="仿宋_GB2312"/>
              </w:rPr>
              <w:t>（</w:t>
            </w:r>
            <w:r>
              <w:rPr>
                <w:rFonts w:ascii="仿宋_GB2312" w:hAnsi="仿宋_GB2312" w:cs="仿宋_GB2312" w:eastAsia="仿宋_GB2312"/>
              </w:rPr>
              <w:t>3）工程验收标准：双方约定，在符合采购文件及合同中关于本工程施工要求的前提下，以采购人现场验收合格为准。</w:t>
            </w:r>
          </w:p>
          <w:p>
            <w:pPr>
              <w:pStyle w:val="null3"/>
              <w:ind w:firstLine="400"/>
            </w:pPr>
            <w:r>
              <w:rPr>
                <w:rFonts w:ascii="仿宋_GB2312" w:hAnsi="仿宋_GB2312" w:cs="仿宋_GB2312" w:eastAsia="仿宋_GB2312"/>
              </w:rPr>
              <w:t>2.违约责任</w:t>
            </w:r>
          </w:p>
          <w:p>
            <w:pPr>
              <w:pStyle w:val="null3"/>
              <w:ind w:firstLine="400"/>
            </w:pPr>
            <w:r>
              <w:rPr>
                <w:rFonts w:ascii="仿宋_GB2312" w:hAnsi="仿宋_GB2312" w:cs="仿宋_GB2312" w:eastAsia="仿宋_GB2312"/>
              </w:rPr>
              <w:t>详见建设工程施工合同，不超出《中华人民共和国民法典》中对于违约的责任上限。</w:t>
            </w:r>
          </w:p>
          <w:p>
            <w:pPr>
              <w:pStyle w:val="null3"/>
              <w:ind w:firstLine="400"/>
            </w:pPr>
            <w:r>
              <w:rPr>
                <w:rFonts w:ascii="仿宋_GB2312" w:hAnsi="仿宋_GB2312" w:cs="仿宋_GB2312" w:eastAsia="仿宋_GB2312"/>
              </w:rPr>
              <w:t>3.本项目所属行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质量验收“合格”标准；（2）符合《安全生产管理条例》的标准；符合工程相关规范要求；（3）工程验收标准：双方约定，在符合采购文件及合同中关于本工程施工要求的前提下，以采购人现场验收合格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莲湖区丰登南路3号1幢306室（丰庆公园北门往西200米PM中心三楼）。二、供应商的响应报价包括施⼯设备费、⼈⼯费、管理费、材料与设备费、安装费、维护费、保险费、采购代理服务费、税⾦、利润、⻛险、责任等所有费⽤，并符合建设⼯程计价规则。三、磋商有效期1.出现特殊情况需要延长磋商有效期的，采购代理机构或采购人可于磋商有效期满之前，以书面形式通知所有供应商延长磋商有效期。供应商应予书面答复，同意延长的，应相应延长其磋商保证金（若有）有效期，但不得要求或被允许修改其响应文件；供应商拒绝延长的，其响应文件失效，递交磋商保证金的，供应商有权收回其磋商保证金（若有）。2.在磋商有效期内，供应商撤销响应文件的，应承担磋商文件和法律规定的责任。3.成交供应商的磋商有效期自动延长至合同终止为止。四、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签名是指手写签名或者加盖名章（含电子签名或电子印章），盖章是指加盖单位印章。八、关于采购文件一次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九、采购人应按照磋商文件和成交供应商响应文件，在成交通知书发出之日起25日内与成交供应商签订采购合同，并进行备案和公示。十、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3）供应商提供的投标（响应）函；（4）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提供2024或2025全年度经审计的财务会计报告或其提交响应文件截止时间前3个月内银行出具的资信证明。（以上形式的资料提供任何一种即可）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2）供应商是事业单位法人的，应提供2024或2025全年度经审计的财务报告，至少包括《资产负债表》《收入支出表或者收入费用表》《财政补助收入支出表》及其附注，或者提交响应文件截止时间前3个月内其基本账户开户银行出具的资信证明（附基本存款账户信息）；（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供应商及拟派项目负责人资质和专业要求</w:t>
            </w:r>
          </w:p>
        </w:tc>
        <w:tc>
          <w:tcPr>
            <w:tcW w:type="dxa" w:w="3322"/>
          </w:tcPr>
          <w:p>
            <w:pPr>
              <w:pStyle w:val="null3"/>
            </w:pPr>
            <w:r>
              <w:rPr>
                <w:rFonts w:ascii="仿宋_GB2312" w:hAnsi="仿宋_GB2312" w:cs="仿宋_GB2312" w:eastAsia="仿宋_GB2312"/>
              </w:rPr>
              <w:t>（1）供应商应具备建设行政主管部门颁发合法有效的古建筑工程专业承包二级（含二级）以上资质证书和有效的安全生产许可证；（2）供应商拟派项目经理须具备合法有效的建筑工程专业二级（含二级）以上注册建造师执业资格和有效的安全生产考核合格证书（B证）且在本单位注册，未同时承担其他在建工程项目施工的管理工作，且无不良记录（提供承诺书）；（3）供应商基本信息及项目经理的基本信息在“陕西省住房和城乡建设厅(http://js.shaanxi.gov.cn/)”或“全国建筑市场监管公共服务平台(https://jzsc.mohurd.gov.cn/)”可查询；（4）供应商未被“信用中国”网站列入失信被执行人、重大税收违法失信主体名单，未被“中国政府采购网”网站列入政府采购严重违法失信行为记录名单；（5）单位负责人为同一人或者存在直接控股、管理关系的不同供应商，不得参加同一合同项下的采购活动；（6）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响应文件上法定代表人（单位负责人）或其委托代理人的签名、盖章齐全符合磋商文件的要求。</w:t>
            </w:r>
          </w:p>
        </w:tc>
        <w:tc>
          <w:tcPr>
            <w:tcW w:type="dxa" w:w="1661"/>
          </w:tcPr>
          <w:p>
            <w:pPr>
              <w:pStyle w:val="null3"/>
            </w:pPr>
            <w:r>
              <w:rPr>
                <w:rFonts w:ascii="仿宋_GB2312" w:hAnsi="仿宋_GB2312" w:cs="仿宋_GB2312" w:eastAsia="仿宋_GB2312"/>
              </w:rPr>
              <w:t>响应文件封面 已标价工程量清单 供应商同类项目业绩一览表.docx 资格证明部分.docx 中小企业声明函 残疾人福利性单位声明函 报价函 标的清单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件中工程量清单给出的范围和数量(1.已标价⼯程量清单的扉⻚(仅指投标总价扉⻚)应由注册在本单位的造价⼈员签字并盖执业印章；2.已标价⼯程量清单的扉⻚(仅指投标总价扉⻚)，由受托第三⽅咨询公司编制的，扉⻚由受托咨询公司的注册造价师签字并盖执业印章，同时提供与受托第三⽅咨询公司委托咨询合同)。</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施工目标：成本目标、工期目标、质量目标；②施工准备：材料准备、机械准备、机具准备；③施工平面布置与安排：现场围挡及出入口管理、消防及道路安排；④施工过程中文物保护方案； 二、评审标准 1、完整性：方案必须全面，对评审内容中的各项要求有详细描述； 2、可实施性：切合本项目实际情况，提出步骤清晰、合理的方案； 3、针对性：方案能够紧扣项目实际情况，内容科学合理。 三、赋分标准（满分24分） ①施工目标：此评审项满分6分，每完全满足一个评审标准得2分，针对每条评审标准，如存在不详尽或不合理的方面，得1分；针对每条评审标准，方案内容与本项目无关或未提供的，得0分。 ②施工准备：此评审项满分6分，每完全满足一个评审标准得2分，针对每条评审标准，如存在不详尽或不合理的方面，得1分；针对每条评审标准，方案内容与本项目无关或未提供的，得0分。 ③施工平面布置与安排：此评审项满分6分，每完全满足一个评审标准得2分，针对每条评审标准，如存在不详尽或不合理的方面，得1分；针对每条评审标准，方案内容与本项目无关或未提供的，得0分。④施工过程中文物保护方案：此评审项满分6分，每完全满足一个评审标准得2分，针对每条评审标准，如存在不详尽或不合理的方面，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 供应商针对本项目编制完善的施工质量保证措施，内容包含：①质量目标及施工质量控制措施；②确保质量的技术组织措施；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①质量目标及施工质量控制措施：此评审项满分3分，每完全满足一个评审标准得1分，针对每条评审标准，如存在不详尽或不合理的方面，得0.5分；针对每条评审标准，方案内容与本项目无关或未提供的，得0分。 ②确保质量的技术组织措施：此评审项满分3分，每完全满足一个评审标准得1分，针对每条评审标准，如存在不详尽或不合理的方面，得0.5分；针对每条评审标准，方案内容与本项目无关或未提供的，得0分。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一、评审内容 供应商针对本项目编制完整的施工安全保证措施，内容包含：①安全生产管理制度；②安全施工措施。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①安全生产管理制度：此评审项满分3分，每完全满足一个评审标准得1分，针对每条评审标准，如存在不详尽或不合理的方面，得0.5分；针对每条评审标准，方案内容与本项目无关或未提供的，得0分。 ②安全施工措施：此评审项满分3分，每完全满足一个评审标准得1分，针对每条评审标准，如存在不详尽或不合理的方面，得0.5分；针对每条评审标准，方案内容与本项目无关或未提供的，得0分。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一、评审内容 供应商针对本项目编制完善的施工进度计划及工期保证措施，内容包含：①施工进度计划横道图；②进度计划及工期保证措施。 二、评审标准 1、完整性：方案必须全面，对评审内容中的各项要求有详细描述； 2、可实施性：切合本项目实际情况，提出步骤清晰、合理的方案； 3、针对性：方案能够紧扣项目实际情况，内容科学合理。 三、赋分标准（满分6分） ①施工进度计划横道图：此评审项满分3分，每完全满足一个评审标准得1分，针对每条评审标准，如存在不详尽或不合理的方面，得0.5分；针对每条评审标准，方案内容与本项目无关或未提供的，得0分。 ②进度计划及工期保证措施：此评审项满分3分，每完全满足一个评审标准得1分，针对每条评审标准，如存在不详尽或不合理的方面，得0.5分；针对每条评审标准，方案内容与本项目无关或未提供的，得0分。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 供应商针对本项目编制完整的文明施工及环境保护措施，内容包含：①文明施工管理目标及现场管理措施：材料管理、防扰民措施；②环境保护措施。 二、评审标准 1、完整性：方案必须全面，对评审内容中的各项要求有详细描述； 2、可实施性：切合本项目实际情况，提出步骤清晰、合理的方案； 3、针对性：方案能够紧扣项目实际情况，内容科学合理。 三、赋分标准（满分6分） ①文明施工管理目标及现场管理措施：此评审项满分3分，每完全满足一个评审标准得1分，针对每条评审标准，如存在不详尽或不合理的方面，得0.5分；针对每条评审标准，方案内容与本项目无关或未提供的，得0分。 ②环境保护措施：此评审项满分3分，每完全满足一个评审标准得1分，针对每条评审标准，如存在不详尽或不合理的方面，得0.5分；针对每条评审标准，方案内容与本项目无关或未提供的，得0分。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供应商针对本项目编制科学的项目管理机构及劳动力安排计划，内容包含：①管理人员配备及岗位职责；②劳动力安排计划。 二、评审标准 1、完整性：方案必须全面，对评审内容中的各项要求有详细描述； 2、可实施性：切合本项目实际情况，提出步骤清晰、合理的方案； 3、针对性：方案能够紧扣项目实际情况，内容科学合理。 三、赋分标准（满分6分） ①管理人员配备及岗位职责：此评审项满分3分，每完全满足一个评审标准得1分，针对每条评审标准，如存在不详尽或不合理的方面，得0.5分；针对每条评审标准，方案内容与本项目无关或未提供的，得0分。 ②劳动力安排计划：此评审项满分3分，每完全满足一个评审标准得1分，针对每条评审标准，如存在不详尽或不合理的方面，得0.5分；针对每条评审标准，方案内容与本项目无关或未提供的，得0分。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结合本项目的实际，供应商应依据国家相关规定提出工程验收维护方案，内容包含：①验收方案；②保修责任及保修承诺。 二、评审标准 1、完整性：内容必须全面，对评审内容中的各项要求有详细描述； 2、落实性：切合项目具体情况，提出责任明确、要求具体的方案； 3、针对性：内容能够紧扣项目实际情况，内容科学合理。 三、赋分标准（满分6分） ①验收方案：此评审项满分3分，每完全满足一个评审标准得1分，针对每条评审标准，如存在不详尽或不合理的方面，得0.5分；针对每条评审标准，方案内容与本项目无关或未提供的，得0分。 ②保修责任及保修承诺：此评审项满分3分，每完全满足一个评审标准得1分，针对每条评审标准，如存在不详尽或不合理的方面，得0.5分；针对每条评审标准，方案内容与本项目无关或未提供的，得0分。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具有2021年8月1日至今的同类项目业绩(以合同签订日期为准)，业绩以合同复印件为依据。每提供1个业绩得2分，最高得10分。未提供计0分。 注：同类项目指文物保护范围、遗址公园范围内房屋建筑维修修缮项目。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供应商同类项目业绩一览表.docx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详见附件：供应商同类项目业绩一览表.docx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