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2CED6E"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  <w:r>
        <w:rPr>
          <w:rFonts w:hint="eastAsia"/>
          <w:b/>
          <w:bCs/>
          <w:sz w:val="44"/>
          <w:szCs w:val="52"/>
          <w:lang w:val="en-US" w:eastAsia="zh-CN"/>
        </w:rPr>
        <w:t>采购需求</w:t>
      </w:r>
    </w:p>
    <w:p w14:paraId="7CE2E3C2">
      <w:pPr>
        <w:numPr>
          <w:ilvl w:val="0"/>
          <w:numId w:val="0"/>
        </w:numPr>
        <w:adjustRightInd w:val="0"/>
        <w:snapToGrid w:val="0"/>
        <w:spacing w:line="576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一、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zh-CN"/>
        </w:rPr>
        <w:t>项目概况</w:t>
      </w:r>
    </w:p>
    <w:p w14:paraId="2DF3E37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本工程为高新区第二十一小学厨房专项改造，主要施工内容包括：原有设施设备拆除、原有空调拆除与重新安装、通风管道及通风口下调安装、室外沉淀池布管安装、顶面 600×600 铝扣板吊顶安装、墙面与地面防滑瓷砖铺贴、防水处理、管线整改及设备点位预留等，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所有施工内容以工程量清单及采购人要求为准。</w:t>
      </w:r>
    </w:p>
    <w:p w14:paraId="03AC0914">
      <w:pPr>
        <w:numPr>
          <w:ilvl w:val="0"/>
          <w:numId w:val="0"/>
        </w:numPr>
        <w:adjustRightInd w:val="0"/>
        <w:snapToGrid w:val="0"/>
        <w:spacing w:line="576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二、总体施工要求</w:t>
      </w:r>
    </w:p>
    <w:p w14:paraId="7F56222F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（一）供应商必须严格遵循国家建筑装饰装修工程规范，选用符合环保、防潮、防火、易清洁要求的合格材料，三证齐全，经采购人查验合格后方可使用。</w:t>
      </w:r>
    </w:p>
    <w:p w14:paraId="5A384440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（二）施工前完成现场交底、管线排查与安全防护，顶棚内电器、给排水、消防、报警等管线须先行安装到位并验收合格。</w:t>
      </w:r>
    </w:p>
    <w:p w14:paraId="683B4415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（三） 施工全过程服从采购人管理，文明施工、安全施工，减少对校园正常秩序的影响，做到垃圾日产日清。</w:t>
      </w:r>
    </w:p>
    <w:p w14:paraId="1FDCE69B">
      <w:pPr>
        <w:numPr>
          <w:ilvl w:val="0"/>
          <w:numId w:val="0"/>
        </w:numPr>
        <w:adjustRightInd w:val="0"/>
        <w:snapToGrid w:val="0"/>
        <w:spacing w:line="576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三、铝扣板吊顶施工要求</w:t>
      </w:r>
    </w:p>
    <w:p w14:paraId="3FA0EC45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（一）采用 UC50 厚壁重型轻钢龙骨、Φ8 吊杆、∠30×4 角钢及 Φ10 膨胀螺栓，龙骨壁厚不小于 1.2mm，吊点布置均匀、安装牢固。</w:t>
      </w:r>
    </w:p>
    <w:p w14:paraId="4590445F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（二）标高线位置准确、水平偏差不超过 ±5mm，主龙骨起拱高度不小于房间短向跨度的 1／200，吊杆距主龙骨端部不大于 600mm。</w:t>
      </w:r>
    </w:p>
    <w:p w14:paraId="05B84878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（三）龙骨安装调平后，采用 600×600 铝扣板安装，板面平整、接缝顺直，灯具、风口、检修口等位置预留规范、收口严密。</w:t>
      </w:r>
    </w:p>
    <w:p w14:paraId="2AAD75AC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（四） 吊顶骨架牢固可靠，铝扣板无变形、色差、破损，符合厨房防潮、防油污、易清洁要求。</w:t>
      </w:r>
    </w:p>
    <w:p w14:paraId="57A8D217">
      <w:pPr>
        <w:numPr>
          <w:ilvl w:val="0"/>
          <w:numId w:val="0"/>
        </w:numPr>
        <w:adjustRightInd w:val="0"/>
        <w:snapToGrid w:val="0"/>
        <w:spacing w:line="576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四、墙面瓷砖施工要求</w:t>
      </w:r>
    </w:p>
    <w:p w14:paraId="5AC653FF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（一）基层清理干净、修补平整，厨房区域防水层高度不低于楼地面 300mm，闭水试验合格后方可贴砖。</w:t>
      </w:r>
    </w:p>
    <w:p w14:paraId="25A7A9E2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（二）瓷砖选用防滑、耐污产品，铺贴前浸水 2 小时以上，采用 1:1 水泥砂浆粘贴，牢固无空鼓。</w:t>
      </w:r>
    </w:p>
    <w:p w14:paraId="37886BC7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（三）墙面排版美观，同一墙面仅允许一排非整砖并置于隐蔽位置，阴阳角方正、接缝均匀顺直。</w:t>
      </w:r>
    </w:p>
    <w:p w14:paraId="6B9A1BFA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（四）完工后表面洁净，做好成品保护，严禁碰撞、凿洞与烧伤。</w:t>
      </w:r>
    </w:p>
    <w:p w14:paraId="6604F3BF">
      <w:pPr>
        <w:numPr>
          <w:ilvl w:val="0"/>
          <w:numId w:val="0"/>
        </w:numPr>
        <w:adjustRightInd w:val="0"/>
        <w:snapToGrid w:val="0"/>
        <w:spacing w:line="576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五、地面瓷砖施工要求</w:t>
      </w:r>
    </w:p>
    <w:p w14:paraId="2520A8AA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（一）基层清理凿毛，用 1:3 干硬性水泥砂浆找平，按使用需求做好排水坡度。</w:t>
      </w:r>
    </w:p>
    <w:p w14:paraId="18077AE1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（二）地面砖铺贴密实、无空鼓，接缝顺直、宽度均匀，养护时间不少于 7 天。</w:t>
      </w:r>
    </w:p>
    <w:p w14:paraId="08AF383E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（三）铺贴完成后及时勾缝清洁，3—5 天内禁止上人踩踏，确保施工质量。</w:t>
      </w:r>
    </w:p>
    <w:p w14:paraId="74332752">
      <w:pPr>
        <w:numPr>
          <w:ilvl w:val="0"/>
          <w:numId w:val="0"/>
        </w:numPr>
        <w:adjustRightInd w:val="0"/>
        <w:snapToGrid w:val="0"/>
        <w:spacing w:line="576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六、质量与验收</w:t>
      </w:r>
    </w:p>
    <w:p w14:paraId="1BD79C19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（一）工程实行全过程质量管控，隐蔽工程须经采购人验收合格后方可进入下道工序。</w:t>
      </w:r>
    </w:p>
    <w:p w14:paraId="02DC8AFE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（二）吊顶、墙地面铺贴等项目，严格按照《建筑装饰装修工程质量验收规范》（GB50210－2023）执行。</w:t>
      </w:r>
    </w:p>
    <w:p w14:paraId="6BF760C6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（三）工程完工后，供应商全面清理现场，经采购人检查验收合格，方可交付使用。</w:t>
      </w:r>
    </w:p>
    <w:p w14:paraId="373C0137">
      <w:pPr>
        <w:numPr>
          <w:ilvl w:val="0"/>
          <w:numId w:val="0"/>
        </w:numPr>
        <w:adjustRightInd w:val="0"/>
        <w:snapToGrid w:val="0"/>
        <w:spacing w:line="576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七、安全文明施工</w:t>
      </w:r>
    </w:p>
    <w:p w14:paraId="7AD0E2F1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（一）供应商落实安全责任，规范用电、动火操作，做好校园安全防护。</w:t>
      </w:r>
    </w:p>
    <w:p w14:paraId="46DE2750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（二） 施工期间保持场地整洁，降低噪音与粉尘污染，保障师生安全。</w:t>
      </w:r>
    </w:p>
    <w:p w14:paraId="4625908F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（三）已完工部位做好保护，杜绝损坏与污染，确保工程按期保质完成。</w:t>
      </w:r>
    </w:p>
    <w:p w14:paraId="7C5FC9BF">
      <w:pPr>
        <w:numPr>
          <w:ilvl w:val="0"/>
          <w:numId w:val="0"/>
        </w:numPr>
        <w:adjustRightInd w:val="0"/>
        <w:snapToGrid w:val="0"/>
        <w:spacing w:line="576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八、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商务要求</w:t>
      </w:r>
    </w:p>
    <w:p w14:paraId="3990F6E1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（一）工期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  <w:t>：自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合同签订之日起28个日历天内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  <w:t>完成。</w:t>
      </w:r>
    </w:p>
    <w:p w14:paraId="30A20B0D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施工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  <w:t>地点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：陕西省西安市长安区兴隆街道纬二十八路枫丹白露苑西南侧70米，具体已采购人要求为准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zh-CN" w:eastAsia="zh-CN"/>
        </w:rPr>
        <w:t>。</w:t>
      </w:r>
    </w:p>
    <w:p w14:paraId="0A0933FB">
      <w:pPr>
        <w:pStyle w:val="16"/>
        <w:spacing w:line="360" w:lineRule="auto"/>
        <w:ind w:firstLine="560"/>
        <w:jc w:val="left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九、质量标准：符合国家现行有关施工质量验收规范“合格”要求。</w:t>
      </w:r>
    </w:p>
    <w:p w14:paraId="035CFE48">
      <w:pPr>
        <w:pStyle w:val="16"/>
        <w:spacing w:line="360" w:lineRule="auto"/>
        <w:ind w:firstLine="560"/>
        <w:jc w:val="left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十、质保期：2年</w:t>
      </w:r>
    </w:p>
    <w:p w14:paraId="28027B94">
      <w:pPr>
        <w:ind w:firstLine="643" w:firstLineChars="200"/>
        <w:jc w:val="both"/>
        <w:rPr>
          <w:rFonts w:hint="eastAsia"/>
          <w:b/>
          <w:bCs/>
          <w:sz w:val="44"/>
          <w:szCs w:val="5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十一、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工程量清单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（工程量清单另附）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31136D"/>
    <w:multiLevelType w:val="multilevel"/>
    <w:tmpl w:val="8E31136D"/>
    <w:lvl w:ilvl="0" w:tentative="0">
      <w:start w:val="1"/>
      <w:numFmt w:val="chineseCounting"/>
      <w:pStyle w:val="3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2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E4111C"/>
    <w:rsid w:val="2C9F5CB9"/>
    <w:rsid w:val="2D3576C1"/>
    <w:rsid w:val="3E1E037D"/>
    <w:rsid w:val="656C55A9"/>
    <w:rsid w:val="70113CA5"/>
    <w:rsid w:val="75E4111C"/>
    <w:rsid w:val="7A71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4"/>
    <w:qFormat/>
    <w:uiPriority w:val="0"/>
    <w:pPr>
      <w:keepNext/>
      <w:numPr>
        <w:ilvl w:val="0"/>
        <w:numId w:val="1"/>
      </w:numPr>
      <w:spacing w:line="700" w:lineRule="exact"/>
      <w:jc w:val="center"/>
      <w:outlineLvl w:val="0"/>
    </w:pPr>
    <w:rPr>
      <w:rFonts w:ascii="黑体" w:hAnsi="黑体" w:eastAsia="宋体"/>
      <w:b/>
      <w:sz w:val="44"/>
    </w:rPr>
  </w:style>
  <w:style w:type="paragraph" w:styleId="2">
    <w:name w:val="heading 2"/>
    <w:basedOn w:val="1"/>
    <w:next w:val="1"/>
    <w:link w:val="15"/>
    <w:semiHidden/>
    <w:unhideWhenUsed/>
    <w:qFormat/>
    <w:uiPriority w:val="0"/>
    <w:pPr>
      <w:keepNext/>
      <w:numPr>
        <w:ilvl w:val="1"/>
        <w:numId w:val="1"/>
      </w:numPr>
      <w:spacing w:line="700" w:lineRule="exact"/>
      <w:outlineLvl w:val="1"/>
    </w:pPr>
    <w:rPr>
      <w:rFonts w:ascii="黑体" w:hAnsi="黑体" w:eastAsia="宋体"/>
      <w:b/>
      <w:sz w:val="44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napToGrid w:val="0"/>
      <w:spacing w:before="260" w:beforeLines="0" w:beforeAutospacing="0" w:after="260" w:afterLines="0" w:afterAutospacing="0" w:line="300" w:lineRule="auto"/>
      <w:ind w:firstLine="403"/>
      <w:outlineLvl w:val="2"/>
    </w:pPr>
    <w:rPr>
      <w:rFonts w:eastAsia="仿宋_GB2312" w:asciiTheme="minorAscii" w:hAnsiTheme="minorAscii"/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qFormat/>
    <w:uiPriority w:val="0"/>
    <w:pPr>
      <w:jc w:val="left"/>
    </w:pPr>
  </w:style>
  <w:style w:type="character" w:customStyle="1" w:styleId="14">
    <w:name w:val="标题 1 Char"/>
    <w:link w:val="3"/>
    <w:qFormat/>
    <w:uiPriority w:val="0"/>
    <w:rPr>
      <w:rFonts w:ascii="黑体" w:hAnsi="黑体" w:eastAsia="宋体"/>
      <w:b/>
      <w:sz w:val="44"/>
    </w:rPr>
  </w:style>
  <w:style w:type="character" w:customStyle="1" w:styleId="15">
    <w:name w:val="标题 2 Char"/>
    <w:link w:val="2"/>
    <w:qFormat/>
    <w:uiPriority w:val="0"/>
    <w:rPr>
      <w:rFonts w:ascii="黑体" w:hAnsi="黑体" w:eastAsia="宋体"/>
      <w:b/>
      <w:sz w:val="44"/>
    </w:rPr>
  </w:style>
  <w:style w:type="paragraph" w:styleId="16">
    <w:name w:val="List Paragraph"/>
    <w:basedOn w:val="1"/>
    <w:qFormat/>
    <w:uiPriority w:val="99"/>
    <w:pPr>
      <w:ind w:left="100" w:firstLine="4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1193</Words>
  <Characters>1255</Characters>
  <Lines>0</Lines>
  <Paragraphs>0</Paragraphs>
  <TotalTime>0</TotalTime>
  <ScaleCrop>false</ScaleCrop>
  <LinksUpToDate>false</LinksUpToDate>
  <CharactersWithSpaces>1282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2026-07-08T08:56:00Z</dcterms:created>
  <dc:creator>陕西华采招标有限公司</dc:creator>
  <cp:lastModifiedBy>陕西华采招标有限公司</cp:lastModifiedBy>
  <dcterms:modified xsi:type="dcterms:W3CDTF">2026-07-08T09:43:31Z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EFAA8A6C86C4462985AFDFC407941C29_11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