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DFE27">
      <w:pPr>
        <w:jc w:val="center"/>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分项报价表</w:t>
      </w:r>
    </w:p>
    <w:tbl>
      <w:tblPr>
        <w:tblStyle w:val="3"/>
        <w:tblW w:w="8951"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1405"/>
        <w:gridCol w:w="2060"/>
        <w:gridCol w:w="2477"/>
        <w:gridCol w:w="3009"/>
      </w:tblGrid>
      <w:tr w14:paraId="7DFF8D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5" w:hRule="atLeast"/>
          <w:jc w:val="center"/>
        </w:trPr>
        <w:tc>
          <w:tcPr>
            <w:tcW w:w="1405" w:type="dxa"/>
            <w:noWrap w:val="0"/>
            <w:vAlign w:val="center"/>
          </w:tcPr>
          <w:p w14:paraId="4F8F07A3">
            <w:pPr>
              <w:spacing w:after="12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p>
        </w:tc>
        <w:tc>
          <w:tcPr>
            <w:tcW w:w="7546" w:type="dxa"/>
            <w:gridSpan w:val="3"/>
            <w:noWrap w:val="0"/>
            <w:vAlign w:val="center"/>
          </w:tcPr>
          <w:p w14:paraId="61EA710A">
            <w:pPr>
              <w:spacing w:after="120" w:line="460" w:lineRule="exact"/>
              <w:jc w:val="center"/>
              <w:rPr>
                <w:rFonts w:hint="eastAsia" w:ascii="宋体" w:hAnsi="宋体" w:eastAsia="宋体" w:cs="宋体"/>
                <w:bCs/>
                <w:color w:val="auto"/>
                <w:sz w:val="24"/>
                <w:highlight w:val="none"/>
              </w:rPr>
            </w:pPr>
          </w:p>
        </w:tc>
      </w:tr>
      <w:tr w14:paraId="50AF0F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5" w:hRule="atLeast"/>
          <w:jc w:val="center"/>
        </w:trPr>
        <w:tc>
          <w:tcPr>
            <w:tcW w:w="1405" w:type="dxa"/>
            <w:noWrap w:val="0"/>
            <w:vAlign w:val="center"/>
          </w:tcPr>
          <w:p w14:paraId="25A4692C">
            <w:pPr>
              <w:spacing w:after="120"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项目编号</w:t>
            </w:r>
          </w:p>
        </w:tc>
        <w:tc>
          <w:tcPr>
            <w:tcW w:w="7546" w:type="dxa"/>
            <w:gridSpan w:val="3"/>
            <w:noWrap w:val="0"/>
            <w:vAlign w:val="center"/>
          </w:tcPr>
          <w:p w14:paraId="7F09C3AF">
            <w:pPr>
              <w:spacing w:after="120" w:line="460" w:lineRule="exact"/>
              <w:jc w:val="center"/>
              <w:rPr>
                <w:rFonts w:hint="eastAsia" w:ascii="宋体" w:hAnsi="宋体" w:eastAsia="宋体" w:cs="宋体"/>
                <w:color w:val="auto"/>
                <w:sz w:val="24"/>
                <w:highlight w:val="none"/>
              </w:rPr>
            </w:pPr>
          </w:p>
        </w:tc>
      </w:tr>
      <w:tr w14:paraId="639D8D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13" w:hRule="atLeast"/>
          <w:jc w:val="center"/>
        </w:trPr>
        <w:tc>
          <w:tcPr>
            <w:tcW w:w="1405" w:type="dxa"/>
            <w:noWrap w:val="0"/>
            <w:vAlign w:val="center"/>
          </w:tcPr>
          <w:p w14:paraId="681FA496">
            <w:pPr>
              <w:widowControl/>
              <w:jc w:val="center"/>
              <w:rPr>
                <w:rFonts w:hint="eastAsia" w:ascii="宋体" w:hAnsi="宋体" w:eastAsia="宋体" w:cs="宋体"/>
                <w:b w:val="0"/>
                <w:bCs w:val="0"/>
                <w:color w:val="auto"/>
                <w:kern w:val="0"/>
                <w:sz w:val="24"/>
                <w:szCs w:val="24"/>
                <w:highlight w:val="none"/>
                <w:lang w:val="en-US" w:eastAsia="zh-CN" w:bidi="ar-SA"/>
              </w:rPr>
            </w:pPr>
            <w:r>
              <w:rPr>
                <w:rFonts w:hint="eastAsia" w:hAnsi="宋体" w:cs="宋体"/>
                <w:b w:val="0"/>
                <w:bCs w:val="0"/>
                <w:color w:val="auto"/>
                <w:kern w:val="0"/>
                <w:sz w:val="24"/>
                <w:highlight w:val="none"/>
                <w:lang w:eastAsia="zh-CN"/>
              </w:rPr>
              <w:t>初步设计文件审查</w:t>
            </w:r>
          </w:p>
        </w:tc>
        <w:tc>
          <w:tcPr>
            <w:tcW w:w="2060" w:type="dxa"/>
            <w:noWrap w:val="0"/>
            <w:vAlign w:val="center"/>
          </w:tcPr>
          <w:p w14:paraId="4972FAF9">
            <w:pPr>
              <w:widowControl/>
              <w:jc w:val="center"/>
              <w:rPr>
                <w:rFonts w:hint="eastAsia" w:ascii="宋体" w:hAnsi="宋体" w:eastAsia="宋体" w:cs="宋体"/>
                <w:b w:val="0"/>
                <w:bCs w:val="0"/>
                <w:color w:val="auto"/>
                <w:kern w:val="0"/>
                <w:sz w:val="24"/>
                <w:szCs w:val="24"/>
                <w:highlight w:val="none"/>
                <w:lang w:val="en-US" w:eastAsia="zh-CN" w:bidi="ar-SA"/>
              </w:rPr>
            </w:pPr>
            <w:r>
              <w:rPr>
                <w:rFonts w:hint="eastAsia" w:hAnsi="宋体" w:cs="宋体"/>
                <w:b w:val="0"/>
                <w:bCs w:val="0"/>
                <w:color w:val="auto"/>
                <w:kern w:val="0"/>
                <w:sz w:val="24"/>
                <w:highlight w:val="none"/>
                <w:lang w:val="en-US" w:eastAsia="zh-CN"/>
              </w:rPr>
              <w:t>5</w:t>
            </w:r>
            <w:r>
              <w:rPr>
                <w:rFonts w:hint="eastAsia" w:ascii="宋体" w:hAnsi="宋体" w:cs="宋体"/>
                <w:b w:val="0"/>
                <w:bCs w:val="0"/>
                <w:color w:val="auto"/>
                <w:kern w:val="0"/>
                <w:sz w:val="24"/>
                <w:highlight w:val="none"/>
                <w:lang w:val="en-US" w:eastAsia="zh-CN"/>
              </w:rPr>
              <w:t>亿及以下</w:t>
            </w:r>
          </w:p>
        </w:tc>
        <w:tc>
          <w:tcPr>
            <w:tcW w:w="2477" w:type="dxa"/>
            <w:noWrap w:val="0"/>
            <w:vAlign w:val="center"/>
          </w:tcPr>
          <w:p w14:paraId="2D320A2F">
            <w:pPr>
              <w:widowControl/>
              <w:jc w:val="center"/>
              <w:rPr>
                <w:rFonts w:hint="eastAsia" w:ascii="宋体" w:hAnsi="宋体" w:cs="宋体"/>
                <w:b w:val="0"/>
                <w:bCs w:val="0"/>
                <w:color w:val="auto"/>
                <w:kern w:val="0"/>
                <w:sz w:val="24"/>
                <w:highlight w:val="none"/>
                <w:lang w:val="en-US" w:eastAsia="zh-CN"/>
              </w:rPr>
            </w:pPr>
            <w:r>
              <w:rPr>
                <w:rFonts w:hint="eastAsia" w:hAnsi="宋体" w:cs="宋体"/>
                <w:b w:val="0"/>
                <w:bCs w:val="0"/>
                <w:color w:val="auto"/>
                <w:kern w:val="0"/>
                <w:sz w:val="24"/>
                <w:highlight w:val="none"/>
                <w:lang w:val="en-US" w:eastAsia="zh-CN"/>
              </w:rPr>
              <w:t>5</w:t>
            </w:r>
            <w:r>
              <w:rPr>
                <w:rFonts w:hint="eastAsia" w:ascii="宋体" w:hAnsi="宋体" w:cs="宋体"/>
                <w:b w:val="0"/>
                <w:bCs w:val="0"/>
                <w:color w:val="auto"/>
                <w:kern w:val="0"/>
                <w:sz w:val="24"/>
                <w:highlight w:val="none"/>
                <w:lang w:val="en-US" w:eastAsia="zh-CN"/>
              </w:rPr>
              <w:t>亿-</w:t>
            </w:r>
            <w:r>
              <w:rPr>
                <w:rFonts w:hint="eastAsia" w:hAnsi="宋体" w:cs="宋体"/>
                <w:b w:val="0"/>
                <w:bCs w:val="0"/>
                <w:color w:val="auto"/>
                <w:kern w:val="0"/>
                <w:sz w:val="24"/>
                <w:highlight w:val="none"/>
                <w:lang w:val="en-US" w:eastAsia="zh-CN"/>
              </w:rPr>
              <w:t>10</w:t>
            </w:r>
            <w:r>
              <w:rPr>
                <w:rFonts w:hint="eastAsia" w:ascii="宋体" w:hAnsi="宋体" w:cs="宋体"/>
                <w:b w:val="0"/>
                <w:bCs w:val="0"/>
                <w:color w:val="auto"/>
                <w:kern w:val="0"/>
                <w:sz w:val="24"/>
                <w:highlight w:val="none"/>
                <w:lang w:val="en-US" w:eastAsia="zh-CN"/>
              </w:rPr>
              <w:t>亿</w:t>
            </w:r>
          </w:p>
          <w:p w14:paraId="1DB0E125">
            <w:pPr>
              <w:widowControl/>
              <w:jc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highlight w:val="none"/>
                <w:lang w:val="en-US" w:eastAsia="zh-CN"/>
              </w:rPr>
              <w:t>（含</w:t>
            </w:r>
            <w:r>
              <w:rPr>
                <w:rFonts w:hint="eastAsia" w:hAnsi="宋体" w:cs="宋体"/>
                <w:b w:val="0"/>
                <w:bCs w:val="0"/>
                <w:color w:val="auto"/>
                <w:kern w:val="0"/>
                <w:sz w:val="24"/>
                <w:highlight w:val="none"/>
                <w:lang w:val="en-US" w:eastAsia="zh-CN"/>
              </w:rPr>
              <w:t>10</w:t>
            </w:r>
            <w:r>
              <w:rPr>
                <w:rFonts w:hint="eastAsia" w:ascii="宋体" w:hAnsi="宋体" w:cs="宋体"/>
                <w:b w:val="0"/>
                <w:bCs w:val="0"/>
                <w:color w:val="auto"/>
                <w:kern w:val="0"/>
                <w:sz w:val="24"/>
                <w:highlight w:val="none"/>
                <w:lang w:val="en-US" w:eastAsia="zh-CN"/>
              </w:rPr>
              <w:t>亿元）</w:t>
            </w:r>
          </w:p>
        </w:tc>
        <w:tc>
          <w:tcPr>
            <w:tcW w:w="3009" w:type="dxa"/>
            <w:noWrap w:val="0"/>
            <w:vAlign w:val="center"/>
          </w:tcPr>
          <w:p w14:paraId="17761C60">
            <w:pPr>
              <w:widowControl/>
              <w:jc w:val="center"/>
              <w:rPr>
                <w:rFonts w:hint="eastAsia" w:ascii="宋体" w:hAnsi="宋体" w:eastAsia="宋体" w:cs="宋体"/>
                <w:b w:val="0"/>
                <w:bCs w:val="0"/>
                <w:color w:val="auto"/>
                <w:kern w:val="0"/>
                <w:sz w:val="24"/>
                <w:szCs w:val="24"/>
                <w:highlight w:val="none"/>
                <w:lang w:val="en-US" w:eastAsia="zh-CN" w:bidi="ar-SA"/>
              </w:rPr>
            </w:pPr>
            <w:r>
              <w:rPr>
                <w:rFonts w:hint="eastAsia" w:hAnsi="宋体" w:cs="宋体"/>
                <w:b w:val="0"/>
                <w:bCs w:val="0"/>
                <w:color w:val="auto"/>
                <w:kern w:val="0"/>
                <w:sz w:val="24"/>
                <w:highlight w:val="none"/>
                <w:lang w:val="en-US" w:eastAsia="zh-CN"/>
              </w:rPr>
              <w:t>10亿以上</w:t>
            </w:r>
          </w:p>
        </w:tc>
      </w:tr>
      <w:tr w14:paraId="7F0AB9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13" w:hRule="atLeast"/>
          <w:jc w:val="center"/>
        </w:trPr>
        <w:tc>
          <w:tcPr>
            <w:tcW w:w="1405" w:type="dxa"/>
            <w:noWrap w:val="0"/>
            <w:vAlign w:val="center"/>
          </w:tcPr>
          <w:p w14:paraId="41623137">
            <w:pPr>
              <w:widowControl/>
              <w:jc w:val="center"/>
              <w:rPr>
                <w:rFonts w:hint="eastAsia" w:ascii="宋体" w:hAnsi="宋体" w:eastAsia="宋体" w:cs="宋体"/>
                <w:b w:val="0"/>
                <w:bCs w:val="0"/>
                <w:color w:val="auto"/>
                <w:kern w:val="0"/>
                <w:sz w:val="24"/>
                <w:szCs w:val="24"/>
                <w:highlight w:val="none"/>
                <w:lang w:val="en-US" w:eastAsia="zh-CN" w:bidi="ar-SA"/>
              </w:rPr>
            </w:pPr>
            <w:r>
              <w:rPr>
                <w:rFonts w:hint="eastAsia" w:hAnsi="宋体" w:cs="宋体"/>
                <w:b w:val="0"/>
                <w:bCs w:val="0"/>
                <w:color w:val="auto"/>
                <w:kern w:val="0"/>
                <w:sz w:val="24"/>
                <w:highlight w:val="none"/>
                <w:lang w:val="en-US" w:eastAsia="zh-CN"/>
              </w:rPr>
              <w:t>最高限价（元）</w:t>
            </w:r>
          </w:p>
        </w:tc>
        <w:tc>
          <w:tcPr>
            <w:tcW w:w="2060" w:type="dxa"/>
            <w:noWrap w:val="0"/>
            <w:vAlign w:val="center"/>
          </w:tcPr>
          <w:p w14:paraId="5C9AA4D2">
            <w:pPr>
              <w:widowControl/>
              <w:jc w:val="center"/>
              <w:rPr>
                <w:rFonts w:hint="default" w:ascii="宋体" w:hAnsi="宋体" w:eastAsia="宋体" w:cs="宋体"/>
                <w:b w:val="0"/>
                <w:bCs w:val="0"/>
                <w:color w:val="auto"/>
                <w:kern w:val="0"/>
                <w:sz w:val="24"/>
                <w:szCs w:val="24"/>
                <w:highlight w:val="none"/>
                <w:lang w:val="en-US" w:eastAsia="zh-CN" w:bidi="ar-SA"/>
              </w:rPr>
            </w:pPr>
            <w:r>
              <w:rPr>
                <w:rFonts w:hint="eastAsia" w:hAnsi="宋体" w:cs="宋体"/>
                <w:b w:val="0"/>
                <w:bCs w:val="0"/>
                <w:color w:val="auto"/>
                <w:kern w:val="0"/>
                <w:sz w:val="24"/>
                <w:highlight w:val="none"/>
                <w:lang w:val="en-US" w:eastAsia="zh-CN"/>
              </w:rPr>
              <w:t>380000.00</w:t>
            </w:r>
          </w:p>
        </w:tc>
        <w:tc>
          <w:tcPr>
            <w:tcW w:w="2477" w:type="dxa"/>
            <w:noWrap w:val="0"/>
            <w:vAlign w:val="center"/>
          </w:tcPr>
          <w:p w14:paraId="6ECA9861">
            <w:pPr>
              <w:widowControl/>
              <w:jc w:val="center"/>
              <w:rPr>
                <w:rFonts w:hint="default" w:ascii="宋体" w:hAnsi="宋体" w:eastAsia="宋体" w:cs="宋体"/>
                <w:b w:val="0"/>
                <w:bCs w:val="0"/>
                <w:color w:val="auto"/>
                <w:kern w:val="0"/>
                <w:sz w:val="24"/>
                <w:szCs w:val="24"/>
                <w:highlight w:val="none"/>
                <w:lang w:val="en-US" w:eastAsia="zh-CN" w:bidi="ar-SA"/>
              </w:rPr>
            </w:pPr>
            <w:r>
              <w:rPr>
                <w:rFonts w:hint="eastAsia" w:hAnsi="宋体" w:cs="宋体"/>
                <w:b w:val="0"/>
                <w:bCs w:val="0"/>
                <w:color w:val="auto"/>
                <w:kern w:val="0"/>
                <w:sz w:val="24"/>
                <w:highlight w:val="none"/>
                <w:lang w:val="en-US" w:eastAsia="zh-CN"/>
              </w:rPr>
              <w:t>420000.00</w:t>
            </w:r>
          </w:p>
        </w:tc>
        <w:tc>
          <w:tcPr>
            <w:tcW w:w="3009" w:type="dxa"/>
            <w:noWrap w:val="0"/>
            <w:vAlign w:val="center"/>
          </w:tcPr>
          <w:p w14:paraId="6B021358">
            <w:pPr>
              <w:widowControl/>
              <w:jc w:val="center"/>
              <w:rPr>
                <w:rFonts w:hint="default" w:ascii="宋体" w:hAnsi="宋体" w:eastAsia="宋体" w:cs="宋体"/>
                <w:b w:val="0"/>
                <w:bCs w:val="0"/>
                <w:color w:val="auto"/>
                <w:kern w:val="0"/>
                <w:sz w:val="24"/>
                <w:szCs w:val="24"/>
                <w:highlight w:val="none"/>
                <w:lang w:val="en-US" w:eastAsia="zh-CN" w:bidi="ar-SA"/>
              </w:rPr>
            </w:pPr>
            <w:r>
              <w:rPr>
                <w:rFonts w:hint="eastAsia" w:hAnsi="宋体" w:cs="宋体"/>
                <w:b w:val="0"/>
                <w:bCs w:val="0"/>
                <w:color w:val="auto"/>
                <w:kern w:val="0"/>
                <w:sz w:val="24"/>
                <w:highlight w:val="none"/>
                <w:lang w:val="en-US" w:eastAsia="zh-CN"/>
              </w:rPr>
              <w:t>460000.00</w:t>
            </w:r>
          </w:p>
        </w:tc>
      </w:tr>
      <w:tr w14:paraId="48021E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13" w:hRule="atLeast"/>
          <w:jc w:val="center"/>
        </w:trPr>
        <w:tc>
          <w:tcPr>
            <w:tcW w:w="1405" w:type="dxa"/>
            <w:noWrap w:val="0"/>
            <w:vAlign w:val="center"/>
          </w:tcPr>
          <w:p w14:paraId="39CC297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报价</w:t>
            </w:r>
          </w:p>
          <w:p w14:paraId="68AE574D">
            <w:pPr>
              <w:spacing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（元）</w:t>
            </w:r>
          </w:p>
        </w:tc>
        <w:tc>
          <w:tcPr>
            <w:tcW w:w="2060" w:type="dxa"/>
            <w:noWrap w:val="0"/>
            <w:vAlign w:val="center"/>
          </w:tcPr>
          <w:p w14:paraId="503AAD45">
            <w:pPr>
              <w:spacing w:line="480" w:lineRule="auto"/>
              <w:rPr>
                <w:rFonts w:hint="eastAsia" w:ascii="宋体" w:hAnsi="宋体" w:eastAsia="宋体" w:cs="宋体"/>
                <w:color w:val="auto"/>
                <w:sz w:val="24"/>
                <w:highlight w:val="none"/>
              </w:rPr>
            </w:pPr>
          </w:p>
        </w:tc>
        <w:tc>
          <w:tcPr>
            <w:tcW w:w="2477" w:type="dxa"/>
            <w:noWrap w:val="0"/>
            <w:vAlign w:val="center"/>
          </w:tcPr>
          <w:p w14:paraId="3B572A8C">
            <w:pPr>
              <w:spacing w:line="480" w:lineRule="auto"/>
              <w:rPr>
                <w:rFonts w:hint="eastAsia" w:ascii="宋体" w:hAnsi="宋体" w:eastAsia="宋体" w:cs="宋体"/>
                <w:color w:val="auto"/>
                <w:sz w:val="24"/>
                <w:highlight w:val="none"/>
              </w:rPr>
            </w:pPr>
          </w:p>
        </w:tc>
        <w:tc>
          <w:tcPr>
            <w:tcW w:w="3009" w:type="dxa"/>
            <w:noWrap w:val="0"/>
            <w:vAlign w:val="center"/>
          </w:tcPr>
          <w:p w14:paraId="33CC37DE">
            <w:pPr>
              <w:spacing w:line="480" w:lineRule="auto"/>
              <w:rPr>
                <w:rFonts w:hint="eastAsia" w:ascii="宋体" w:hAnsi="宋体" w:eastAsia="宋体" w:cs="宋体"/>
                <w:color w:val="auto"/>
                <w:sz w:val="24"/>
                <w:highlight w:val="none"/>
              </w:rPr>
            </w:pPr>
          </w:p>
        </w:tc>
      </w:tr>
      <w:tr w14:paraId="53EA24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85" w:hRule="atLeast"/>
          <w:jc w:val="center"/>
        </w:trPr>
        <w:tc>
          <w:tcPr>
            <w:tcW w:w="1405" w:type="dxa"/>
            <w:noWrap w:val="0"/>
            <w:vAlign w:val="center"/>
          </w:tcPr>
          <w:p w14:paraId="1D3841F8">
            <w:pPr>
              <w:spacing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服务期</w:t>
            </w:r>
          </w:p>
        </w:tc>
        <w:tc>
          <w:tcPr>
            <w:tcW w:w="7546" w:type="dxa"/>
            <w:gridSpan w:val="3"/>
            <w:noWrap w:val="0"/>
            <w:vAlign w:val="center"/>
          </w:tcPr>
          <w:p w14:paraId="63DCCA65">
            <w:pPr>
              <w:spacing w:line="460" w:lineRule="exact"/>
              <w:jc w:val="left"/>
              <w:rPr>
                <w:rFonts w:hint="eastAsia" w:ascii="宋体" w:hAnsi="宋体" w:eastAsia="宋体" w:cs="宋体"/>
                <w:color w:val="auto"/>
                <w:sz w:val="24"/>
                <w:highlight w:val="none"/>
              </w:rPr>
            </w:pPr>
          </w:p>
        </w:tc>
      </w:tr>
      <w:tr w14:paraId="68D58E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11" w:hRule="atLeast"/>
          <w:jc w:val="center"/>
        </w:trPr>
        <w:tc>
          <w:tcPr>
            <w:tcW w:w="1405" w:type="dxa"/>
            <w:noWrap w:val="0"/>
            <w:vAlign w:val="center"/>
          </w:tcPr>
          <w:p w14:paraId="3BACA482">
            <w:pPr>
              <w:spacing w:line="46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7546" w:type="dxa"/>
            <w:gridSpan w:val="3"/>
            <w:noWrap w:val="0"/>
            <w:vAlign w:val="center"/>
          </w:tcPr>
          <w:p w14:paraId="62F7D03D">
            <w:pPr>
              <w:keepNext w:val="0"/>
              <w:keepLines w:val="0"/>
              <w:pageBreakBefore w:val="0"/>
              <w:widowControl w:val="0"/>
              <w:kinsoku/>
              <w:wordWrap/>
              <w:overflowPunct/>
              <w:topLinePunct w:val="0"/>
              <w:autoSpaceDE/>
              <w:autoSpaceDN/>
              <w:bidi w:val="0"/>
              <w:adjustRightInd w:val="0"/>
              <w:snapToGrid w:val="0"/>
              <w:spacing w:line="348" w:lineRule="auto"/>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rPr>
              <w:t>说明：</w:t>
            </w:r>
            <w:r>
              <w:rPr>
                <w:rFonts w:hint="eastAsia" w:ascii="宋体" w:hAnsi="宋体" w:eastAsia="宋体" w:cs="宋体"/>
                <w:b/>
                <w:bCs/>
                <w:color w:val="auto"/>
                <w:sz w:val="24"/>
                <w:highlight w:val="none"/>
              </w:rPr>
              <w:br w:type="textWrapping"/>
            </w:r>
            <w:r>
              <w:rPr>
                <w:rFonts w:hint="eastAsia" w:ascii="宋体" w:hAnsi="宋体" w:eastAsia="宋体" w:cs="宋体"/>
                <w:b/>
                <w:bCs/>
                <w:color w:val="auto"/>
                <w:sz w:val="24"/>
                <w:highlight w:val="none"/>
                <w:lang w:val="en-US" w:eastAsia="zh-CN"/>
              </w:rPr>
              <w:t>一、项目最高限价档位</w:t>
            </w:r>
          </w:p>
          <w:p w14:paraId="4324C578">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本项目按采购人实际委托项目的投资估算总额，设置三档结算最高限价，具体如下：</w:t>
            </w:r>
          </w:p>
          <w:p w14:paraId="3C9ABEB9">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1.项目总投资5亿元及以下：最高限价38万元；</w:t>
            </w:r>
          </w:p>
          <w:p w14:paraId="33B16134">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2.项目总投资5亿元-10亿元（含10亿元）：最高限价42万元；</w:t>
            </w:r>
          </w:p>
          <w:p w14:paraId="2AC2BAB9">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3.项目总投资10亿元及以上：最高限价46万元。</w:t>
            </w:r>
          </w:p>
          <w:p w14:paraId="318BA910">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二、报价要求</w:t>
            </w:r>
          </w:p>
          <w:p w14:paraId="563F2B09">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投标人须对上述三档限价分别报价，每一档报价均不得高于对应档位的最高限价，否则视为无效报价；</w:t>
            </w:r>
          </w:p>
          <w:p w14:paraId="66265291">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三、评审规则</w:t>
            </w:r>
          </w:p>
          <w:p w14:paraId="48A86BFE">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本项目评审价格分仅以投标人针对“项目总投资10亿元及以上”档位（最高限价46万元）的磋商最终报价为依据进行评审，其余两档报价仅作为后续结算依据，不参与评审打分。</w:t>
            </w:r>
          </w:p>
          <w:p w14:paraId="52776464">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四、结算支付规则</w:t>
            </w:r>
          </w:p>
          <w:p w14:paraId="782B4119">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1.本项目最终合同支付金额，按合同签订后一年内采购人实际委托给成交供应商的全部项目所对应的项目总投资区间支付该区间投标人的磋商最终报价（即对应档位的投标人报价）；</w:t>
            </w:r>
          </w:p>
          <w:p w14:paraId="3A94585F">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2.项目总投资区间划分及支付标准，严格对应本说明第一条约定的三档范围，按对应档位投标人最终磋商报价据实支付。</w:t>
            </w:r>
          </w:p>
          <w:p w14:paraId="533B0315">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五、补充说明</w:t>
            </w:r>
          </w:p>
          <w:p w14:paraId="38C3C288">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1.项目投资估算总额以采购人最终书面确认的金额为准；</w:t>
            </w:r>
          </w:p>
          <w:p w14:paraId="3EDE0215">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2.最终支付时按人民币元为单位四舍五入保留两位小数。</w:t>
            </w:r>
          </w:p>
          <w:p w14:paraId="4E53F113">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480" w:firstLineChars="200"/>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注：供应商最终报价包含完成本项目所需的全部费用（包括但不限于劳务费、税费、专家咨询费、现场勘查费、报告编制费、差旅费、办公费等一切相关费用）。</w:t>
            </w:r>
          </w:p>
        </w:tc>
      </w:tr>
    </w:tbl>
    <w:p w14:paraId="5BD6561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C319AF"/>
    <w:rsid w:val="58C31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2026-05-09T09:59:00Z</dcterms:created>
  <dc:creator>M</dc:creator>
  <cp:lastModifiedBy>M</cp:lastModifiedBy>
  <dcterms:modified xsi:type="dcterms:W3CDTF">2026-05-09T09:59:31Z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B7D1FF86AAEC41EAA2E38F664CD0B6B5_11</vt:lpwstr>
  </property>
  <property fmtid="{D5CDD505-2E9C-101B-9397-08002B2CF9AE}" pid="4" name="KSOTemplateDocerSaveRecord">
    <vt:lpwstr>eyJoZGlkIjoiYjA0ZDg3NGE3ODljODI4OGQ0MzdhMDA5Mjc2OGVmOGQiLCJ1c2VySWQiOiI1NDkzMjg4OTQifQ==</vt:lpwstr>
  </property>
</Properties>
</file>