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版本号：HJDY2601-03220260604001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网信技术评估服务项目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HJDY2601-032</w:t>
      </w:r>
      <w:r>
        <w:br/>
      </w:r>
      <w:r>
        <w:br/>
      </w:r>
      <w:r>
        <w:br/>
      </w:r>
    </w:p>
    <w:p>
      <w:pPr>
        <w:pStyle w:val="null3"/>
        <w:jc w:val="center"/>
        <w:outlineLvl w:val="5"/>
      </w:pPr>
      <w:r>
        <w:rPr>
          <w:rFonts w:ascii="仿宋_GB2312" w:hAnsi="仿宋_GB2312" w:cs="仿宋_GB2312" w:eastAsia="仿宋_GB2312"/>
          <w:sz w:val="15"/>
          <w:b/>
        </w:rPr>
        <w:t>陕西省互联网信息办公室</w:t>
      </w:r>
    </w:p>
    <w:p>
      <w:pPr>
        <w:pStyle w:val="null3"/>
        <w:jc w:val="center"/>
        <w:outlineLvl w:val="5"/>
      </w:pPr>
      <w:r>
        <w:rPr>
          <w:rFonts w:ascii="仿宋_GB2312" w:hAnsi="仿宋_GB2312" w:cs="仿宋_GB2312" w:eastAsia="仿宋_GB2312"/>
          <w:sz w:val="15"/>
          <w:b/>
        </w:rPr>
        <w:t>陕西海佳项目管理有限公司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陕西海佳项目管理有限公司</w:t>
      </w:r>
      <w:r>
        <w:rPr>
          <w:rFonts w:ascii="仿宋_GB2312" w:hAnsi="仿宋_GB2312" w:cs="仿宋_GB2312" w:eastAsia="仿宋_GB2312"/>
        </w:rPr>
        <w:t>（以下简称“代理机构”）受</w:t>
      </w:r>
      <w:r>
        <w:rPr>
          <w:rFonts w:ascii="仿宋_GB2312" w:hAnsi="仿宋_GB2312" w:cs="仿宋_GB2312" w:eastAsia="仿宋_GB2312"/>
        </w:rPr>
        <w:t>陕西省互联网信息办公室</w:t>
      </w:r>
      <w:r>
        <w:rPr>
          <w:rFonts w:ascii="仿宋_GB2312" w:hAnsi="仿宋_GB2312" w:cs="仿宋_GB2312" w:eastAsia="仿宋_GB2312"/>
        </w:rPr>
        <w:t>委托，拟对</w:t>
      </w:r>
      <w:r>
        <w:rPr>
          <w:rFonts w:ascii="仿宋_GB2312" w:hAnsi="仿宋_GB2312" w:cs="仿宋_GB2312" w:eastAsia="仿宋_GB2312"/>
        </w:rPr>
        <w:t>网信技术评估服务项目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HJDY2601-032</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网信技术评估服务项目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为进一步提升我省网络安全和数据安全保障能力，依据相关法律法规要求，完成本项目包括数据出境安全管理服务，生成式人工智能（大语言模型）安全评估服务、区块链信息安全管理服务等相关技术服务，建立高效协同机制，提升网络安全保障体系和能力，为维护国家网络空间主权、安全和发展利益提供坚实保障。</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1、供应商特定资格要求：无</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陕西省互联网信息办公室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雁塔路南段10号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029-63907118</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陕西海佳项目管理有限公司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陕西省西安市高新区唐延路35号旺座现代城C座2604室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雷鹏飞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029-88765319</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采购包1：450,000.00元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采购包1：450,000.00元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代理服务费收费标准：（1）采购代理服务费参照国家计委《招标代理服务收费管理暂行办法》（计价格[2002]1980号）规定的收费标准收取。（2）采购代理服务费缴纳账户： 开户名称：陕西海佳项目管理有限公司 开户银行： 招商银行股份有限公司西安城西支行， 账 号： 129911759510401。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陕西省互联网信息办公室</w:t>
      </w:r>
      <w:r>
        <w:rPr>
          <w:rFonts w:ascii="仿宋_GB2312" w:hAnsi="仿宋_GB2312" w:cs="仿宋_GB2312" w:eastAsia="仿宋_GB2312"/>
        </w:rPr>
        <w:t>和</w:t>
      </w:r>
      <w:r>
        <w:rPr>
          <w:rFonts w:ascii="仿宋_GB2312" w:hAnsi="仿宋_GB2312" w:cs="仿宋_GB2312" w:eastAsia="仿宋_GB2312"/>
        </w:rPr>
        <w:t>陕西海佳项目管理有限公司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陕西海佳项目管理有限公司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陕西省互联网信息办公室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陕西海佳项目管理有限公司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符合国家、地方、行业相关合格标准，符合采购人的要求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陕西海佳项目管理有限公司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陕西海佳项目管理有限公司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陕西海佳项目管理有限公司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为进一步提升我省网络安全和数据安全保障能力，依据相关法律法规要求，拟采购数据出境安全管理服务，生成式人工智能（大语言模型）安全评估服务、区块链信息安全管理服务等相关技术服务，建立高效协同机制，提升网络安全保障体系和能力，为维护国家网络空间主权、安全和发展利益提供坚实保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网信技术评估服务项目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标的名称：网信技术评估服务项目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1"/>
              </w:rPr>
              <w:t>为进一步提升我省网络安全和数据安全保障能力，依据相关法律法规要求，拟采购数据出境安全管理服务，生成式人工智能（大语言模型）安全评估服务、区块链信息安全管理服务等相关技术服务，建立高效协同机制，提升网络安全保障体系和能力，为维护国家网络空间主权、安全和发展利益提供坚实保障。</w:t>
            </w:r>
          </w:p>
          <w:p>
            <w:pPr>
              <w:pStyle w:val="null3"/>
              <w:ind w:firstLine="480"/>
              <w:jc w:val="both"/>
            </w:pPr>
            <w:r>
              <w:rPr>
                <w:rFonts w:ascii="仿宋_GB2312" w:hAnsi="仿宋_GB2312" w:cs="仿宋_GB2312" w:eastAsia="仿宋_GB2312"/>
                <w:sz w:val="21"/>
              </w:rPr>
              <w:t>一、数据出境安全管理</w:t>
            </w:r>
          </w:p>
          <w:p>
            <w:pPr>
              <w:pStyle w:val="null3"/>
              <w:ind w:firstLine="480"/>
              <w:jc w:val="both"/>
            </w:pPr>
            <w:r>
              <w:rPr>
                <w:rFonts w:ascii="仿宋_GB2312" w:hAnsi="仿宋_GB2312" w:cs="仿宋_GB2312" w:eastAsia="仿宋_GB2312"/>
                <w:sz w:val="21"/>
              </w:rPr>
              <w:t>（一）工作内容</w:t>
            </w:r>
          </w:p>
          <w:p>
            <w:pPr>
              <w:pStyle w:val="null3"/>
              <w:ind w:firstLine="480"/>
              <w:jc w:val="both"/>
            </w:pPr>
            <w:r>
              <w:rPr>
                <w:rFonts w:ascii="仿宋_GB2312" w:hAnsi="仿宋_GB2312" w:cs="仿宋_GB2312" w:eastAsia="仿宋_GB2312"/>
                <w:sz w:val="21"/>
              </w:rPr>
              <w:t>1.供应商应在工作时间提供人员受理全省范围内的数据出境安全管理相关政策咨询。</w:t>
            </w:r>
          </w:p>
          <w:p>
            <w:pPr>
              <w:pStyle w:val="null3"/>
              <w:ind w:firstLine="480"/>
              <w:jc w:val="both"/>
            </w:pPr>
            <w:r>
              <w:rPr>
                <w:rFonts w:ascii="仿宋_GB2312" w:hAnsi="仿宋_GB2312" w:cs="仿宋_GB2312" w:eastAsia="仿宋_GB2312"/>
                <w:sz w:val="21"/>
              </w:rPr>
              <w:t>2.供应商应根据采购人要求，安排人员对个人信息出境标准合同备案、数据出境安全评估材料的完整性、真实性、合规性，进行初审。</w:t>
            </w:r>
          </w:p>
          <w:p>
            <w:pPr>
              <w:pStyle w:val="null3"/>
              <w:ind w:firstLine="480"/>
              <w:jc w:val="both"/>
            </w:pPr>
            <w:r>
              <w:rPr>
                <w:rFonts w:ascii="仿宋_GB2312" w:hAnsi="仿宋_GB2312" w:cs="仿宋_GB2312" w:eastAsia="仿宋_GB2312"/>
                <w:sz w:val="21"/>
              </w:rPr>
              <w:t>3.数据处理者准备评估/备案材料期间的咨询工作。供应商应在企业报备前，负责和数据处理者完成前期沟通、答疑等咨询工作。</w:t>
            </w:r>
          </w:p>
          <w:p>
            <w:pPr>
              <w:pStyle w:val="null3"/>
              <w:ind w:firstLine="480"/>
              <w:jc w:val="both"/>
            </w:pPr>
            <w:r>
              <w:rPr>
                <w:rFonts w:ascii="仿宋_GB2312" w:hAnsi="仿宋_GB2312" w:cs="仿宋_GB2312" w:eastAsia="仿宋_GB2312"/>
                <w:sz w:val="21"/>
              </w:rPr>
              <w:t>4.供应商应通过技术手段对已进行标准合同备案（认证）的主体单位进行技术监测分析，确认其备案（认证）内容的合规性。</w:t>
            </w:r>
          </w:p>
          <w:p>
            <w:pPr>
              <w:pStyle w:val="null3"/>
              <w:ind w:firstLine="480"/>
              <w:jc w:val="both"/>
            </w:pPr>
            <w:r>
              <w:rPr>
                <w:rFonts w:ascii="仿宋_GB2312" w:hAnsi="仿宋_GB2312" w:cs="仿宋_GB2312" w:eastAsia="仿宋_GB2312"/>
                <w:sz w:val="21"/>
              </w:rPr>
              <w:t>5.出具受理意见。供应商应对个人信息出境标准合同进行初审，并出具《个人信息出境标准合同备案受理意见》，提交采购人审核；供应商应对数据出境安全评估进行初审，并出具《数据出境安全评估完备性审核受理意见》，提交采购人审核。</w:t>
            </w:r>
          </w:p>
          <w:p>
            <w:pPr>
              <w:pStyle w:val="null3"/>
              <w:ind w:firstLine="480"/>
              <w:jc w:val="both"/>
            </w:pPr>
            <w:r>
              <w:rPr>
                <w:rFonts w:ascii="仿宋_GB2312" w:hAnsi="仿宋_GB2312" w:cs="仿宋_GB2312" w:eastAsia="仿宋_GB2312"/>
                <w:sz w:val="21"/>
              </w:rPr>
              <w:t>（二）工作要求</w:t>
            </w:r>
          </w:p>
          <w:p>
            <w:pPr>
              <w:pStyle w:val="null3"/>
              <w:ind w:firstLine="480"/>
              <w:jc w:val="both"/>
            </w:pPr>
            <w:r>
              <w:rPr>
                <w:rFonts w:ascii="仿宋_GB2312" w:hAnsi="仿宋_GB2312" w:cs="仿宋_GB2312" w:eastAsia="仿宋_GB2312"/>
                <w:sz w:val="21"/>
              </w:rPr>
              <w:t>严格依法依规审核。遵守审核时限，在采购方规定的时限内完成审核，不超时、不延期。</w:t>
            </w:r>
          </w:p>
          <w:p>
            <w:pPr>
              <w:pStyle w:val="null3"/>
              <w:ind w:firstLine="480"/>
              <w:jc w:val="both"/>
            </w:pPr>
            <w:r>
              <w:rPr>
                <w:rFonts w:ascii="仿宋_GB2312" w:hAnsi="仿宋_GB2312" w:cs="仿宋_GB2312" w:eastAsia="仿宋_GB2312"/>
                <w:sz w:val="21"/>
              </w:rPr>
              <w:t>二、生成式人工智能（大语言模型）安全评估</w:t>
            </w:r>
          </w:p>
          <w:p>
            <w:pPr>
              <w:pStyle w:val="null3"/>
              <w:ind w:firstLine="480"/>
              <w:jc w:val="both"/>
            </w:pPr>
            <w:r>
              <w:rPr>
                <w:rFonts w:ascii="仿宋_GB2312" w:hAnsi="仿宋_GB2312" w:cs="仿宋_GB2312" w:eastAsia="仿宋_GB2312"/>
                <w:sz w:val="21"/>
              </w:rPr>
              <w:t>（一）工作内容</w:t>
            </w:r>
          </w:p>
          <w:p>
            <w:pPr>
              <w:pStyle w:val="null3"/>
              <w:ind w:firstLine="480"/>
              <w:jc w:val="both"/>
            </w:pPr>
            <w:r>
              <w:rPr>
                <w:rFonts w:ascii="仿宋_GB2312" w:hAnsi="仿宋_GB2312" w:cs="仿宋_GB2312" w:eastAsia="仿宋_GB2312"/>
                <w:sz w:val="21"/>
              </w:rPr>
              <w:t>1.供应商应在工作时间提供人员受理全省范围内的人工智能备案（登记）工作相关政策咨询。</w:t>
            </w:r>
          </w:p>
          <w:p>
            <w:pPr>
              <w:pStyle w:val="null3"/>
              <w:ind w:firstLine="480"/>
              <w:jc w:val="both"/>
            </w:pPr>
            <w:r>
              <w:rPr>
                <w:rFonts w:ascii="仿宋_GB2312" w:hAnsi="仿宋_GB2312" w:cs="仿宋_GB2312" w:eastAsia="仿宋_GB2312"/>
                <w:sz w:val="21"/>
              </w:rPr>
              <w:t>2.具有舆论属性或者社会动员能力的生成式人工智能服务企业准备评估、备案和登记材料期间的咨询工作。供应商负责和具有舆论属性或者社会动员能力的生成式人工智能服务企业完成前期沟通、答疑等咨询工作。</w:t>
            </w:r>
          </w:p>
          <w:p>
            <w:pPr>
              <w:pStyle w:val="null3"/>
              <w:ind w:firstLine="480"/>
              <w:jc w:val="both"/>
            </w:pPr>
            <w:r>
              <w:rPr>
                <w:rFonts w:ascii="仿宋_GB2312" w:hAnsi="仿宋_GB2312" w:cs="仿宋_GB2312" w:eastAsia="仿宋_GB2312"/>
                <w:sz w:val="21"/>
              </w:rPr>
              <w:t>3.初审及安全评估。根据相关文件要求，配合采购人完成备案（登记）材料的初审工作。利用自有敏感语料数据对大模型的内容及伦理安全进行评估及审核，针对发现的问题以问题清单等形式反馈给主体单位，直至材料初审通过。</w:t>
            </w:r>
          </w:p>
          <w:p>
            <w:pPr>
              <w:pStyle w:val="null3"/>
              <w:ind w:firstLine="480"/>
              <w:jc w:val="both"/>
            </w:pPr>
            <w:r>
              <w:rPr>
                <w:rFonts w:ascii="仿宋_GB2312" w:hAnsi="仿宋_GB2312" w:cs="仿宋_GB2312" w:eastAsia="仿宋_GB2312"/>
                <w:sz w:val="21"/>
              </w:rPr>
              <w:t>4.供应商应提供涉密场所及人员，推进采购人有关生成式人工智能管理涉密专项工作。</w:t>
            </w:r>
          </w:p>
          <w:p>
            <w:pPr>
              <w:pStyle w:val="null3"/>
              <w:ind w:firstLine="480"/>
              <w:jc w:val="both"/>
            </w:pPr>
            <w:r>
              <w:rPr>
                <w:rFonts w:ascii="仿宋_GB2312" w:hAnsi="仿宋_GB2312" w:cs="仿宋_GB2312" w:eastAsia="仿宋_GB2312"/>
                <w:sz w:val="21"/>
              </w:rPr>
              <w:t>5.跟进受理意见。供应商应配合采购人，跟进受理意见，直至备案工作结束。</w:t>
            </w:r>
          </w:p>
          <w:p>
            <w:pPr>
              <w:pStyle w:val="null3"/>
              <w:ind w:firstLine="480"/>
              <w:jc w:val="both"/>
            </w:pPr>
            <w:r>
              <w:rPr>
                <w:rFonts w:ascii="仿宋_GB2312" w:hAnsi="仿宋_GB2312" w:cs="仿宋_GB2312" w:eastAsia="仿宋_GB2312"/>
                <w:sz w:val="21"/>
              </w:rPr>
              <w:t>（二）工作要求</w:t>
            </w:r>
          </w:p>
          <w:p>
            <w:pPr>
              <w:pStyle w:val="null3"/>
              <w:ind w:firstLine="480"/>
              <w:jc w:val="both"/>
            </w:pPr>
            <w:r>
              <w:rPr>
                <w:rFonts w:ascii="仿宋_GB2312" w:hAnsi="仿宋_GB2312" w:cs="仿宋_GB2312" w:eastAsia="仿宋_GB2312"/>
                <w:sz w:val="21"/>
              </w:rPr>
              <w:t>严格依法依规审核。遵守审核时限，按照采购人规定的时限完成相关工作。</w:t>
            </w:r>
          </w:p>
          <w:p>
            <w:pPr>
              <w:pStyle w:val="null3"/>
              <w:ind w:firstLine="480"/>
              <w:jc w:val="both"/>
            </w:pPr>
            <w:r>
              <w:rPr>
                <w:rFonts w:ascii="仿宋_GB2312" w:hAnsi="仿宋_GB2312" w:cs="仿宋_GB2312" w:eastAsia="仿宋_GB2312"/>
                <w:sz w:val="21"/>
              </w:rPr>
              <w:t>三、区块链信息安全管理服务</w:t>
            </w:r>
          </w:p>
          <w:p>
            <w:pPr>
              <w:pStyle w:val="null3"/>
              <w:ind w:firstLine="480"/>
              <w:jc w:val="both"/>
            </w:pPr>
            <w:r>
              <w:rPr>
                <w:rFonts w:ascii="仿宋_GB2312" w:hAnsi="仿宋_GB2312" w:cs="仿宋_GB2312" w:eastAsia="仿宋_GB2312"/>
                <w:sz w:val="21"/>
              </w:rPr>
              <w:t>（一）工作内容</w:t>
            </w:r>
          </w:p>
          <w:p>
            <w:pPr>
              <w:pStyle w:val="null3"/>
              <w:ind w:firstLine="480"/>
              <w:jc w:val="both"/>
            </w:pPr>
            <w:r>
              <w:rPr>
                <w:rFonts w:ascii="仿宋_GB2312" w:hAnsi="仿宋_GB2312" w:cs="仿宋_GB2312" w:eastAsia="仿宋_GB2312"/>
                <w:sz w:val="21"/>
              </w:rPr>
              <w:t>对陕西省备案区块链信息服务进行查验，查验工作须围绕备案信息一致性、用户管理与信息内容合规性、技术安全保障能力等维度开展，将查验结果以书面形式报省委网信办。</w:t>
            </w:r>
          </w:p>
          <w:p>
            <w:pPr>
              <w:pStyle w:val="null3"/>
              <w:ind w:firstLine="480"/>
              <w:jc w:val="both"/>
            </w:pPr>
            <w:r>
              <w:rPr>
                <w:rFonts w:ascii="仿宋_GB2312" w:hAnsi="仿宋_GB2312" w:cs="仿宋_GB2312" w:eastAsia="仿宋_GB2312"/>
                <w:sz w:val="21"/>
              </w:rPr>
              <w:t>（二）工作要求</w:t>
            </w:r>
          </w:p>
          <w:p>
            <w:pPr>
              <w:pStyle w:val="null3"/>
              <w:ind w:firstLine="480"/>
              <w:jc w:val="both"/>
            </w:pPr>
            <w:r>
              <w:rPr>
                <w:rFonts w:ascii="仿宋_GB2312" w:hAnsi="仿宋_GB2312" w:cs="仿宋_GB2312" w:eastAsia="仿宋_GB2312"/>
                <w:sz w:val="21"/>
              </w:rPr>
              <w:t>严格依法依规查验。遵守查验时限，按照采购人规定的时限完成相关工作。</w:t>
            </w:r>
          </w:p>
          <w:p>
            <w:pPr>
              <w:pStyle w:val="null3"/>
              <w:ind w:firstLine="480"/>
              <w:jc w:val="both"/>
            </w:pPr>
            <w:r>
              <w:rPr>
                <w:rFonts w:ascii="仿宋_GB2312" w:hAnsi="仿宋_GB2312" w:cs="仿宋_GB2312" w:eastAsia="仿宋_GB2312"/>
                <w:sz w:val="21"/>
              </w:rPr>
              <w:t>四、其他事项</w:t>
            </w:r>
          </w:p>
          <w:p>
            <w:pPr>
              <w:pStyle w:val="null3"/>
              <w:ind w:firstLine="480"/>
              <w:jc w:val="left"/>
            </w:pPr>
            <w:r>
              <w:rPr>
                <w:rFonts w:ascii="仿宋_GB2312" w:hAnsi="仿宋_GB2312" w:cs="仿宋_GB2312" w:eastAsia="仿宋_GB2312"/>
                <w:sz w:val="21"/>
              </w:rPr>
              <w:t>（一）按月将各项工作成果汇总后，出具正式报告报采购人审定。</w:t>
            </w:r>
          </w:p>
          <w:p>
            <w:pPr>
              <w:pStyle w:val="null3"/>
              <w:ind w:firstLine="480"/>
              <w:jc w:val="both"/>
            </w:pPr>
            <w:r>
              <w:rPr>
                <w:rFonts w:ascii="仿宋_GB2312" w:hAnsi="仿宋_GB2312" w:cs="仿宋_GB2312" w:eastAsia="仿宋_GB2312"/>
                <w:sz w:val="21"/>
              </w:rPr>
              <w:t>（二）依据采购人要求保守工作秘密，严谨外传各项工作数据。</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供应商应该按照项目的需求配备合理的人员，确保项目实施质量。</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供应商应该按照项目的需求配备合理的设施设备，确保项目实施质量。</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其他，合同生效、乙方完成项目进场对接后，达到付款条件起15个工作日内，支付合同总金额的100.0%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符合国家、地方、行业相关合格标准及采购人要求</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1.甲方违约责任：甲方无正当理由逾期付款的，经乙方书面催告且15日催告期满后每逾期一日，按应付未付款项的 0.05% 向乙方支付违约金，违约金累计总额不超过合同总价的 5%； 2.乙方逾期履约违约：乙方未按约定时间交付成果、完成服务的，每逾期一日，按合同总价 0.05% 支付违约金；逾期超过 30 日的，甲方有权单方解除合同，乙方须全额退还甲方已支付款项，并赔偿甲方经济损失； 3.服务质量违约：乙方服务成果多次整改仍无法达到验收标准、不符合国家合规要求、无法满足监管核查需求的，甲方有权解除合同，乙方退还全部已付款，并按合同总价 10% 支付违约金； 4.转包分包违约：乙方存在转包、违法分包行为的，甲方立即终止合同，乙方支付合同总价 15% 违约金，并承担全部损失； 5.泄密及侵权违约：乙方违反保密约定、知识产权约定的，承担全部法律责任与经济损失，甲方有权终止合同并追责。乙方应向甲方支付合同总价 15% 违约金，并承担全部损失。 （二）解决争议的方法 本合同履行过程中发生的一切争议、纠纷，甲乙双方优先友好协商解决；协商不成的，提交甲方所在地人民法院诉讼解决。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本项目采购标的所属行业为：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二、成交供应商在领取成交通知书前，须向采购代理机构提供纸质版响应文件2套，且提供的响应文件必须与在陕西省政府采购综合管理平台的项目电子化交易系统中递交的电子响应文件内容一致，纸质版响应文件必须装订成册签字盖章。三、根据《陕西省财政厅关于持续优化政府采购营商环境有关事项的通知》（陕财办采〔2024〕9 号）文件的通知，采购人在中标（成交）通知书发出之日起 25 日内，按照采购文件确定的事项与中标（成交）供应商签订政府采购合同。四、如采购文件中融资相关内容与新政策要求有出入，按照最新要求执行。五、依据《关于推动解决政府采购异常低价问题的通知》（财库〔2026〕2号），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六、本项目落实的政府采购政策：（1）《政府采购促进中小企业发展管理办法》（财库〔2020〕46号）；（2）《财政部、司法部关于政府采购支持监狱企业发展有关问题的通知》（财库〔2014〕68号）；（3）《关于促进残疾人就业政府采购政策的通知》（财库〔2017〕141号）；（4）《陕西省中小企业政府采购信用融资办法》（陕财办采〔2018〕23号）；（5）《国务院办公厅关于建立政府强制采购节能产品制度的通知》（国办发〔2007〕51号）；（6）《财政部、国家发展改革委、生态环境部、市场监管总局关于调整优化节能产品、环境标志产品政府采购执行机制的通知》（财库[2019]9号）；（7）《财政部关于印发&lt;进口产品管理办法&gt;的通知》（财库[2007]119号）；（8）《财政部办公厅关于政府采购进口产品管理有关问题的通知》（财办库[2008]248号）；（9）《关于进一步加大政府采购支持中小企业力度的通知》（财库〔2022〕19号）；（10）《国务院办公厅关于在政府采购中实施本国产品标准及相关政策的通知》（国办发〔2025〕34号）；（11）其他需要落实的政府采购政策。七、本项目为持续性服务类采购项目，为保障服务连续性、稳定性，采购人有权根据项目年度履约考核结果、财政预算批复情况、服务实际需要，对本项目合同进行限期续签，续签规定详见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（1）供应商的营业执照等证明文件，自然人提供身份证明； （2）供应商应提供健全的财务会计制度：提供2024年度或2025年度经审计的供应商财务会计报告或者提供递交响应文件截止时间前3个月内其基本账户开户银行出具的资信证明； （3）税收缴纳证明：提供供应商自递交响应文件截止时间前1年以来已缴纳任意时段完税凭证或税务机关开具的完税证明（任意税种）；依法免税的应提供相关文件证明； （4）社会保障资金缴纳证明：提供供应商自递交响应文件截止时间前1年以来已缴存的任意时段的社会保障资金缴存单据或社保机构开具的社会保险参保缴费情况证明；依法不需要缴纳社会保障资金的供应商应提供相关文件证明； （5）提供供应商具备履行合同所必需的设备和专业技术能力承诺函； （6）供应商参加本次递交响应文件截止时间前3年内，在经营活动中没有重大违法记录的书面声明； （7）供应商不得被“信用中国”网站（www.creditchina.gov.cn）和中国政府采购网站（www.ccgp.gov.cn）列入失信被执行人、重大税收违法案件当事人名单、政府采购严重违法失信行为记录名单（此项由采购代理机构现场查询）；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供应商特定资格要求</w:t>
            </w:r>
          </w:p>
        </w:tc>
        <w:tc>
          <w:tcPr>
            <w:tcW w:type="dxa" w:w="3322"/>
          </w:tcPr>
          <w:p>
            <w:pPr>
              <w:pStyle w:val="null3"/>
            </w:pPr>
            <w:r>
              <w:rPr>
                <w:rFonts w:ascii="仿宋_GB2312" w:hAnsi="仿宋_GB2312" w:cs="仿宋_GB2312" w:eastAsia="仿宋_GB2312"/>
              </w:rPr>
              <w:t>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投标人按照招标文件要求上传响应文件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投标人按照采购文件要求上传响应文件</w:t>
            </w:r>
          </w:p>
        </w:tc>
        <w:tc>
          <w:tcPr>
            <w:tcW w:type="dxa" w:w="1661"/>
          </w:tcPr>
          <w:p>
            <w:pPr>
              <w:pStyle w:val="null3"/>
            </w:pPr>
            <w:r>
              <w:rPr>
                <w:rFonts w:ascii="仿宋_GB2312" w:hAnsi="仿宋_GB2312" w:cs="仿宋_GB2312" w:eastAsia="仿宋_GB2312"/>
              </w:rPr>
              <w:t>服务内容及商务要求应答表.docx 分项报价表.docx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法定代表人（单位负责人）身份证明或委托授权书</w:t>
            </w:r>
          </w:p>
        </w:tc>
        <w:tc>
          <w:tcPr>
            <w:tcW w:type="dxa" w:w="3322"/>
          </w:tcPr>
          <w:p>
            <w:pPr>
              <w:pStyle w:val="null3"/>
            </w:pPr>
            <w:r>
              <w:rPr>
                <w:rFonts w:ascii="仿宋_GB2312" w:hAnsi="仿宋_GB2312" w:cs="仿宋_GB2312" w:eastAsia="仿宋_GB2312"/>
              </w:rPr>
              <w:t>法定代表人（单位负责人）参加单一来源协商的，提供法定代表人（单位负责人）身份证明；法定代表人（单位负责人）授权他人参加单一来源协商的，提供法定代表人（单位负责人）委托授权书</w:t>
            </w:r>
          </w:p>
        </w:tc>
        <w:tc>
          <w:tcPr>
            <w:tcW w:type="dxa" w:w="1661"/>
          </w:tcPr>
          <w:p>
            <w:pPr>
              <w:pStyle w:val="null3"/>
            </w:pPr>
            <w:r>
              <w:rPr>
                <w:rFonts w:ascii="仿宋_GB2312" w:hAnsi="仿宋_GB2312" w:cs="仿宋_GB2312" w:eastAsia="仿宋_GB2312"/>
              </w:rPr>
              <w:t>法定代表人（单位负责人）身份证明或委托授权书.docx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其他符合性审查</w:t>
            </w:r>
          </w:p>
        </w:tc>
        <w:tc>
          <w:tcPr>
            <w:tcW w:type="dxa" w:w="3322"/>
          </w:tcPr>
          <w:p>
            <w:pPr>
              <w:pStyle w:val="null3"/>
            </w:pPr>
            <w:r>
              <w:rPr>
                <w:rFonts w:ascii="仿宋_GB2312" w:hAnsi="仿宋_GB2312" w:cs="仿宋_GB2312" w:eastAsia="仿宋_GB2312"/>
              </w:rPr>
              <w:t>1、响应有效期达到采购文件要求；2、供应商的响应报价（总价、单价、及各学校总价）均不得超出采购文件最高限价中对应的金额；3、其他实质性要求须符合法律、法规和采购文件中的规定；4、响应文件的签署、盖章须按采购文件要求；5、响应文件中合同条款未出现负偏离且文件的内容中未附有采购人不能接受的附加条件；6、响应文件格式符合采购文件的要求。</w:t>
            </w:r>
          </w:p>
        </w:tc>
        <w:tc>
          <w:tcPr>
            <w:tcW w:type="dxa" w:w="1661"/>
          </w:tcPr>
          <w:p>
            <w:pPr>
              <w:pStyle w:val="null3"/>
            </w:pPr>
            <w:r>
              <w:rPr>
                <w:rFonts w:ascii="仿宋_GB2312" w:hAnsi="仿宋_GB2312" w:cs="仿宋_GB2312" w:eastAsia="仿宋_GB2312"/>
              </w:rPr>
              <w:t>响应文件封面 服务内容及商务要求应答表.docx 分项报价表.docx 标的清单 报价表 响应函 服务方案.docx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详见附件：法定代表人（单位负责人）身份证明或委托授权书.docx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详见附件：服务内容及商务要求应答表.docx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详见附件：V2-拟签订的采购合同文本.docx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