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FDC624">
      <w:pPr>
        <w:pStyle w:val="19"/>
        <w:jc w:val="center"/>
        <w:outlineLvl w:val="0"/>
        <w:rPr>
          <w:rFonts w:ascii="宋体" w:hAnsi="宋体" w:eastAsia="宋体" w:cs="宋体"/>
        </w:rPr>
      </w:pPr>
      <w:bookmarkStart w:id="0" w:name="_Toc26687"/>
      <w:r>
        <w:rPr>
          <w:rFonts w:ascii="宋体" w:hAnsi="宋体" w:eastAsia="宋体" w:cs="宋体"/>
          <w:b/>
          <w:sz w:val="36"/>
        </w:rPr>
        <w:t>合同文本</w:t>
      </w:r>
      <w:bookmarkEnd w:id="0"/>
    </w:p>
    <w:p w14:paraId="664E3972">
      <w:pPr>
        <w:wordWrap/>
        <w:autoSpaceDE/>
        <w:autoSpaceDN/>
        <w:snapToGrid w:val="0"/>
        <w:spacing w:before="156" w:beforeLines="50" w:line="360" w:lineRule="auto"/>
        <w:ind w:firstLine="5431" w:firstLineChars="2576"/>
        <w:rPr>
          <w:rFonts w:hint="eastAsia" w:ascii="宋体" w:hAnsi="宋体" w:eastAsia="宋体" w:cs="宋体"/>
          <w:b/>
          <w:color w:val="000000"/>
          <w:sz w:val="21"/>
          <w:szCs w:val="21"/>
          <w:lang w:eastAsia="zh-CN"/>
        </w:rPr>
      </w:pPr>
    </w:p>
    <w:p w14:paraId="46C789B3">
      <w:pPr>
        <w:wordWrap/>
        <w:autoSpaceDE/>
        <w:autoSpaceDN/>
        <w:adjustRightInd w:val="0"/>
        <w:snapToGrid w:val="0"/>
        <w:jc w:val="center"/>
        <w:outlineLvl w:val="9"/>
        <w:rPr>
          <w:rFonts w:hint="eastAsia" w:ascii="宋体" w:hAnsi="宋体" w:eastAsia="宋体" w:cs="宋体"/>
          <w:color w:val="auto"/>
          <w:sz w:val="36"/>
          <w:szCs w:val="36"/>
          <w:lang w:eastAsia="zh-CN"/>
        </w:rPr>
      </w:pPr>
      <w:r>
        <w:rPr>
          <w:rFonts w:hint="eastAsia" w:ascii="宋体" w:hAnsi="宋体" w:eastAsia="宋体" w:cs="宋体"/>
          <w:color w:val="auto"/>
          <w:sz w:val="36"/>
          <w:szCs w:val="36"/>
          <w:lang w:eastAsia="zh-CN"/>
        </w:rPr>
        <w:t>仪器设备类采购合同示范文本</w:t>
      </w:r>
    </w:p>
    <w:p w14:paraId="5BD01458">
      <w:pPr>
        <w:wordWrap/>
        <w:autoSpaceDE/>
        <w:autoSpaceDN/>
        <w:spacing w:line="480" w:lineRule="exact"/>
        <w:ind w:firstLine="480" w:firstLineChars="200"/>
        <w:outlineLvl w:val="9"/>
        <w:rPr>
          <w:rFonts w:hint="eastAsia" w:ascii="宋体" w:hAnsi="宋体" w:eastAsia="宋体" w:cs="宋体"/>
          <w:color w:val="auto"/>
          <w:sz w:val="24"/>
          <w:szCs w:val="22"/>
          <w:lang w:eastAsia="zh-CN"/>
        </w:rPr>
      </w:pPr>
    </w:p>
    <w:p w14:paraId="3CF0FB4C">
      <w:pPr>
        <w:wordWrap/>
        <w:autoSpaceDE/>
        <w:autoSpaceDN/>
        <w:spacing w:line="48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u w:val="single"/>
          <w:lang w:eastAsia="zh-CN"/>
        </w:rPr>
        <w:t xml:space="preserve">  西安建筑科技大学   </w:t>
      </w:r>
    </w:p>
    <w:p w14:paraId="1E99E305">
      <w:pPr>
        <w:wordWrap/>
        <w:autoSpaceDE/>
        <w:autoSpaceDN/>
        <w:spacing w:line="48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u w:val="single"/>
          <w:lang w:eastAsia="zh-CN"/>
        </w:rPr>
        <w:t xml:space="preserve">                     </w:t>
      </w:r>
    </w:p>
    <w:p w14:paraId="673E088E">
      <w:pPr>
        <w:wordWrap/>
        <w:autoSpaceDE/>
        <w:autoSpaceDN/>
        <w:spacing w:line="480" w:lineRule="exact"/>
        <w:ind w:firstLine="480" w:firstLineChars="200"/>
        <w:outlineLvl w:val="9"/>
        <w:rPr>
          <w:rFonts w:hint="eastAsia" w:ascii="宋体" w:hAnsi="宋体" w:eastAsia="宋体" w:cs="宋体"/>
          <w:color w:val="auto"/>
          <w:sz w:val="24"/>
          <w:szCs w:val="22"/>
          <w:lang w:eastAsia="zh-CN"/>
        </w:rPr>
      </w:pPr>
    </w:p>
    <w:p w14:paraId="00665E2E">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依据《中华人民共和国政府采购法》《中华人民共和国民法典》等相关法律法规，以及</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项目的采购结果，乙方为成交（中标）人。现经甲乙双方协商一致，签订本合同。详细技术说明及其他有关合同货物的特定信息等由合同附件予以说明，所有附件及本项目的招标文件、投标文件等均为本合同不可分割之一部分。</w:t>
      </w:r>
    </w:p>
    <w:p w14:paraId="7B8FE0FE">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一、合同标的</w:t>
      </w:r>
    </w:p>
    <w:p w14:paraId="66D7065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1.标的明细清单</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805"/>
        <w:gridCol w:w="1980"/>
        <w:gridCol w:w="886"/>
        <w:gridCol w:w="985"/>
        <w:gridCol w:w="984"/>
        <w:gridCol w:w="978"/>
        <w:gridCol w:w="580"/>
      </w:tblGrid>
      <w:tr w14:paraId="29F31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noWrap/>
            <w:tcMar>
              <w:top w:w="20" w:type="dxa"/>
              <w:left w:w="20" w:type="dxa"/>
              <w:bottom w:w="0" w:type="dxa"/>
              <w:right w:w="20" w:type="dxa"/>
            </w:tcMar>
            <w:vAlign w:val="center"/>
          </w:tcPr>
          <w:p w14:paraId="41F30D35">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序号</w:t>
            </w:r>
          </w:p>
        </w:tc>
        <w:tc>
          <w:tcPr>
            <w:tcW w:w="1805" w:type="dxa"/>
            <w:noWrap/>
            <w:tcMar>
              <w:top w:w="20" w:type="dxa"/>
              <w:left w:w="20" w:type="dxa"/>
              <w:bottom w:w="0" w:type="dxa"/>
              <w:right w:w="20" w:type="dxa"/>
            </w:tcMar>
            <w:vAlign w:val="center"/>
          </w:tcPr>
          <w:p w14:paraId="6B17DC28">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设备名称</w:t>
            </w:r>
          </w:p>
        </w:tc>
        <w:tc>
          <w:tcPr>
            <w:tcW w:w="1980" w:type="dxa"/>
            <w:noWrap/>
            <w:tcMar>
              <w:top w:w="20" w:type="dxa"/>
              <w:left w:w="20" w:type="dxa"/>
              <w:bottom w:w="0" w:type="dxa"/>
              <w:right w:w="20" w:type="dxa"/>
            </w:tcMar>
            <w:vAlign w:val="center"/>
          </w:tcPr>
          <w:p w14:paraId="445562C5">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品牌、规格、型号</w:t>
            </w:r>
          </w:p>
        </w:tc>
        <w:tc>
          <w:tcPr>
            <w:tcW w:w="886" w:type="dxa"/>
            <w:noWrap/>
            <w:tcMar>
              <w:top w:w="20" w:type="dxa"/>
              <w:left w:w="20" w:type="dxa"/>
              <w:bottom w:w="0" w:type="dxa"/>
              <w:right w:w="20" w:type="dxa"/>
            </w:tcMar>
            <w:vAlign w:val="center"/>
          </w:tcPr>
          <w:p w14:paraId="391CCC9D">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数量</w:t>
            </w:r>
          </w:p>
          <w:p w14:paraId="7EC7710B">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（台、套）</w:t>
            </w:r>
          </w:p>
        </w:tc>
        <w:tc>
          <w:tcPr>
            <w:tcW w:w="985" w:type="dxa"/>
            <w:noWrap/>
            <w:tcMar>
              <w:top w:w="20" w:type="dxa"/>
              <w:left w:w="20" w:type="dxa"/>
              <w:bottom w:w="0" w:type="dxa"/>
              <w:right w:w="20" w:type="dxa"/>
            </w:tcMar>
            <w:vAlign w:val="center"/>
          </w:tcPr>
          <w:p w14:paraId="049F29DF">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单价</w:t>
            </w:r>
          </w:p>
          <w:p w14:paraId="01FF9285">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(万元)</w:t>
            </w:r>
          </w:p>
        </w:tc>
        <w:tc>
          <w:tcPr>
            <w:tcW w:w="984" w:type="dxa"/>
            <w:noWrap/>
            <w:tcMar>
              <w:top w:w="20" w:type="dxa"/>
              <w:left w:w="20" w:type="dxa"/>
              <w:bottom w:w="0" w:type="dxa"/>
              <w:right w:w="20" w:type="dxa"/>
            </w:tcMar>
            <w:vAlign w:val="center"/>
          </w:tcPr>
          <w:p w14:paraId="35373C6B">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合计</w:t>
            </w:r>
          </w:p>
          <w:p w14:paraId="44330E68">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（万元）</w:t>
            </w:r>
          </w:p>
        </w:tc>
        <w:tc>
          <w:tcPr>
            <w:tcW w:w="978" w:type="dxa"/>
            <w:noWrap/>
            <w:vAlign w:val="center"/>
          </w:tcPr>
          <w:p w14:paraId="16D5F406">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生产商</w:t>
            </w:r>
          </w:p>
        </w:tc>
        <w:tc>
          <w:tcPr>
            <w:tcW w:w="580" w:type="dxa"/>
            <w:noWrap/>
            <w:tcMar>
              <w:top w:w="20" w:type="dxa"/>
              <w:left w:w="20" w:type="dxa"/>
              <w:bottom w:w="0" w:type="dxa"/>
              <w:right w:w="20" w:type="dxa"/>
            </w:tcMar>
            <w:vAlign w:val="center"/>
          </w:tcPr>
          <w:p w14:paraId="55F00C92">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备注</w:t>
            </w:r>
          </w:p>
        </w:tc>
      </w:tr>
      <w:tr w14:paraId="4778C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noWrap/>
            <w:tcMar>
              <w:top w:w="20" w:type="dxa"/>
              <w:left w:w="20" w:type="dxa"/>
              <w:bottom w:w="0" w:type="dxa"/>
              <w:right w:w="20" w:type="dxa"/>
            </w:tcMar>
            <w:vAlign w:val="center"/>
          </w:tcPr>
          <w:p w14:paraId="0A3586B6">
            <w:pPr>
              <w:wordWrap/>
              <w:autoSpaceDE/>
              <w:autoSpaceDN/>
              <w:spacing w:line="360" w:lineRule="auto"/>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w:t>
            </w:r>
          </w:p>
        </w:tc>
        <w:tc>
          <w:tcPr>
            <w:tcW w:w="1805" w:type="dxa"/>
            <w:noWrap/>
            <w:tcMar>
              <w:top w:w="20" w:type="dxa"/>
              <w:left w:w="20" w:type="dxa"/>
              <w:bottom w:w="0" w:type="dxa"/>
              <w:right w:w="20" w:type="dxa"/>
            </w:tcMar>
            <w:vAlign w:val="center"/>
          </w:tcPr>
          <w:p w14:paraId="5602A21A">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1980" w:type="dxa"/>
            <w:noWrap/>
            <w:tcMar>
              <w:top w:w="20" w:type="dxa"/>
              <w:left w:w="20" w:type="dxa"/>
              <w:bottom w:w="0" w:type="dxa"/>
              <w:right w:w="20" w:type="dxa"/>
            </w:tcMar>
            <w:vAlign w:val="center"/>
          </w:tcPr>
          <w:p w14:paraId="41E78247">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886" w:type="dxa"/>
            <w:noWrap/>
            <w:tcMar>
              <w:top w:w="20" w:type="dxa"/>
              <w:left w:w="20" w:type="dxa"/>
              <w:bottom w:w="0" w:type="dxa"/>
              <w:right w:w="20" w:type="dxa"/>
            </w:tcMar>
            <w:vAlign w:val="center"/>
          </w:tcPr>
          <w:p w14:paraId="64B56D4C">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85" w:type="dxa"/>
            <w:noWrap/>
            <w:tcMar>
              <w:top w:w="20" w:type="dxa"/>
              <w:left w:w="20" w:type="dxa"/>
              <w:bottom w:w="0" w:type="dxa"/>
              <w:right w:w="20" w:type="dxa"/>
            </w:tcMar>
            <w:vAlign w:val="center"/>
          </w:tcPr>
          <w:p w14:paraId="6AF714C6">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84" w:type="dxa"/>
            <w:noWrap/>
            <w:tcMar>
              <w:top w:w="20" w:type="dxa"/>
              <w:left w:w="20" w:type="dxa"/>
              <w:bottom w:w="0" w:type="dxa"/>
              <w:right w:w="20" w:type="dxa"/>
            </w:tcMar>
            <w:vAlign w:val="center"/>
          </w:tcPr>
          <w:p w14:paraId="2BEDA27C">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78" w:type="dxa"/>
            <w:noWrap/>
            <w:vAlign w:val="center"/>
          </w:tcPr>
          <w:p w14:paraId="2635BC1E">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580" w:type="dxa"/>
            <w:noWrap/>
            <w:tcMar>
              <w:top w:w="20" w:type="dxa"/>
              <w:left w:w="20" w:type="dxa"/>
              <w:bottom w:w="0" w:type="dxa"/>
              <w:right w:w="20" w:type="dxa"/>
            </w:tcMar>
            <w:vAlign w:val="center"/>
          </w:tcPr>
          <w:p w14:paraId="277513B2">
            <w:pPr>
              <w:wordWrap/>
              <w:autoSpaceDE/>
              <w:autoSpaceDN/>
              <w:spacing w:line="360" w:lineRule="auto"/>
              <w:jc w:val="center"/>
              <w:outlineLvl w:val="9"/>
              <w:rPr>
                <w:rFonts w:hint="eastAsia" w:ascii="宋体" w:hAnsi="宋体" w:eastAsia="宋体" w:cs="宋体"/>
                <w:color w:val="auto"/>
                <w:sz w:val="21"/>
                <w:szCs w:val="21"/>
                <w:lang w:eastAsia="zh-CN"/>
              </w:rPr>
            </w:pPr>
          </w:p>
        </w:tc>
      </w:tr>
      <w:tr w14:paraId="4C5C5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noWrap/>
            <w:tcMar>
              <w:top w:w="20" w:type="dxa"/>
              <w:left w:w="20" w:type="dxa"/>
              <w:bottom w:w="0" w:type="dxa"/>
              <w:right w:w="20" w:type="dxa"/>
            </w:tcMar>
            <w:vAlign w:val="center"/>
          </w:tcPr>
          <w:p w14:paraId="04CF0DCF">
            <w:pPr>
              <w:wordWrap/>
              <w:autoSpaceDE/>
              <w:autoSpaceDN/>
              <w:spacing w:line="360" w:lineRule="auto"/>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w:t>
            </w:r>
          </w:p>
        </w:tc>
        <w:tc>
          <w:tcPr>
            <w:tcW w:w="1805" w:type="dxa"/>
            <w:noWrap/>
            <w:tcMar>
              <w:top w:w="20" w:type="dxa"/>
              <w:left w:w="20" w:type="dxa"/>
              <w:bottom w:w="0" w:type="dxa"/>
              <w:right w:w="20" w:type="dxa"/>
            </w:tcMar>
            <w:vAlign w:val="center"/>
          </w:tcPr>
          <w:p w14:paraId="324E6344">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1980" w:type="dxa"/>
            <w:noWrap/>
            <w:tcMar>
              <w:top w:w="20" w:type="dxa"/>
              <w:left w:w="20" w:type="dxa"/>
              <w:bottom w:w="0" w:type="dxa"/>
              <w:right w:w="20" w:type="dxa"/>
            </w:tcMar>
            <w:vAlign w:val="center"/>
          </w:tcPr>
          <w:p w14:paraId="58A53A19">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886" w:type="dxa"/>
            <w:noWrap/>
            <w:tcMar>
              <w:top w:w="20" w:type="dxa"/>
              <w:left w:w="20" w:type="dxa"/>
              <w:bottom w:w="0" w:type="dxa"/>
              <w:right w:w="20" w:type="dxa"/>
            </w:tcMar>
            <w:vAlign w:val="center"/>
          </w:tcPr>
          <w:p w14:paraId="1540C2C1">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85" w:type="dxa"/>
            <w:noWrap/>
            <w:tcMar>
              <w:top w:w="20" w:type="dxa"/>
              <w:left w:w="20" w:type="dxa"/>
              <w:bottom w:w="0" w:type="dxa"/>
              <w:right w:w="20" w:type="dxa"/>
            </w:tcMar>
            <w:vAlign w:val="center"/>
          </w:tcPr>
          <w:p w14:paraId="108FA9DC">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84" w:type="dxa"/>
            <w:noWrap/>
            <w:tcMar>
              <w:top w:w="20" w:type="dxa"/>
              <w:left w:w="20" w:type="dxa"/>
              <w:bottom w:w="0" w:type="dxa"/>
              <w:right w:w="20" w:type="dxa"/>
            </w:tcMar>
            <w:vAlign w:val="center"/>
          </w:tcPr>
          <w:p w14:paraId="64F1C913">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78" w:type="dxa"/>
            <w:noWrap/>
            <w:vAlign w:val="center"/>
          </w:tcPr>
          <w:p w14:paraId="252A6A87">
            <w:pPr>
              <w:wordWrap/>
              <w:autoSpaceDE/>
              <w:autoSpaceDN/>
              <w:spacing w:line="360" w:lineRule="auto"/>
              <w:jc w:val="center"/>
              <w:outlineLvl w:val="9"/>
              <w:rPr>
                <w:rFonts w:hint="eastAsia" w:ascii="宋体" w:hAnsi="宋体" w:eastAsia="宋体" w:cs="宋体"/>
                <w:color w:val="auto"/>
                <w:kern w:val="0"/>
                <w:sz w:val="21"/>
                <w:szCs w:val="21"/>
                <w:lang w:eastAsia="zh-CN"/>
              </w:rPr>
            </w:pPr>
          </w:p>
        </w:tc>
        <w:tc>
          <w:tcPr>
            <w:tcW w:w="580" w:type="dxa"/>
            <w:noWrap/>
            <w:tcMar>
              <w:top w:w="20" w:type="dxa"/>
              <w:left w:w="20" w:type="dxa"/>
              <w:bottom w:w="0" w:type="dxa"/>
              <w:right w:w="20" w:type="dxa"/>
            </w:tcMar>
            <w:vAlign w:val="center"/>
          </w:tcPr>
          <w:p w14:paraId="1975D536">
            <w:pPr>
              <w:wordWrap/>
              <w:autoSpaceDE/>
              <w:autoSpaceDN/>
              <w:spacing w:line="360" w:lineRule="auto"/>
              <w:jc w:val="center"/>
              <w:outlineLvl w:val="9"/>
              <w:rPr>
                <w:rFonts w:hint="eastAsia" w:ascii="宋体" w:hAnsi="宋体" w:eastAsia="宋体" w:cs="宋体"/>
                <w:color w:val="auto"/>
                <w:sz w:val="21"/>
                <w:szCs w:val="21"/>
                <w:lang w:eastAsia="zh-CN"/>
              </w:rPr>
            </w:pPr>
          </w:p>
        </w:tc>
      </w:tr>
      <w:tr w14:paraId="35CE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noWrap/>
            <w:tcMar>
              <w:top w:w="20" w:type="dxa"/>
              <w:left w:w="20" w:type="dxa"/>
              <w:bottom w:w="0" w:type="dxa"/>
              <w:right w:w="20" w:type="dxa"/>
            </w:tcMar>
            <w:vAlign w:val="center"/>
          </w:tcPr>
          <w:p w14:paraId="6D0BCFAB">
            <w:pPr>
              <w:wordWrap/>
              <w:autoSpaceDE/>
              <w:autoSpaceDN/>
              <w:spacing w:line="360" w:lineRule="auto"/>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w:t>
            </w:r>
          </w:p>
        </w:tc>
        <w:tc>
          <w:tcPr>
            <w:tcW w:w="1805" w:type="dxa"/>
            <w:noWrap/>
            <w:tcMar>
              <w:top w:w="20" w:type="dxa"/>
              <w:left w:w="20" w:type="dxa"/>
              <w:bottom w:w="0" w:type="dxa"/>
              <w:right w:w="20" w:type="dxa"/>
            </w:tcMar>
            <w:vAlign w:val="center"/>
          </w:tcPr>
          <w:p w14:paraId="33B44464">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1980" w:type="dxa"/>
            <w:noWrap/>
            <w:tcMar>
              <w:top w:w="20" w:type="dxa"/>
              <w:left w:w="20" w:type="dxa"/>
              <w:bottom w:w="0" w:type="dxa"/>
              <w:right w:w="20" w:type="dxa"/>
            </w:tcMar>
            <w:vAlign w:val="center"/>
          </w:tcPr>
          <w:p w14:paraId="0ABA9D9C">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886" w:type="dxa"/>
            <w:noWrap/>
            <w:tcMar>
              <w:top w:w="20" w:type="dxa"/>
              <w:left w:w="20" w:type="dxa"/>
              <w:bottom w:w="0" w:type="dxa"/>
              <w:right w:w="20" w:type="dxa"/>
            </w:tcMar>
            <w:vAlign w:val="center"/>
          </w:tcPr>
          <w:p w14:paraId="40A32995">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85" w:type="dxa"/>
            <w:noWrap/>
            <w:tcMar>
              <w:top w:w="20" w:type="dxa"/>
              <w:left w:w="20" w:type="dxa"/>
              <w:bottom w:w="0" w:type="dxa"/>
              <w:right w:w="20" w:type="dxa"/>
            </w:tcMar>
            <w:vAlign w:val="center"/>
          </w:tcPr>
          <w:p w14:paraId="1919F7A2">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84" w:type="dxa"/>
            <w:noWrap/>
            <w:tcMar>
              <w:top w:w="20" w:type="dxa"/>
              <w:left w:w="20" w:type="dxa"/>
              <w:bottom w:w="0" w:type="dxa"/>
              <w:right w:w="20" w:type="dxa"/>
            </w:tcMar>
            <w:vAlign w:val="center"/>
          </w:tcPr>
          <w:p w14:paraId="3B8D1CBF">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78" w:type="dxa"/>
            <w:noWrap/>
            <w:vAlign w:val="center"/>
          </w:tcPr>
          <w:p w14:paraId="7F313579">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580" w:type="dxa"/>
            <w:noWrap/>
            <w:tcMar>
              <w:top w:w="20" w:type="dxa"/>
              <w:left w:w="20" w:type="dxa"/>
              <w:bottom w:w="0" w:type="dxa"/>
              <w:right w:w="20" w:type="dxa"/>
            </w:tcMar>
            <w:vAlign w:val="center"/>
          </w:tcPr>
          <w:p w14:paraId="1258F43E">
            <w:pPr>
              <w:wordWrap/>
              <w:autoSpaceDE/>
              <w:autoSpaceDN/>
              <w:spacing w:line="360" w:lineRule="auto"/>
              <w:jc w:val="center"/>
              <w:outlineLvl w:val="9"/>
              <w:rPr>
                <w:rFonts w:hint="eastAsia" w:ascii="宋体" w:hAnsi="宋体" w:eastAsia="宋体" w:cs="宋体"/>
                <w:color w:val="auto"/>
                <w:sz w:val="21"/>
                <w:szCs w:val="21"/>
                <w:lang w:eastAsia="zh-CN"/>
              </w:rPr>
            </w:pPr>
          </w:p>
        </w:tc>
      </w:tr>
      <w:tr w14:paraId="02C05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restart"/>
            <w:noWrap/>
            <w:tcMar>
              <w:top w:w="20" w:type="dxa"/>
              <w:left w:w="20" w:type="dxa"/>
              <w:bottom w:w="0" w:type="dxa"/>
              <w:right w:w="20" w:type="dxa"/>
            </w:tcMar>
            <w:vAlign w:val="center"/>
          </w:tcPr>
          <w:p w14:paraId="351B2A2B">
            <w:pPr>
              <w:wordWrap/>
              <w:autoSpaceDE/>
              <w:autoSpaceDN/>
              <w:spacing w:line="360" w:lineRule="auto"/>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合同金额(元)</w:t>
            </w:r>
          </w:p>
        </w:tc>
        <w:tc>
          <w:tcPr>
            <w:tcW w:w="4413" w:type="dxa"/>
            <w:gridSpan w:val="5"/>
            <w:noWrap/>
            <w:tcMar>
              <w:top w:w="20" w:type="dxa"/>
              <w:left w:w="20" w:type="dxa"/>
              <w:bottom w:w="0" w:type="dxa"/>
              <w:right w:w="20" w:type="dxa"/>
            </w:tcMar>
            <w:vAlign w:val="center"/>
          </w:tcPr>
          <w:p w14:paraId="2154CC27">
            <w:pPr>
              <w:wordWrap/>
              <w:autoSpaceDE/>
              <w:autoSpaceDN/>
              <w:spacing w:line="360" w:lineRule="auto"/>
              <w:jc w:val="left"/>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大写： </w:t>
            </w:r>
          </w:p>
        </w:tc>
      </w:tr>
      <w:tr w14:paraId="04B2E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continue"/>
            <w:noWrap/>
            <w:tcMar>
              <w:top w:w="20" w:type="dxa"/>
              <w:left w:w="20" w:type="dxa"/>
              <w:bottom w:w="0" w:type="dxa"/>
              <w:right w:w="20" w:type="dxa"/>
            </w:tcMar>
            <w:vAlign w:val="center"/>
          </w:tcPr>
          <w:p w14:paraId="766D9383">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4413" w:type="dxa"/>
            <w:gridSpan w:val="5"/>
            <w:noWrap/>
            <w:tcMar>
              <w:top w:w="20" w:type="dxa"/>
              <w:left w:w="20" w:type="dxa"/>
              <w:bottom w:w="0" w:type="dxa"/>
              <w:right w:w="20" w:type="dxa"/>
            </w:tcMar>
            <w:vAlign w:val="center"/>
          </w:tcPr>
          <w:p w14:paraId="0A9E4EE8">
            <w:pPr>
              <w:wordWrap/>
              <w:autoSpaceDE/>
              <w:autoSpaceDN/>
              <w:spacing w:line="360" w:lineRule="auto"/>
              <w:jc w:val="left"/>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小写：   元</w:t>
            </w:r>
          </w:p>
        </w:tc>
      </w:tr>
    </w:tbl>
    <w:p w14:paraId="399660E6">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2.上述合同金额为一次性包干总价，不受市场价格的变化和影响，在合同不发生变更时作为付款结算的依据。</w:t>
      </w:r>
    </w:p>
    <w:p w14:paraId="10DFBCB8">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该包干总价为乙方按照合同约定完成合同全部义务后所适用的总价格，包括但不限于货物费（含备品备件费）、包装费、运杂费（含搬运、装卸、保险费等）、工程费、材料费、全部税费、安装调试费等相关费用。除本合同明确约定的费用外，甲方无需支付任何额外费用和承担任何额外义务。</w:t>
      </w:r>
    </w:p>
    <w:p w14:paraId="2BE0931C">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4.在实际合同履行过程中，如果乙方未完全履行合同义务或履行的合同义务不符合约定的，则未履行或履行不符合合同约定的内容所对应的价款由甲方直接从上述约定的包干价中扣除。</w:t>
      </w:r>
    </w:p>
    <w:p w14:paraId="5EDE1D13">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二、货物质量</w:t>
      </w:r>
    </w:p>
    <w:p w14:paraId="403DB34B">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乙方提供的所有货物的技术规格和参数、指标要求应等于或优于招标文件、投标文件技术规格和参数、指标要求（设备的技术参数、指标详见附件1）。若技术规格要求中无相应规定，则应符合相应的国家有关部门最新颁布的相应正式标准。</w:t>
      </w:r>
    </w:p>
    <w:p w14:paraId="2A4B436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2.乙方提供的设备及配套产品须</w:t>
      </w:r>
      <w:r>
        <w:rPr>
          <w:rFonts w:hint="eastAsia" w:ascii="宋体" w:hAnsi="宋体" w:eastAsia="宋体" w:cs="宋体"/>
          <w:color w:val="auto"/>
          <w:sz w:val="24"/>
          <w:szCs w:val="24"/>
          <w:lang w:eastAsia="zh-CN"/>
        </w:rPr>
        <w:t>符合国家有关质量标准、规范和环保要求。</w:t>
      </w:r>
    </w:p>
    <w:p w14:paraId="60214D61">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1D1DE875">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4.乙方提供的设备及配套产品必须能按国家标准供应、检测、调试，确保产品技术指标满足使用要求。</w:t>
      </w:r>
    </w:p>
    <w:p w14:paraId="6A4B42B7">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5.除非技术规范中另有规定，计量单位均采用中华人民共和国法定计量单位。</w:t>
      </w:r>
    </w:p>
    <w:p w14:paraId="6CE02874">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三、交货时间及交货地点</w:t>
      </w:r>
    </w:p>
    <w:p w14:paraId="41848372">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1.交货（安装）地点：</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sz w:val="24"/>
          <w:szCs w:val="24"/>
          <w:lang w:eastAsia="zh-CN"/>
        </w:rPr>
        <w:t>（具体到房间）。乙方要提供整套合格产品，切实做好安全防护相关工作，并负责安排卸货和安装所需工具以及人员。</w:t>
      </w:r>
    </w:p>
    <w:p w14:paraId="197FC3F7">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2.交货日期：20</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年</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月</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日前或合同签订后</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个工作日内，乙方负责将产品运输到交货（安装）地点，并按照验收标准和验收程序完成设备的安装、调试和验收工作。乙方交货时须保证产品包装完好，安装调试及验收时设备外观无划痕，设备质量完好。</w:t>
      </w:r>
    </w:p>
    <w:p w14:paraId="41DFBFD3">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四、货物交付及验收</w:t>
      </w:r>
    </w:p>
    <w:p w14:paraId="442164F8">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b/>
          <w:bCs/>
          <w:color w:val="auto"/>
          <w:kern w:val="0"/>
          <w:sz w:val="24"/>
          <w:szCs w:val="24"/>
          <w:lang w:eastAsia="zh-CN"/>
        </w:rPr>
        <w:t>1.货物交付</w:t>
      </w:r>
    </w:p>
    <w:p w14:paraId="3D61744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1.1乙方应严格按上述《标的明细清单》中确定的设备名称、型号与规格、产地、数量及配套内容进行供货，并按时将货物运送到合同指定的地点，负责到货设备的安装与调试，达到正常使用；乙方负责为甲方培训操作、维护人员，质保期内负责指导仪器设备的操作使用和保养维修，做好售后服务工作。</w:t>
      </w:r>
    </w:p>
    <w:p w14:paraId="79FEE3E6">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1.2乙方负责提供货物（设备）相应的技术资料，包括产品合格证、产品保修单、安装使用及维护说明书以及运输装箱清单等,并对所有技术材料的真实性、准确性、先进性、完整性负责。</w:t>
      </w:r>
    </w:p>
    <w:p w14:paraId="60B68462">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1.3乙方提供的设备及配套产品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40248AD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1.4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458F6A6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1.5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40F8E53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7B3C2E05">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1.6</w:t>
      </w:r>
      <w:r>
        <w:rPr>
          <w:rFonts w:hint="eastAsia" w:ascii="宋体" w:hAnsi="宋体" w:eastAsia="宋体" w:cs="宋体"/>
          <w:sz w:val="24"/>
          <w:szCs w:val="24"/>
          <w:lang w:val="en-US" w:eastAsia="zh-CN"/>
        </w:rPr>
        <w:t>本项目采购的线扫面阵视觉旋转运动平台、四面阵方形视觉旋转平台、综合高速视觉运动测试平台、多工位视觉验证平台、激光相机运动测试平台、实验管理平台软件均须根据甲方需求进行定制化设计。在上述平台加工制造或软件优化改造前，乙方应配合完善甲方对设计图纸或软件功能及界面提出合理的优化及修改意见，结构设计图纸或软件UI设计界面设计方案经甲方书面确认后方可进行加工制造；因乙方设计不合理、不满足以上技术参数要求导致的图纸修改，相关费用及货期延误造成的损失由乙方自行承担，并且产品交付时</w:t>
      </w:r>
      <w:r>
        <w:rPr>
          <w:rFonts w:hint="eastAsia" w:ascii="宋体" w:hAnsi="宋体" w:cs="宋体"/>
          <w:sz w:val="24"/>
          <w:szCs w:val="24"/>
          <w:lang w:val="en-US" w:eastAsia="zh-CN"/>
        </w:rPr>
        <w:t>必须提供最终版生产加工图纸。</w:t>
      </w:r>
    </w:p>
    <w:p w14:paraId="1965BFF4">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hAnsi="宋体" w:cs="宋体"/>
          <w:color w:val="auto"/>
          <w:kern w:val="0"/>
          <w:sz w:val="24"/>
          <w:szCs w:val="24"/>
          <w:lang w:val="en-US" w:eastAsia="zh-CN"/>
        </w:rPr>
        <w:t>1.7</w:t>
      </w:r>
      <w:r>
        <w:rPr>
          <w:rFonts w:hint="eastAsia" w:ascii="宋体" w:hAnsi="宋体" w:eastAsia="宋体" w:cs="宋体"/>
          <w:color w:val="auto"/>
          <w:kern w:val="0"/>
          <w:sz w:val="24"/>
          <w:szCs w:val="24"/>
          <w:lang w:eastAsia="zh-CN"/>
        </w:rPr>
        <w:t>乙方应向甲方提供有关标准的中文文本。</w:t>
      </w:r>
    </w:p>
    <w:p w14:paraId="17D363D3">
      <w:pPr>
        <w:widowControl/>
        <w:wordWrap/>
        <w:autoSpaceDE/>
        <w:autoSpaceDN/>
        <w:spacing w:line="480" w:lineRule="exact"/>
        <w:ind w:firstLine="482"/>
        <w:jc w:val="left"/>
        <w:outlineLvl w:val="9"/>
        <w:rPr>
          <w:rFonts w:hint="eastAsia" w:ascii="宋体" w:hAnsi="宋体" w:eastAsia="宋体" w:cs="宋体"/>
          <w:b/>
          <w:bCs/>
          <w:color w:val="auto"/>
          <w:kern w:val="0"/>
          <w:sz w:val="24"/>
          <w:szCs w:val="24"/>
          <w:lang w:eastAsia="zh-CN"/>
        </w:rPr>
      </w:pPr>
      <w:r>
        <w:rPr>
          <w:rFonts w:hint="eastAsia" w:ascii="宋体" w:hAnsi="宋体" w:eastAsia="宋体" w:cs="宋体"/>
          <w:b/>
          <w:bCs/>
          <w:color w:val="auto"/>
          <w:kern w:val="0"/>
          <w:sz w:val="24"/>
          <w:szCs w:val="24"/>
          <w:lang w:eastAsia="zh-CN"/>
        </w:rPr>
        <w:t>2.验收</w:t>
      </w:r>
    </w:p>
    <w:p w14:paraId="1C32B6C6">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2.1验收方法及标准：</w:t>
      </w:r>
      <w:r>
        <w:rPr>
          <w:rFonts w:hint="eastAsia" w:ascii="宋体" w:hAnsi="宋体" w:eastAsia="宋体" w:cs="宋体"/>
          <w:color w:val="auto"/>
          <w:kern w:val="0"/>
          <w:sz w:val="24"/>
          <w:szCs w:val="24"/>
          <w:u w:val="single"/>
          <w:lang w:eastAsia="zh-CN"/>
        </w:rPr>
        <w:t xml:space="preserve"> 具体详见附件2 </w:t>
      </w:r>
      <w:r>
        <w:rPr>
          <w:rFonts w:hint="eastAsia" w:ascii="宋体" w:hAnsi="宋体" w:eastAsia="宋体" w:cs="宋体"/>
          <w:color w:val="auto"/>
          <w:kern w:val="0"/>
          <w:sz w:val="24"/>
          <w:szCs w:val="24"/>
          <w:lang w:eastAsia="zh-CN"/>
        </w:rPr>
        <w:t>。</w:t>
      </w:r>
    </w:p>
    <w:p w14:paraId="1B381389">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五、合同价款支付及履约保证金</w:t>
      </w:r>
    </w:p>
    <w:p w14:paraId="399D94F4">
      <w:pPr>
        <w:wordWrap/>
        <w:autoSpaceDE/>
        <w:autoSpaceDN/>
        <w:snapToGrid w:val="0"/>
        <w:spacing w:line="480" w:lineRule="exact"/>
        <w:ind w:firstLine="482" w:firstLineChars="200"/>
        <w:outlineLvl w:val="9"/>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1. 合同价款支付</w:t>
      </w:r>
    </w:p>
    <w:p w14:paraId="491E0D8D">
      <w:pPr>
        <w:wordWrap/>
        <w:autoSpaceDE/>
        <w:autoSpaceDN/>
        <w:snapToGrid w:val="0"/>
        <w:spacing w:line="480" w:lineRule="exact"/>
        <w:ind w:firstLine="482" w:firstLineChars="200"/>
        <w:outlineLvl w:val="9"/>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1.1合同价款支付方式</w:t>
      </w:r>
    </w:p>
    <w:p w14:paraId="5D79A350">
      <w:pPr>
        <w:wordWrap/>
        <w:autoSpaceDE/>
        <w:autoSpaceDN/>
        <w:snapToGrid w:val="0"/>
        <w:spacing w:line="480" w:lineRule="exact"/>
        <w:ind w:firstLine="482" w:firstLineChars="200"/>
        <w:outlineLvl w:val="9"/>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签订合同后</w:t>
      </w:r>
      <w:r>
        <w:rPr>
          <w:rFonts w:hint="eastAsia" w:hAnsi="宋体" w:cs="宋体"/>
          <w:b/>
          <w:bCs/>
          <w:color w:val="auto"/>
          <w:sz w:val="24"/>
          <w:szCs w:val="24"/>
          <w:lang w:val="en-US" w:eastAsia="zh-CN"/>
        </w:rPr>
        <w:t>10个工作</w:t>
      </w:r>
      <w:r>
        <w:rPr>
          <w:rFonts w:hint="eastAsia" w:ascii="宋体" w:hAnsi="宋体" w:eastAsia="宋体" w:cs="宋体"/>
          <w:b/>
          <w:bCs/>
          <w:color w:val="auto"/>
          <w:sz w:val="24"/>
          <w:szCs w:val="24"/>
          <w:lang w:eastAsia="zh-CN"/>
        </w:rPr>
        <w:t>日内，乙方提供经甲方认可的合同金额100%的预付款保函或双方认可的其他担保措施，支付合同金额的100%。</w:t>
      </w:r>
    </w:p>
    <w:p w14:paraId="4C87F882">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1.2甲方向乙方付款时，乙方须向甲方出具合同总价款的增值税专用发票。</w:t>
      </w:r>
    </w:p>
    <w:p w14:paraId="2EF161D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2.履约保证金</w:t>
      </w:r>
    </w:p>
    <w:p w14:paraId="5C4AD1D8">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2.1乙方应在收到中标（成交）通知书后3个工作日内，向甲方提交合同总价5%的履约保证金；</w:t>
      </w:r>
    </w:p>
    <w:p w14:paraId="7B6D8DED">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2.2履约保证金应使用人民币，按</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方式提交；</w:t>
      </w:r>
    </w:p>
    <w:p w14:paraId="2127401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2.3项目全部完成并由甲方验收合格后，乙方申请，甲方应把履约保证金（无息）退还乙方。</w:t>
      </w:r>
    </w:p>
    <w:p w14:paraId="735D7D45">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六、质量保证期及售后服务</w:t>
      </w:r>
    </w:p>
    <w:p w14:paraId="5DDC1BD9">
      <w:pPr>
        <w:widowControl/>
        <w:wordWrap/>
        <w:autoSpaceDE/>
        <w:autoSpaceDN/>
        <w:spacing w:line="480" w:lineRule="exact"/>
        <w:ind w:firstLine="482"/>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kern w:val="0"/>
          <w:sz w:val="24"/>
          <w:szCs w:val="24"/>
          <w:lang w:eastAsia="zh-CN"/>
        </w:rPr>
        <w:t>1.</w:t>
      </w:r>
      <w:r>
        <w:rPr>
          <w:rFonts w:hint="eastAsia" w:ascii="宋体" w:hAnsi="宋体" w:eastAsia="宋体" w:cs="宋体"/>
          <w:color w:val="auto"/>
          <w:sz w:val="24"/>
          <w:szCs w:val="24"/>
          <w:lang w:eastAsia="zh-CN"/>
        </w:rPr>
        <w:t>产品质量保证期为甲方最终设备验收合格后</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3E60281B">
      <w:pPr>
        <w:widowControl/>
        <w:wordWrap/>
        <w:autoSpaceDE/>
        <w:autoSpaceDN/>
        <w:spacing w:line="480" w:lineRule="exact"/>
        <w:ind w:firstLine="482"/>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2.质保期内乙方对甲方提出的服务响应不得超出</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小时。</w:t>
      </w:r>
    </w:p>
    <w:p w14:paraId="7D5D857D">
      <w:pPr>
        <w:widowControl/>
        <w:wordWrap/>
        <w:autoSpaceDE/>
        <w:autoSpaceDN/>
        <w:spacing w:line="480" w:lineRule="exact"/>
        <w:ind w:firstLine="482"/>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3.售后服务：具体服务详见乙</w:t>
      </w:r>
      <w:bookmarkStart w:id="23" w:name="_GoBack"/>
      <w:bookmarkEnd w:id="23"/>
      <w:r>
        <w:rPr>
          <w:rFonts w:hint="eastAsia" w:ascii="宋体" w:hAnsi="宋体" w:eastAsia="宋体" w:cs="宋体"/>
          <w:color w:val="auto"/>
          <w:sz w:val="24"/>
          <w:szCs w:val="24"/>
          <w:lang w:eastAsia="zh-CN"/>
        </w:rPr>
        <w:t>方投标文件中乙方的承诺书。</w:t>
      </w:r>
    </w:p>
    <w:p w14:paraId="1192E19E">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sz w:val="24"/>
          <w:szCs w:val="24"/>
          <w:lang w:eastAsia="zh-CN"/>
        </w:rPr>
        <w:t>4.人员培训：乙方终身免费为甲方培训设备使用人员，培训内容包括：设备操作、维护、简单维修等。</w:t>
      </w:r>
    </w:p>
    <w:p w14:paraId="3B661781">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七、违约责任</w:t>
      </w:r>
    </w:p>
    <w:p w14:paraId="725495BD">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1.合同生效后，甲乙双方应按合同规定认真履约。合同履约责任只涉及合同甲乙双方，不考虑第三方因素。</w:t>
      </w:r>
    </w:p>
    <w:p w14:paraId="1551386B">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2.除不可抗力原因外，如遇下列情况之一者，乙方所缴纳的履约保证金、产品质量保证金甲方有权不予退还，作为对甲方的赔偿，且甲方有权解除本合同：</w:t>
      </w:r>
    </w:p>
    <w:p w14:paraId="7F13CE4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（1）合同签订后不能按合同时限要求供货或安装调试；</w:t>
      </w:r>
    </w:p>
    <w:p w14:paraId="515B09E0">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（2）所供设备不合格、与合同不符；</w:t>
      </w:r>
    </w:p>
    <w:p w14:paraId="52AAEE95">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（3）不能按合同履约；</w:t>
      </w:r>
    </w:p>
    <w:p w14:paraId="121A7716">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（4）因产品质量原因，不能通过验收。</w:t>
      </w:r>
    </w:p>
    <w:p w14:paraId="09C294FD">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3.如乙方产品质量不符合国家标准、行业内控标准或本合同技术附件要求的，甲方有权退货，乙方应退还全部货款，并承担甲方合同总价款10％的违约金及其他损失。</w:t>
      </w:r>
    </w:p>
    <w:p w14:paraId="53F2102F">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4.在合同规定的供货期内乙方未全部交货，除应在</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天内如数补齐外，还应承担合同总款的10％违约金。</w:t>
      </w:r>
    </w:p>
    <w:p w14:paraId="22C5562C">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5.乙方对货物不按招标文件要求，擅自更换，除恢复原招标产品外，应承担更换部分价款10%的违约金；乙方如对产品材质、随机配品以次充好，除全部按要求恢复外，应承担此部分价款10%的违约金。</w:t>
      </w:r>
    </w:p>
    <w:p w14:paraId="29B5137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501A6AB0">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005AE87D">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8.出现下列情形之一的，视为乙方违约。甲方可向乙方发出书面通知，部分或全部终止合同，同时保留向乙方索赔的权利，具体情形如下：</w:t>
      </w:r>
    </w:p>
    <w:p w14:paraId="4252AEDE">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 xml:space="preserve">（1）乙方未能在合同规定的限期或甲方同意延长的限期内，提供全部或部分货物的； </w:t>
      </w:r>
    </w:p>
    <w:p w14:paraId="0585DA4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（2）乙方未能履行合同规定的其它主要义务的；</w:t>
      </w:r>
    </w:p>
    <w:p w14:paraId="5A380C48">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（3）乙方在本合同履行过程中有欺诈行为的。</w:t>
      </w:r>
    </w:p>
    <w:p w14:paraId="334EFAF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9.索赔：</w:t>
      </w:r>
      <w:r>
        <w:rPr>
          <w:rFonts w:hint="eastAsia" w:ascii="宋体" w:hAnsi="宋体" w:eastAsia="宋体" w:cs="宋体"/>
          <w:color w:val="auto"/>
          <w:kern w:val="0"/>
          <w:sz w:val="24"/>
          <w:szCs w:val="24"/>
          <w:u w:val="single"/>
          <w:lang w:eastAsia="zh-CN"/>
        </w:rPr>
        <w:t xml:space="preserve"> 具体详见附件3 </w:t>
      </w:r>
      <w:r>
        <w:rPr>
          <w:rFonts w:hint="eastAsia" w:ascii="宋体" w:hAnsi="宋体" w:eastAsia="宋体" w:cs="宋体"/>
          <w:color w:val="auto"/>
          <w:kern w:val="0"/>
          <w:sz w:val="24"/>
          <w:szCs w:val="24"/>
          <w:lang w:eastAsia="zh-CN"/>
        </w:rPr>
        <w:t>。</w:t>
      </w:r>
    </w:p>
    <w:p w14:paraId="24145C77">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10.甲方全部或部分解除合同之后，应当遵循诚实信用原则购买与未交付的货物类似的货物或服务，乙方应承担甲方购买类似货物或服务而产生的额外支出。部分解除合同的，乙方应继续履行合同中未解除的部分。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3C3E0B84">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八、合同争议的解决：</w:t>
      </w:r>
    </w:p>
    <w:p w14:paraId="20337E85">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1.甲乙双方由于本合同的履行而发生任何争议时，双方可先通过协商解决。</w:t>
      </w:r>
    </w:p>
    <w:p w14:paraId="1A89A715">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2.任何一方不愿通过协商或通过协商仍不能解决争议，则双方中任何一方均应向甲方所在地人民法院起诉。</w:t>
      </w:r>
    </w:p>
    <w:p w14:paraId="398F553F">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九、其他：</w:t>
      </w:r>
    </w:p>
    <w:p w14:paraId="006E1EC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1.合同经双方签字盖章后生效。本合同一式五份，甲方执四份，乙方执一份，执行完毕后自行失效。</w:t>
      </w:r>
    </w:p>
    <w:p w14:paraId="75511A0F">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3.合同的附件、投标文件均作为本合同不可分割的内容，且具有同等法律效力。合同的附件由甲方使用单位负责审核并签章。</w:t>
      </w:r>
    </w:p>
    <w:p w14:paraId="5CF79435">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4.在本合同执行过程中，甲、乙双方协商签订的补充合同与原合同具有同等法律效力。</w:t>
      </w:r>
    </w:p>
    <w:p w14:paraId="48613ECD">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5.未尽事宜，双方协商解决。</w:t>
      </w:r>
    </w:p>
    <w:p w14:paraId="1A161163">
      <w:pPr>
        <w:wordWrap/>
        <w:autoSpaceDE/>
        <w:autoSpaceDN/>
        <w:snapToGrid w:val="0"/>
        <w:spacing w:line="440" w:lineRule="exact"/>
        <w:ind w:firstLine="420" w:firstLineChars="200"/>
        <w:outlineLvl w:val="9"/>
        <w:rPr>
          <w:rFonts w:hint="eastAsia" w:ascii="宋体" w:hAnsi="宋体" w:eastAsia="宋体" w:cs="宋体"/>
          <w:color w:val="auto"/>
          <w:sz w:val="21"/>
          <w:szCs w:val="21"/>
          <w:lang w:eastAsia="zh-CN"/>
        </w:rPr>
      </w:pPr>
    </w:p>
    <w:p w14:paraId="008DC8BF">
      <w:pPr>
        <w:wordWrap/>
        <w:autoSpaceDE/>
        <w:autoSpaceDN/>
        <w:snapToGrid w:val="0"/>
        <w:spacing w:line="480" w:lineRule="exact"/>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合同签订地点：西安建筑科技大学</w:t>
      </w:r>
    </w:p>
    <w:p w14:paraId="35C8AD56">
      <w:pPr>
        <w:wordWrap/>
        <w:autoSpaceDE/>
        <w:autoSpaceDN/>
        <w:snapToGrid w:val="0"/>
        <w:spacing w:line="480" w:lineRule="exact"/>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合同签订时间：      年    月    日</w:t>
      </w:r>
    </w:p>
    <w:p w14:paraId="5770CE3D">
      <w:pPr>
        <w:wordWrap/>
        <w:autoSpaceDE/>
        <w:autoSpaceDN/>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br w:type="page"/>
      </w:r>
    </w:p>
    <w:p w14:paraId="0252422E">
      <w:pPr>
        <w:wordWrap/>
        <w:autoSpaceDE/>
        <w:autoSpaceDN/>
        <w:snapToGrid w:val="0"/>
        <w:spacing w:line="480" w:lineRule="exact"/>
        <w:outlineLvl w:val="9"/>
        <w:rPr>
          <w:rFonts w:hint="eastAsia" w:ascii="宋体" w:hAnsi="宋体" w:eastAsia="宋体" w:cs="宋体"/>
          <w:b/>
          <w:color w:val="auto"/>
          <w:sz w:val="21"/>
          <w:szCs w:val="21"/>
          <w:lang w:eastAsia="zh-CN"/>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14:paraId="77AF5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43ECB6BB">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甲  方（盖章）：西安建筑科技大学</w:t>
            </w:r>
          </w:p>
        </w:tc>
        <w:tc>
          <w:tcPr>
            <w:tcW w:w="4503" w:type="dxa"/>
            <w:vAlign w:val="center"/>
          </w:tcPr>
          <w:p w14:paraId="3E9D166A">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乙  方（盖章）：</w:t>
            </w:r>
          </w:p>
        </w:tc>
      </w:tr>
      <w:tr w14:paraId="339CE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636371DB">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地  址：西安市雁塔路13号</w:t>
            </w:r>
          </w:p>
        </w:tc>
        <w:tc>
          <w:tcPr>
            <w:tcW w:w="4503" w:type="dxa"/>
            <w:vAlign w:val="center"/>
          </w:tcPr>
          <w:p w14:paraId="5B7E6397">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地  址：</w:t>
            </w:r>
          </w:p>
        </w:tc>
      </w:tr>
      <w:tr w14:paraId="4A951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0C96B6F3">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法定代表人（签字）：</w:t>
            </w:r>
          </w:p>
        </w:tc>
        <w:tc>
          <w:tcPr>
            <w:tcW w:w="4503" w:type="dxa"/>
            <w:vAlign w:val="center"/>
          </w:tcPr>
          <w:p w14:paraId="7C772E6F">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法定代表人（签字）：</w:t>
            </w:r>
          </w:p>
        </w:tc>
      </w:tr>
      <w:tr w14:paraId="2AC6E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78ED12EC">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委托代理人（签字）：</w:t>
            </w:r>
          </w:p>
        </w:tc>
        <w:tc>
          <w:tcPr>
            <w:tcW w:w="4503" w:type="dxa"/>
            <w:vAlign w:val="center"/>
          </w:tcPr>
          <w:p w14:paraId="5BC26FF3">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委托代理人（签字）：</w:t>
            </w:r>
          </w:p>
        </w:tc>
      </w:tr>
      <w:tr w14:paraId="52CA0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4A039C1B">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开户名：西安建筑科技大学</w:t>
            </w:r>
          </w:p>
        </w:tc>
        <w:tc>
          <w:tcPr>
            <w:tcW w:w="4503" w:type="dxa"/>
            <w:vAlign w:val="center"/>
          </w:tcPr>
          <w:p w14:paraId="5378935C">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开户名：</w:t>
            </w:r>
          </w:p>
        </w:tc>
      </w:tr>
      <w:tr w14:paraId="72652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718E739">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开户行：工行雁塔路支行</w:t>
            </w:r>
          </w:p>
          <w:p w14:paraId="346F87DC">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行  号: 102791000242</w:t>
            </w:r>
          </w:p>
          <w:p w14:paraId="58A2BD8A">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税  号: 1261000043523106XB</w:t>
            </w:r>
          </w:p>
        </w:tc>
        <w:tc>
          <w:tcPr>
            <w:tcW w:w="4503" w:type="dxa"/>
            <w:vAlign w:val="center"/>
          </w:tcPr>
          <w:p w14:paraId="139CDFE5">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开户行：</w:t>
            </w:r>
          </w:p>
        </w:tc>
      </w:tr>
      <w:tr w14:paraId="1FB55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D658E46">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帐  号：3700023009026400639</w:t>
            </w:r>
          </w:p>
        </w:tc>
        <w:tc>
          <w:tcPr>
            <w:tcW w:w="4503" w:type="dxa"/>
            <w:vAlign w:val="center"/>
          </w:tcPr>
          <w:p w14:paraId="64D30D5B">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帐  号：</w:t>
            </w:r>
          </w:p>
        </w:tc>
      </w:tr>
      <w:tr w14:paraId="7188F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70ECF1CD">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联系人： 梁武</w:t>
            </w:r>
          </w:p>
        </w:tc>
        <w:tc>
          <w:tcPr>
            <w:tcW w:w="4503" w:type="dxa"/>
            <w:vAlign w:val="center"/>
          </w:tcPr>
          <w:p w14:paraId="4B8BB57B">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联系人：</w:t>
            </w:r>
          </w:p>
        </w:tc>
      </w:tr>
      <w:tr w14:paraId="1E806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642A9FF1">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联系电话：029-82202312</w:t>
            </w:r>
          </w:p>
        </w:tc>
        <w:tc>
          <w:tcPr>
            <w:tcW w:w="4503" w:type="dxa"/>
            <w:vAlign w:val="center"/>
          </w:tcPr>
          <w:p w14:paraId="4F1BD327">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联系电话：</w:t>
            </w:r>
          </w:p>
        </w:tc>
      </w:tr>
    </w:tbl>
    <w:p w14:paraId="0A596B88">
      <w:pPr>
        <w:widowControl/>
        <w:wordWrap/>
        <w:autoSpaceDE/>
        <w:autoSpaceDN/>
        <w:spacing w:line="360" w:lineRule="auto"/>
        <w:ind w:firstLine="482"/>
        <w:jc w:val="left"/>
        <w:outlineLvl w:val="9"/>
        <w:rPr>
          <w:rFonts w:hint="eastAsia" w:ascii="宋体" w:hAnsi="宋体" w:eastAsia="宋体" w:cs="宋体"/>
          <w:b/>
          <w:color w:val="auto"/>
          <w:kern w:val="0"/>
          <w:sz w:val="28"/>
          <w:szCs w:val="28"/>
          <w:lang w:eastAsia="zh-CN"/>
        </w:rPr>
      </w:pPr>
    </w:p>
    <w:p w14:paraId="7078B51B">
      <w:pPr>
        <w:widowControl/>
        <w:wordWrap/>
        <w:autoSpaceDE/>
        <w:autoSpaceDN/>
        <w:spacing w:line="360" w:lineRule="auto"/>
        <w:ind w:firstLine="482"/>
        <w:jc w:val="left"/>
        <w:outlineLvl w:val="9"/>
        <w:rPr>
          <w:rFonts w:hint="eastAsia" w:ascii="宋体" w:hAnsi="宋体" w:eastAsia="宋体" w:cs="宋体"/>
          <w:b/>
          <w:color w:val="auto"/>
          <w:kern w:val="0"/>
          <w:sz w:val="28"/>
          <w:szCs w:val="28"/>
          <w:lang w:eastAsia="zh-CN"/>
        </w:rPr>
      </w:pPr>
    </w:p>
    <w:p w14:paraId="7E40C1BA">
      <w:pPr>
        <w:widowControl/>
        <w:wordWrap/>
        <w:autoSpaceDE/>
        <w:autoSpaceDN/>
        <w:spacing w:line="360" w:lineRule="auto"/>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附件：</w:t>
      </w:r>
    </w:p>
    <w:p w14:paraId="4B4CC09C">
      <w:pPr>
        <w:widowControl/>
        <w:wordWrap/>
        <w:autoSpaceDE/>
        <w:autoSpaceDN/>
        <w:spacing w:line="52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附件1：技术协议</w:t>
      </w:r>
    </w:p>
    <w:p w14:paraId="12E1FE50">
      <w:pPr>
        <w:widowControl/>
        <w:wordWrap/>
        <w:autoSpaceDE/>
        <w:autoSpaceDN/>
        <w:spacing w:line="52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附件2：验收方法及标准</w:t>
      </w:r>
    </w:p>
    <w:p w14:paraId="393640C4">
      <w:pPr>
        <w:widowControl/>
        <w:wordWrap/>
        <w:autoSpaceDE/>
        <w:autoSpaceDN/>
        <w:spacing w:line="52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附件3：索赔</w:t>
      </w:r>
    </w:p>
    <w:p w14:paraId="0B84661C">
      <w:pPr>
        <w:widowControl/>
        <w:spacing w:line="360" w:lineRule="auto"/>
        <w:jc w:val="left"/>
        <w:outlineLvl w:val="9"/>
        <w:rPr>
          <w:rFonts w:hint="eastAsia" w:ascii="宋体" w:hAnsi="宋体" w:eastAsia="宋体" w:cs="宋体"/>
          <w:color w:val="auto"/>
          <w:kern w:val="0"/>
          <w:sz w:val="28"/>
          <w:szCs w:val="28"/>
        </w:rPr>
        <w:sectPr>
          <w:footerReference r:id="rId3" w:type="default"/>
          <w:pgSz w:w="11906" w:h="16838"/>
          <w:pgMar w:top="1440" w:right="1800" w:bottom="1440" w:left="1800" w:header="851" w:footer="992" w:gutter="0"/>
          <w:pgNumType w:fmt="decimal" w:start="1"/>
          <w:cols w:space="425" w:num="1"/>
          <w:docGrid w:type="lines" w:linePitch="312" w:charSpace="0"/>
        </w:sectPr>
      </w:pPr>
    </w:p>
    <w:p w14:paraId="1C3A6BBC">
      <w:pPr>
        <w:widowControl/>
        <w:wordWrap/>
        <w:autoSpaceDE/>
        <w:autoSpaceDN/>
        <w:spacing w:line="360" w:lineRule="auto"/>
        <w:jc w:val="left"/>
        <w:outlineLvl w:val="9"/>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lang w:eastAsia="zh-CN"/>
        </w:rPr>
        <w:t>附件1：技术协议</w:t>
      </w:r>
    </w:p>
    <w:p w14:paraId="25241D16">
      <w:pPr>
        <w:wordWrap/>
        <w:autoSpaceDE/>
        <w:autoSpaceDN/>
        <w:spacing w:line="440" w:lineRule="exact"/>
        <w:outlineLvl w:val="9"/>
        <w:rPr>
          <w:rFonts w:hint="eastAsia" w:ascii="宋体" w:hAnsi="宋体" w:eastAsia="宋体" w:cs="宋体"/>
          <w:b/>
          <w:color w:val="auto"/>
          <w:sz w:val="30"/>
          <w:szCs w:val="30"/>
          <w:lang w:eastAsia="zh-CN"/>
        </w:rPr>
      </w:pPr>
      <w:bookmarkStart w:id="1" w:name="_Toc390373038"/>
      <w:bookmarkStart w:id="2" w:name="_Toc390360542"/>
      <w:r>
        <w:rPr>
          <w:rFonts w:hint="eastAsia" w:ascii="宋体" w:hAnsi="宋体" w:eastAsia="宋体" w:cs="宋体"/>
          <w:b/>
          <w:color w:val="auto"/>
          <w:sz w:val="32"/>
          <w:szCs w:val="32"/>
          <w:lang w:eastAsia="zh-CN"/>
        </w:rPr>
        <w:t>1.</w:t>
      </w:r>
      <w:r>
        <w:rPr>
          <w:rFonts w:hint="eastAsia" w:ascii="宋体" w:hAnsi="宋体" w:eastAsia="宋体" w:cs="宋体"/>
          <w:b/>
          <w:color w:val="auto"/>
          <w:sz w:val="30"/>
          <w:szCs w:val="30"/>
          <w:lang w:eastAsia="zh-CN"/>
        </w:rPr>
        <w:t>中标产品技术参数明细</w:t>
      </w:r>
    </w:p>
    <w:p w14:paraId="71E82790">
      <w:pPr>
        <w:wordWrap/>
        <w:autoSpaceDE/>
        <w:autoSpaceDN/>
        <w:spacing w:line="440" w:lineRule="exac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我公司承诺：合同中数列产品均满足标书及使用要求，无任何负偏离。并与所供产品完全一致。</w:t>
      </w:r>
    </w:p>
    <w:bookmarkEnd w:id="1"/>
    <w:bookmarkEnd w:id="2"/>
    <w:p w14:paraId="3E47D4FC">
      <w:pPr>
        <w:wordWrap/>
        <w:autoSpaceDE/>
        <w:autoSpaceDN/>
        <w:spacing w:line="440" w:lineRule="exact"/>
        <w:outlineLvl w:val="9"/>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1.1设备特性</w:t>
      </w:r>
    </w:p>
    <w:p w14:paraId="11C29499">
      <w:pPr>
        <w:wordWrap/>
        <w:autoSpaceDE/>
        <w:autoSpaceDN/>
        <w:spacing w:line="440" w:lineRule="exact"/>
        <w:outlineLvl w:val="9"/>
        <w:rPr>
          <w:rFonts w:hint="eastAsia" w:ascii="宋体" w:hAnsi="宋体" w:eastAsia="宋体" w:cs="宋体"/>
          <w:b/>
          <w:color w:val="auto"/>
          <w:sz w:val="24"/>
          <w:szCs w:val="24"/>
          <w:lang w:eastAsia="zh-CN"/>
        </w:rPr>
      </w:pPr>
      <w:r>
        <w:rPr>
          <w:rFonts w:hint="eastAsia" w:ascii="宋体" w:hAnsi="宋体" w:eastAsia="宋体" w:cs="宋体"/>
          <w:b/>
          <w:bCs/>
          <w:color w:val="auto"/>
          <w:sz w:val="24"/>
          <w:szCs w:val="24"/>
          <w:lang w:eastAsia="zh-CN"/>
        </w:rPr>
        <w:t>1.2</w:t>
      </w:r>
      <w:r>
        <w:rPr>
          <w:rFonts w:hint="eastAsia" w:ascii="宋体" w:hAnsi="宋体" w:eastAsia="宋体" w:cs="宋体"/>
          <w:b/>
          <w:color w:val="auto"/>
          <w:sz w:val="24"/>
          <w:szCs w:val="24"/>
          <w:lang w:eastAsia="zh-CN"/>
        </w:rPr>
        <w:t>设备用途</w:t>
      </w:r>
    </w:p>
    <w:p w14:paraId="5927595F">
      <w:pPr>
        <w:wordWrap/>
        <w:autoSpaceDE/>
        <w:autoSpaceDN/>
        <w:spacing w:line="440" w:lineRule="exact"/>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1.3设备主要参数指标</w:t>
      </w:r>
    </w:p>
    <w:p w14:paraId="0F4D6C1B">
      <w:pPr>
        <w:wordWrap/>
        <w:autoSpaceDE/>
        <w:autoSpaceDN/>
        <w:spacing w:line="440" w:lineRule="exact"/>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 xml:space="preserve">1.4质量要求与安全要求 </w:t>
      </w:r>
    </w:p>
    <w:p w14:paraId="278365FA">
      <w:pPr>
        <w:wordWrap/>
        <w:autoSpaceDE/>
        <w:autoSpaceDN/>
        <w:spacing w:line="440" w:lineRule="exact"/>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1.5设备运行一般流程图</w:t>
      </w:r>
    </w:p>
    <w:p w14:paraId="1D6AE6FF">
      <w:pPr>
        <w:wordWrap/>
        <w:autoSpaceDE/>
        <w:autoSpaceDN/>
        <w:spacing w:line="440" w:lineRule="exact"/>
        <w:outlineLvl w:val="9"/>
        <w:rPr>
          <w:rFonts w:hint="eastAsia" w:ascii="宋体" w:hAnsi="宋体" w:eastAsia="宋体" w:cs="宋体"/>
          <w:color w:val="auto"/>
          <w:sz w:val="21"/>
          <w:szCs w:val="21"/>
          <w:lang w:eastAsia="zh-CN"/>
        </w:rPr>
      </w:pPr>
      <w:r>
        <w:rPr>
          <w:rFonts w:hint="eastAsia" w:ascii="宋体" w:hAnsi="宋体" w:eastAsia="宋体" w:cs="宋体"/>
          <w:b w:val="0"/>
          <w:bCs w:val="0"/>
          <w:color w:val="auto"/>
          <w:sz w:val="21"/>
          <w:szCs w:val="21"/>
          <w:lang w:eastAsia="zh-CN"/>
        </w:rPr>
        <w:t xml:space="preserve"> </w:t>
      </w:r>
    </w:p>
    <w:p w14:paraId="43C99BB9">
      <w:pPr>
        <w:wordWrap/>
        <w:autoSpaceDE/>
        <w:autoSpaceDN/>
        <w:spacing w:line="440" w:lineRule="exact"/>
        <w:outlineLvl w:val="9"/>
        <w:rPr>
          <w:rFonts w:hint="eastAsia" w:ascii="宋体" w:hAnsi="宋体" w:eastAsia="宋体" w:cs="宋体"/>
          <w:b/>
          <w:color w:val="auto"/>
          <w:sz w:val="30"/>
          <w:szCs w:val="30"/>
          <w:lang w:eastAsia="zh-CN"/>
        </w:rPr>
      </w:pPr>
      <w:r>
        <w:rPr>
          <w:rFonts w:hint="eastAsia" w:ascii="宋体" w:hAnsi="宋体" w:eastAsia="宋体" w:cs="宋体"/>
          <w:b/>
          <w:color w:val="auto"/>
          <w:sz w:val="30"/>
          <w:szCs w:val="30"/>
          <w:lang w:eastAsia="zh-CN"/>
        </w:rPr>
        <w:t>2售后服务内容</w:t>
      </w:r>
      <w:bookmarkStart w:id="3" w:name="_Toc390373053"/>
      <w:bookmarkStart w:id="4" w:name="_Toc390360557"/>
      <w:bookmarkStart w:id="5" w:name="_Toc373263358"/>
    </w:p>
    <w:p w14:paraId="52CE5ADB">
      <w:pPr>
        <w:wordWrap/>
        <w:autoSpaceDE/>
        <w:autoSpaceDN/>
        <w:spacing w:line="440" w:lineRule="exact"/>
        <w:outlineLvl w:val="9"/>
        <w:rPr>
          <w:rFonts w:hint="eastAsia" w:ascii="宋体" w:hAnsi="宋体" w:eastAsia="宋体" w:cs="宋体"/>
          <w:b/>
          <w:color w:val="auto"/>
          <w:sz w:val="24"/>
          <w:szCs w:val="24"/>
          <w:lang w:eastAsia="zh-CN"/>
        </w:rPr>
      </w:pPr>
      <w:bookmarkStart w:id="6" w:name="_Toc390360558"/>
      <w:bookmarkStart w:id="7" w:name="_Toc390373054"/>
      <w:bookmarkStart w:id="8" w:name="_Toc373263359"/>
      <w:r>
        <w:rPr>
          <w:rFonts w:hint="eastAsia" w:ascii="宋体" w:hAnsi="宋体" w:eastAsia="宋体" w:cs="宋体"/>
          <w:b/>
          <w:color w:val="auto"/>
          <w:sz w:val="24"/>
          <w:szCs w:val="24"/>
          <w:lang w:eastAsia="zh-CN"/>
        </w:rPr>
        <w:t>2.1技术服务、售后服务体系、故障响应时间、应急维修措施</w:t>
      </w:r>
      <w:bookmarkEnd w:id="6"/>
      <w:bookmarkEnd w:id="7"/>
      <w:bookmarkEnd w:id="8"/>
    </w:p>
    <w:p w14:paraId="122B240D">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2.1.1技术服务措施</w:t>
      </w:r>
    </w:p>
    <w:p w14:paraId="58E60976">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2.1.2售后服务体系</w:t>
      </w:r>
    </w:p>
    <w:p w14:paraId="1BE4E53D">
      <w:pPr>
        <w:wordWrap/>
        <w:autoSpaceDE/>
        <w:autoSpaceDN/>
        <w:spacing w:line="440" w:lineRule="exact"/>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质保期内服务</w:t>
      </w:r>
    </w:p>
    <w:p w14:paraId="771A3DC4">
      <w:pPr>
        <w:wordWrap/>
        <w:autoSpaceDE/>
        <w:autoSpaceDN/>
        <w:spacing w:line="440" w:lineRule="exact"/>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质保期外服务</w:t>
      </w:r>
    </w:p>
    <w:p w14:paraId="5287AFCB">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2.1.3故障响应时间</w:t>
      </w:r>
    </w:p>
    <w:p w14:paraId="76C0FF87">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2.1.4应急维修措施</w:t>
      </w:r>
    </w:p>
    <w:p w14:paraId="61DD3ACF">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2.1.5易损件、备件的供应</w:t>
      </w:r>
    </w:p>
    <w:p w14:paraId="0564EF10">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2.1.6质保期以外技术支持或技术服务</w:t>
      </w:r>
    </w:p>
    <w:p w14:paraId="269BBAE7">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2.1.7制定切实可行的操作规程和使用指南</w:t>
      </w:r>
    </w:p>
    <w:p w14:paraId="0C315907">
      <w:pPr>
        <w:wordWrap/>
        <w:autoSpaceDE/>
        <w:autoSpaceDN/>
        <w:spacing w:line="440" w:lineRule="exact"/>
        <w:outlineLvl w:val="9"/>
        <w:rPr>
          <w:rFonts w:hint="eastAsia" w:ascii="宋体" w:hAnsi="宋体" w:eastAsia="宋体" w:cs="宋体"/>
          <w:b/>
          <w:color w:val="auto"/>
          <w:sz w:val="24"/>
          <w:szCs w:val="24"/>
          <w:lang w:eastAsia="zh-CN"/>
        </w:rPr>
      </w:pPr>
    </w:p>
    <w:p w14:paraId="620EF212">
      <w:pPr>
        <w:wordWrap/>
        <w:autoSpaceDE/>
        <w:autoSpaceDN/>
        <w:spacing w:line="440" w:lineRule="exact"/>
        <w:outlineLvl w:val="9"/>
        <w:rPr>
          <w:rFonts w:hint="eastAsia" w:ascii="宋体" w:hAnsi="宋体" w:eastAsia="宋体" w:cs="宋体"/>
          <w:b/>
          <w:color w:val="auto"/>
          <w:sz w:val="30"/>
          <w:szCs w:val="30"/>
          <w:lang w:eastAsia="zh-CN"/>
        </w:rPr>
      </w:pPr>
      <w:r>
        <w:rPr>
          <w:rFonts w:hint="eastAsia" w:ascii="宋体" w:hAnsi="宋体" w:eastAsia="宋体" w:cs="宋体"/>
          <w:b/>
          <w:color w:val="auto"/>
          <w:sz w:val="30"/>
          <w:szCs w:val="30"/>
          <w:lang w:eastAsia="zh-CN"/>
        </w:rPr>
        <w:t>3 培训服务内容</w:t>
      </w:r>
    </w:p>
    <w:bookmarkEnd w:id="3"/>
    <w:bookmarkEnd w:id="4"/>
    <w:bookmarkEnd w:id="5"/>
    <w:p w14:paraId="2DB6CE64">
      <w:pPr>
        <w:wordWrap/>
        <w:autoSpaceDE/>
        <w:autoSpaceDN/>
        <w:spacing w:line="440" w:lineRule="exact"/>
        <w:ind w:right="200" w:rightChars="100"/>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3.1培训方案</w:t>
      </w:r>
    </w:p>
    <w:p w14:paraId="37FF82C0">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培训目标和要求</w:t>
      </w:r>
    </w:p>
    <w:p w14:paraId="549C9439">
      <w:pPr>
        <w:wordWrap/>
        <w:autoSpaceDE/>
        <w:autoSpaceDN/>
        <w:spacing w:line="440" w:lineRule="exact"/>
        <w:jc w:val="left"/>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3.2培训对象</w:t>
      </w:r>
    </w:p>
    <w:p w14:paraId="3C976566">
      <w:pPr>
        <w:wordWrap/>
        <w:autoSpaceDE/>
        <w:autoSpaceDN/>
        <w:spacing w:line="440" w:lineRule="exact"/>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3.3培训方式</w:t>
      </w:r>
    </w:p>
    <w:p w14:paraId="6D2ED87A">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3.3.1系统使用培训：</w:t>
      </w:r>
    </w:p>
    <w:p w14:paraId="03F90D9F">
      <w:pPr>
        <w:wordWrap/>
        <w:autoSpaceDE/>
        <w:autoSpaceDN/>
        <w:spacing w:line="440" w:lineRule="exact"/>
        <w:ind w:firstLine="480" w:firstLineChars="200"/>
        <w:outlineLvl w:val="9"/>
        <w:rPr>
          <w:rFonts w:hint="eastAsia" w:ascii="宋体" w:hAnsi="宋体" w:eastAsia="宋体" w:cs="宋体"/>
          <w:bCs/>
          <w:color w:val="auto"/>
          <w:sz w:val="24"/>
          <w:szCs w:val="24"/>
          <w:lang w:eastAsia="zh-CN"/>
        </w:rPr>
      </w:pPr>
      <w:bookmarkStart w:id="9" w:name="_Toc304629018"/>
      <w:bookmarkStart w:id="10" w:name="_Toc316311443"/>
      <w:bookmarkStart w:id="11" w:name="_Toc301812591"/>
      <w:bookmarkStart w:id="12" w:name="_Toc301634428"/>
      <w:bookmarkStart w:id="13" w:name="_Toc333266004"/>
      <w:bookmarkStart w:id="14" w:name="_Toc302460939"/>
      <w:bookmarkStart w:id="15" w:name="_Toc317944561"/>
      <w:bookmarkStart w:id="16" w:name="_Toc313387932"/>
      <w:bookmarkStart w:id="17" w:name="_Toc343188540"/>
      <w:bookmarkStart w:id="18" w:name="_Toc312502614"/>
      <w:bookmarkStart w:id="19" w:name="_Toc301613871"/>
      <w:r>
        <w:rPr>
          <w:rFonts w:hint="eastAsia" w:ascii="宋体" w:hAnsi="宋体" w:eastAsia="宋体" w:cs="宋体"/>
          <w:bCs/>
          <w:color w:val="auto"/>
          <w:sz w:val="24"/>
          <w:szCs w:val="24"/>
          <w:lang w:eastAsia="zh-CN"/>
        </w:rPr>
        <w:t>3.3.2培训课程及培训人数</w:t>
      </w:r>
      <w:bookmarkEnd w:id="9"/>
      <w:bookmarkEnd w:id="10"/>
      <w:bookmarkEnd w:id="11"/>
      <w:bookmarkEnd w:id="12"/>
      <w:bookmarkEnd w:id="13"/>
      <w:bookmarkEnd w:id="14"/>
      <w:bookmarkEnd w:id="15"/>
      <w:bookmarkEnd w:id="16"/>
      <w:bookmarkEnd w:id="17"/>
      <w:bookmarkEnd w:id="18"/>
      <w:bookmarkEnd w:id="19"/>
      <w:r>
        <w:rPr>
          <w:rFonts w:hint="eastAsia" w:ascii="宋体" w:hAnsi="宋体" w:eastAsia="宋体" w:cs="宋体"/>
          <w:bCs/>
          <w:color w:val="auto"/>
          <w:sz w:val="24"/>
          <w:szCs w:val="24"/>
          <w:lang w:eastAsia="zh-CN"/>
        </w:rPr>
        <w:t>：</w:t>
      </w:r>
    </w:p>
    <w:p w14:paraId="4A14974F">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3.3.3培训教师安排</w:t>
      </w:r>
    </w:p>
    <w:p w14:paraId="7264C344">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3.3.4培训时间安排</w:t>
      </w:r>
    </w:p>
    <w:p w14:paraId="01DCC53D">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3.3.5培训及安全保证</w:t>
      </w:r>
    </w:p>
    <w:p w14:paraId="45DFA374">
      <w:pPr>
        <w:widowControl w:val="0"/>
        <w:wordWrap/>
        <w:autoSpaceDE/>
        <w:autoSpaceDN/>
        <w:spacing w:after="0" w:line="440" w:lineRule="exact"/>
        <w:ind w:left="0" w:leftChars="0" w:firstLine="480" w:firstLineChars="200"/>
        <w:jc w:val="both"/>
        <w:outlineLvl w:val="9"/>
        <w:rPr>
          <w:rFonts w:hint="eastAsia" w:ascii="宋体" w:hAnsi="宋体" w:eastAsia="宋体" w:cs="宋体"/>
          <w:snapToGrid w:val="0"/>
          <w:color w:val="auto"/>
          <w:kern w:val="2"/>
          <w:sz w:val="24"/>
          <w:szCs w:val="24"/>
          <w:lang w:val="en-US" w:eastAsia="zh-CN" w:bidi="ar-SA"/>
        </w:rPr>
      </w:pPr>
      <w:r>
        <w:rPr>
          <w:rFonts w:hint="eastAsia" w:ascii="宋体" w:hAnsi="宋体" w:eastAsia="宋体" w:cs="宋体"/>
          <w:snapToGrid w:val="0"/>
          <w:color w:val="auto"/>
          <w:kern w:val="2"/>
          <w:sz w:val="24"/>
          <w:szCs w:val="24"/>
          <w:lang w:val="en-US" w:eastAsia="zh-CN" w:bidi="ar-SA"/>
        </w:rPr>
        <w:t>①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7CA72CDE">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② 设备本体对可能造成伤害的部位均应采用防护板或防护网隔离并有醒目警示。</w:t>
      </w:r>
    </w:p>
    <w:p w14:paraId="7E870947">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③ 所用电气元件均按照国标选配，确保稳定安全，符合三防要求。</w:t>
      </w:r>
    </w:p>
    <w:p w14:paraId="1B17D98B">
      <w:pPr>
        <w:wordWrap/>
        <w:autoSpaceDE/>
        <w:autoSpaceDN/>
        <w:spacing w:line="440" w:lineRule="exact"/>
        <w:outlineLvl w:val="9"/>
        <w:rPr>
          <w:rFonts w:hint="eastAsia" w:ascii="宋体" w:hAnsi="宋体" w:eastAsia="宋体" w:cs="宋体"/>
          <w:b/>
          <w:color w:val="auto"/>
          <w:sz w:val="21"/>
          <w:szCs w:val="21"/>
          <w:lang w:eastAsia="zh-CN"/>
        </w:rPr>
      </w:pPr>
      <w:bookmarkStart w:id="20" w:name="_Toc345966650"/>
      <w:bookmarkStart w:id="21" w:name="_Toc345966825"/>
      <w:bookmarkStart w:id="22" w:name="_Toc346025578"/>
    </w:p>
    <w:p w14:paraId="10EE87BB">
      <w:pPr>
        <w:widowControl w:val="0"/>
        <w:numPr>
          <w:ilvl w:val="1"/>
          <w:numId w:val="1"/>
        </w:numPr>
        <w:wordWrap/>
        <w:autoSpaceDE/>
        <w:autoSpaceDN/>
        <w:spacing w:line="440" w:lineRule="exact"/>
        <w:ind w:left="0" w:firstLine="0" w:firstLineChars="0"/>
        <w:jc w:val="both"/>
        <w:outlineLvl w:val="9"/>
        <w:rPr>
          <w:rFonts w:hint="eastAsia" w:ascii="宋体" w:hAnsi="宋体" w:eastAsia="宋体" w:cs="宋体"/>
          <w:b/>
          <w:vanish/>
          <w:color w:val="auto"/>
          <w:kern w:val="2"/>
          <w:sz w:val="28"/>
          <w:szCs w:val="21"/>
          <w:lang w:val="en-US" w:eastAsia="zh-CN" w:bidi="ar-SA"/>
        </w:rPr>
      </w:pPr>
    </w:p>
    <w:p w14:paraId="49E3289C">
      <w:pPr>
        <w:widowControl w:val="0"/>
        <w:numPr>
          <w:ilvl w:val="1"/>
          <w:numId w:val="1"/>
        </w:numPr>
        <w:wordWrap/>
        <w:autoSpaceDE/>
        <w:autoSpaceDN/>
        <w:spacing w:line="440" w:lineRule="exact"/>
        <w:ind w:left="0" w:firstLine="0" w:firstLineChars="0"/>
        <w:jc w:val="both"/>
        <w:outlineLvl w:val="9"/>
        <w:rPr>
          <w:rFonts w:hint="eastAsia" w:ascii="宋体" w:hAnsi="宋体" w:eastAsia="宋体" w:cs="宋体"/>
          <w:b/>
          <w:vanish/>
          <w:color w:val="auto"/>
          <w:kern w:val="2"/>
          <w:sz w:val="28"/>
          <w:szCs w:val="21"/>
          <w:lang w:val="en-US" w:eastAsia="zh-CN" w:bidi="ar-SA"/>
        </w:rPr>
      </w:pPr>
    </w:p>
    <w:p w14:paraId="76EFDB1D">
      <w:pPr>
        <w:widowControl w:val="0"/>
        <w:numPr>
          <w:ilvl w:val="1"/>
          <w:numId w:val="1"/>
        </w:numPr>
        <w:wordWrap/>
        <w:autoSpaceDE/>
        <w:autoSpaceDN/>
        <w:spacing w:line="440" w:lineRule="exact"/>
        <w:ind w:left="0" w:firstLine="0" w:firstLineChars="0"/>
        <w:jc w:val="both"/>
        <w:outlineLvl w:val="9"/>
        <w:rPr>
          <w:rFonts w:hint="eastAsia" w:ascii="宋体" w:hAnsi="宋体" w:eastAsia="宋体" w:cs="宋体"/>
          <w:b/>
          <w:vanish/>
          <w:color w:val="auto"/>
          <w:kern w:val="2"/>
          <w:sz w:val="28"/>
          <w:szCs w:val="21"/>
          <w:lang w:val="en-US" w:eastAsia="zh-CN" w:bidi="ar-SA"/>
        </w:rPr>
      </w:pPr>
    </w:p>
    <w:p w14:paraId="26F93795">
      <w:pPr>
        <w:widowControl w:val="0"/>
        <w:numPr>
          <w:ilvl w:val="1"/>
          <w:numId w:val="1"/>
        </w:numPr>
        <w:wordWrap/>
        <w:autoSpaceDE/>
        <w:autoSpaceDN/>
        <w:spacing w:line="440" w:lineRule="exact"/>
        <w:ind w:left="0" w:firstLine="0" w:firstLineChars="0"/>
        <w:jc w:val="both"/>
        <w:outlineLvl w:val="9"/>
        <w:rPr>
          <w:rFonts w:hint="eastAsia" w:ascii="宋体" w:hAnsi="宋体" w:eastAsia="宋体" w:cs="宋体"/>
          <w:b/>
          <w:vanish/>
          <w:color w:val="auto"/>
          <w:kern w:val="2"/>
          <w:sz w:val="28"/>
          <w:szCs w:val="21"/>
          <w:lang w:val="en-US" w:eastAsia="zh-CN" w:bidi="ar-SA"/>
        </w:rPr>
      </w:pPr>
    </w:p>
    <w:bookmarkEnd w:id="20"/>
    <w:bookmarkEnd w:id="21"/>
    <w:bookmarkEnd w:id="22"/>
    <w:p w14:paraId="1BF9D6F6">
      <w:pPr>
        <w:wordWrap/>
        <w:autoSpaceDE/>
        <w:autoSpaceDN/>
        <w:spacing w:line="440" w:lineRule="exact"/>
        <w:outlineLvl w:val="9"/>
        <w:rPr>
          <w:rFonts w:hint="eastAsia" w:ascii="宋体" w:hAnsi="宋体" w:eastAsia="宋体" w:cs="宋体"/>
          <w:color w:val="auto"/>
          <w:sz w:val="21"/>
          <w:szCs w:val="21"/>
          <w:lang w:eastAsia="zh-CN"/>
        </w:rPr>
      </w:pPr>
    </w:p>
    <w:p w14:paraId="3955A8ED">
      <w:pPr>
        <w:wordWrap/>
        <w:autoSpaceDE/>
        <w:autoSpaceDN/>
        <w:spacing w:line="440" w:lineRule="exact"/>
        <w:ind w:firstLine="420" w:firstLineChars="200"/>
        <w:outlineLvl w:val="9"/>
        <w:rPr>
          <w:rFonts w:hint="eastAsia" w:ascii="宋体" w:hAnsi="宋体" w:eastAsia="宋体" w:cs="宋体"/>
          <w:color w:val="auto"/>
          <w:sz w:val="21"/>
          <w:szCs w:val="21"/>
          <w:lang w:eastAsia="zh-CN"/>
        </w:rPr>
      </w:pPr>
    </w:p>
    <w:p w14:paraId="2BE3F941">
      <w:pPr>
        <w:widowControl/>
        <w:wordWrap/>
        <w:autoSpaceDE/>
        <w:autoSpaceDN/>
        <w:spacing w:before="100" w:beforeAutospacing="1" w:after="100" w:afterAutospacing="1" w:line="320" w:lineRule="exact"/>
        <w:outlineLvl w:val="9"/>
        <w:rPr>
          <w:rFonts w:hint="eastAsia" w:ascii="宋体" w:hAnsi="宋体" w:eastAsia="宋体" w:cs="宋体"/>
          <w:b/>
          <w:color w:val="auto"/>
          <w:sz w:val="24"/>
          <w:szCs w:val="22"/>
          <w:lang w:eastAsia="zh-CN"/>
        </w:rPr>
      </w:pPr>
      <w:r>
        <w:rPr>
          <w:rFonts w:hint="eastAsia" w:ascii="宋体" w:hAnsi="宋体" w:eastAsia="宋体" w:cs="宋体"/>
          <w:b/>
          <w:color w:val="auto"/>
          <w:sz w:val="24"/>
          <w:szCs w:val="22"/>
          <w:lang w:eastAsia="zh-CN"/>
        </w:rPr>
        <w:t>甲方使用单位：西安建筑科技大学XX学院</w:t>
      </w:r>
      <w:r>
        <w:rPr>
          <w:rFonts w:hint="eastAsia" w:ascii="宋体" w:hAnsi="宋体" w:eastAsia="宋体" w:cs="宋体"/>
          <w:b/>
          <w:color w:val="auto"/>
          <w:sz w:val="24"/>
          <w:szCs w:val="22"/>
          <w:lang w:eastAsia="zh-CN"/>
        </w:rPr>
        <w:tab/>
      </w:r>
      <w:r>
        <w:rPr>
          <w:rFonts w:hint="eastAsia" w:ascii="宋体" w:hAnsi="宋体" w:eastAsia="宋体" w:cs="宋体"/>
          <w:b/>
          <w:color w:val="auto"/>
          <w:sz w:val="24"/>
          <w:szCs w:val="22"/>
          <w:lang w:eastAsia="zh-CN"/>
        </w:rPr>
        <w:t xml:space="preserve">          乙方： </w:t>
      </w:r>
    </w:p>
    <w:p w14:paraId="297BE94C">
      <w:pPr>
        <w:wordWrap/>
        <w:autoSpaceDE/>
        <w:autoSpaceDN/>
        <w:outlineLvl w:val="9"/>
        <w:rPr>
          <w:rFonts w:hint="eastAsia" w:ascii="宋体" w:hAnsi="宋体" w:eastAsia="宋体" w:cs="宋体"/>
          <w:b/>
          <w:color w:val="auto"/>
          <w:sz w:val="24"/>
          <w:szCs w:val="22"/>
          <w:lang w:eastAsia="zh-CN"/>
        </w:rPr>
      </w:pPr>
    </w:p>
    <w:p w14:paraId="1FDA2BC1">
      <w:pPr>
        <w:wordWrap/>
        <w:autoSpaceDE/>
        <w:autoSpaceDN/>
        <w:outlineLvl w:val="9"/>
        <w:rPr>
          <w:rFonts w:hint="eastAsia" w:ascii="宋体" w:hAnsi="宋体" w:eastAsia="宋体" w:cs="宋体"/>
          <w:b/>
          <w:color w:val="auto"/>
          <w:sz w:val="24"/>
          <w:szCs w:val="22"/>
          <w:lang w:eastAsia="zh-CN"/>
        </w:rPr>
      </w:pPr>
      <w:r>
        <w:rPr>
          <w:rFonts w:hint="eastAsia" w:ascii="宋体" w:hAnsi="宋体" w:eastAsia="宋体" w:cs="宋体"/>
          <w:b/>
          <w:color w:val="auto"/>
          <w:sz w:val="24"/>
          <w:szCs w:val="22"/>
          <w:lang w:eastAsia="zh-CN"/>
        </w:rPr>
        <w:t>负责人：                                        负责人：</w:t>
      </w:r>
    </w:p>
    <w:p w14:paraId="4E5FBC28">
      <w:pPr>
        <w:wordWrap/>
        <w:autoSpaceDE/>
        <w:autoSpaceDN/>
        <w:outlineLvl w:val="9"/>
        <w:rPr>
          <w:rFonts w:hint="eastAsia" w:ascii="宋体" w:hAnsi="宋体" w:eastAsia="宋体" w:cs="宋体"/>
          <w:b/>
          <w:color w:val="auto"/>
          <w:sz w:val="24"/>
          <w:szCs w:val="22"/>
          <w:lang w:eastAsia="zh-CN"/>
        </w:rPr>
      </w:pPr>
    </w:p>
    <w:p w14:paraId="041C8A4D">
      <w:pPr>
        <w:wordWrap/>
        <w:autoSpaceDE/>
        <w:autoSpaceDN/>
        <w:outlineLvl w:val="9"/>
        <w:rPr>
          <w:rFonts w:hint="eastAsia" w:ascii="宋体" w:hAnsi="宋体" w:eastAsia="宋体" w:cs="宋体"/>
          <w:b/>
          <w:color w:val="auto"/>
          <w:sz w:val="24"/>
          <w:szCs w:val="22"/>
          <w:lang w:eastAsia="zh-CN"/>
        </w:rPr>
      </w:pPr>
    </w:p>
    <w:p w14:paraId="3AC23FE7">
      <w:pPr>
        <w:wordWrap/>
        <w:autoSpaceDE/>
        <w:autoSpaceDN/>
        <w:outlineLvl w:val="9"/>
        <w:rPr>
          <w:rFonts w:hint="eastAsia" w:ascii="宋体" w:hAnsi="宋体" w:eastAsia="宋体" w:cs="宋体"/>
          <w:color w:val="auto"/>
          <w:sz w:val="21"/>
          <w:szCs w:val="22"/>
          <w:lang w:eastAsia="zh-CN"/>
        </w:rPr>
      </w:pPr>
    </w:p>
    <w:p w14:paraId="369C2D1B">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p>
    <w:p w14:paraId="38BC3899">
      <w:pPr>
        <w:wordWrap/>
        <w:autoSpaceDE/>
        <w:autoSpaceDN/>
        <w:outlineLvl w:val="9"/>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lang w:eastAsia="zh-CN"/>
        </w:rPr>
        <w:br w:type="page"/>
      </w:r>
    </w:p>
    <w:p w14:paraId="3D992E8A">
      <w:pPr>
        <w:widowControl/>
        <w:wordWrap/>
        <w:autoSpaceDE/>
        <w:autoSpaceDN/>
        <w:spacing w:line="360" w:lineRule="auto"/>
        <w:jc w:val="left"/>
        <w:outlineLvl w:val="9"/>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lang w:eastAsia="zh-CN"/>
        </w:rPr>
        <w:t>附件2：验收方法及标准</w:t>
      </w:r>
    </w:p>
    <w:p w14:paraId="60B05F5E">
      <w:pPr>
        <w:widowControl/>
        <w:wordWrap/>
        <w:autoSpaceDE/>
        <w:autoSpaceDN/>
        <w:spacing w:line="360" w:lineRule="auto"/>
        <w:jc w:val="center"/>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验收方法及标准</w:t>
      </w:r>
    </w:p>
    <w:p w14:paraId="3B270E40">
      <w:pPr>
        <w:widowControl/>
        <w:wordWrap/>
        <w:autoSpaceDE/>
        <w:autoSpaceDN/>
        <w:spacing w:line="360" w:lineRule="auto"/>
        <w:ind w:firstLine="482" w:firstLineChars="200"/>
        <w:jc w:val="left"/>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一、验收标准和方法：</w:t>
      </w:r>
    </w:p>
    <w:p w14:paraId="3E1438DC">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1.仪器设备的验收内容包括商务验收、技术验收和安全性能验收三部分。</w:t>
      </w:r>
    </w:p>
    <w:p w14:paraId="6C6C39A1">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w:t>
      </w:r>
    </w:p>
    <w:p w14:paraId="133CE766">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1.2技术验收是指由使用单位依据合同技术附件、招投标文件及产品出厂的主要技术指标，对仪器设备的各项功能进行验收。</w:t>
      </w:r>
    </w:p>
    <w:p w14:paraId="53CA39A5">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1.3安全性能验收主要是指对仪器设备以及其安装场地、使用环境等辅助设施的安全性进行的验收。</w:t>
      </w:r>
    </w:p>
    <w:p w14:paraId="427961CB">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2.验收分为一次验收（初验）、专家验收和二次验收（终验）。</w:t>
      </w:r>
    </w:p>
    <w:p w14:paraId="01178F28">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2.1一次验收（初验）：由使用单位依据合同及上述规定的三部分验收内容逐条逐项一一核对。</w:t>
      </w:r>
    </w:p>
    <w:p w14:paraId="375CE393">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2.2专家验收：由专家组核查设备的技术性能、功能指标、安全性与合规性、配套资料完整性，以及是否满足合同约定及实际使用需求，确保设备质量合格、运行可靠，能够有效服务于教学、科研。</w:t>
      </w:r>
    </w:p>
    <w:p w14:paraId="53F90571">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2.3二次验收（终验）： 由学校验收小组核实使用单位初验意见及专家组验收意见，依据合同，结合使用单位提交的初验资料，对所供仪器设备进行抽样或全面检查，核实相关技术指标，观看现场演示。</w:t>
      </w:r>
    </w:p>
    <w:p w14:paraId="72672D84">
      <w:pPr>
        <w:widowControl/>
        <w:wordWrap/>
        <w:autoSpaceDE/>
        <w:autoSpaceDN/>
        <w:spacing w:line="360" w:lineRule="auto"/>
        <w:ind w:firstLine="482" w:firstLineChars="200"/>
        <w:jc w:val="left"/>
        <w:outlineLvl w:val="9"/>
        <w:rPr>
          <w:rFonts w:hint="eastAsia" w:ascii="宋体" w:hAnsi="宋体" w:eastAsia="宋体" w:cs="宋体"/>
          <w:b/>
          <w:color w:val="auto"/>
          <w:sz w:val="24"/>
          <w:szCs w:val="24"/>
          <w:lang w:eastAsia="zh-CN"/>
        </w:rPr>
      </w:pPr>
      <w:r>
        <w:rPr>
          <w:rFonts w:hint="eastAsia" w:ascii="宋体" w:hAnsi="宋体" w:cs="宋体"/>
          <w:b/>
          <w:color w:val="auto"/>
          <w:sz w:val="24"/>
          <w:szCs w:val="24"/>
          <w:lang w:val="en-US" w:eastAsia="zh-CN"/>
        </w:rPr>
        <w:t>二</w:t>
      </w:r>
      <w:r>
        <w:rPr>
          <w:rFonts w:hint="eastAsia" w:ascii="宋体" w:hAnsi="宋体" w:eastAsia="宋体" w:cs="宋体"/>
          <w:b/>
          <w:color w:val="auto"/>
          <w:sz w:val="24"/>
          <w:szCs w:val="24"/>
          <w:lang w:eastAsia="zh-CN"/>
        </w:rPr>
        <w:t>、开箱验收</w:t>
      </w:r>
    </w:p>
    <w:p w14:paraId="61827E5D">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1.产品运抵现场后，双方应及时开箱验收，并制作验收记录，以确认与本合同约定的数量、型号等是否一致。</w:t>
      </w:r>
    </w:p>
    <w:p w14:paraId="195D44EF">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2.乙方应在交货前对产品的质量、规格、数量等进行详细而全面的检验，并出具证明产品符合合同规定的文件。该文件将作为申请付款单据的一部分，但有关质量、规格、数量的检验不应视为最终检验。</w:t>
      </w:r>
    </w:p>
    <w:p w14:paraId="3B898F78">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477577BB">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4.开箱验收中如发现产品的数量、规格与合同约定不符，甲方有权拒收产品，乙方应及时按甲方要求免费对拒收产品采取更换或其他必要的补救措施，直至开箱验收合格，方视为乙方完成交货。</w:t>
      </w:r>
    </w:p>
    <w:p w14:paraId="53EF9AA4">
      <w:pPr>
        <w:widowControl/>
        <w:wordWrap/>
        <w:autoSpaceDE/>
        <w:autoSpaceDN/>
        <w:spacing w:line="360" w:lineRule="auto"/>
        <w:ind w:firstLine="482" w:firstLineChars="200"/>
        <w:jc w:val="left"/>
        <w:outlineLvl w:val="9"/>
        <w:rPr>
          <w:rFonts w:hint="eastAsia" w:ascii="宋体" w:hAnsi="宋体" w:eastAsia="宋体" w:cs="宋体"/>
          <w:b/>
          <w:color w:val="auto"/>
          <w:sz w:val="24"/>
          <w:szCs w:val="24"/>
          <w:lang w:eastAsia="zh-CN"/>
        </w:rPr>
      </w:pPr>
      <w:r>
        <w:rPr>
          <w:rFonts w:hint="eastAsia" w:ascii="宋体" w:hAnsi="宋体" w:cs="宋体"/>
          <w:b/>
          <w:color w:val="auto"/>
          <w:sz w:val="24"/>
          <w:szCs w:val="24"/>
          <w:lang w:val="en-US" w:eastAsia="zh-CN"/>
        </w:rPr>
        <w:t>三</w:t>
      </w:r>
      <w:r>
        <w:rPr>
          <w:rFonts w:hint="eastAsia" w:ascii="宋体" w:hAnsi="宋体" w:eastAsia="宋体" w:cs="宋体"/>
          <w:b/>
          <w:color w:val="auto"/>
          <w:sz w:val="24"/>
          <w:szCs w:val="24"/>
          <w:lang w:eastAsia="zh-CN"/>
        </w:rPr>
        <w:t>、检验验收</w:t>
      </w:r>
    </w:p>
    <w:p w14:paraId="649BE267">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交货完成后，乙方应及时组装、调试、试运行，并保证设备的全面性、连续性、稳定性运行。按照合同条款规定的试运行完成后，双方及时组织对产品检验验收。合同双方均须派人参加合同要求双方参加的试验、检验。</w:t>
      </w:r>
    </w:p>
    <w:p w14:paraId="03D1C3D3">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2.在具体实施合同规定的检验验收之前，乙方需提前提交相应的测试计划（包括测试程序、测试内容和检验标准、试验时间安排等）供甲方确认。</w:t>
      </w:r>
    </w:p>
    <w:p w14:paraId="717BCA3D">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3.除需甲方确认的试验验收外，乙方还应对所有检验验收测试的结果、步骤、原始数据等作妥善记录。如甲方要求，乙方应提供这些记录给甲方。</w:t>
      </w:r>
    </w:p>
    <w:p w14:paraId="22C16232">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4.检验测试出现全部或部分未达到本合同所约定的技术指标，甲方有权选择下列任一处理方式：</w:t>
      </w:r>
    </w:p>
    <w:p w14:paraId="64313F1B">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a.重新测试直至合格为止；</w:t>
      </w:r>
    </w:p>
    <w:p w14:paraId="05666E54">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b.要求乙方对货物进行免费更换，然后重新测试直至合格为止；</w:t>
      </w:r>
    </w:p>
    <w:p w14:paraId="2F3EB454">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无论选择何种方式，甲方因此而发生的因乙方原因引起的所有费用均由乙方负担。</w:t>
      </w:r>
    </w:p>
    <w:p w14:paraId="4F80783B">
      <w:pPr>
        <w:widowControl/>
        <w:wordWrap/>
        <w:autoSpaceDE/>
        <w:autoSpaceDN/>
        <w:spacing w:line="360" w:lineRule="auto"/>
        <w:ind w:firstLine="482" w:firstLineChars="200"/>
        <w:jc w:val="left"/>
        <w:outlineLvl w:val="9"/>
        <w:rPr>
          <w:rFonts w:hint="eastAsia" w:ascii="宋体" w:hAnsi="宋体" w:eastAsia="宋体" w:cs="宋体"/>
          <w:b/>
          <w:color w:val="auto"/>
          <w:sz w:val="24"/>
          <w:szCs w:val="24"/>
          <w:lang w:eastAsia="zh-CN"/>
        </w:rPr>
      </w:pPr>
      <w:r>
        <w:rPr>
          <w:rFonts w:hint="eastAsia" w:ascii="宋体" w:hAnsi="宋体" w:cs="宋体"/>
          <w:b/>
          <w:color w:val="auto"/>
          <w:sz w:val="24"/>
          <w:szCs w:val="24"/>
          <w:lang w:val="en-US" w:eastAsia="zh-CN"/>
        </w:rPr>
        <w:t>四</w:t>
      </w:r>
      <w:r>
        <w:rPr>
          <w:rFonts w:hint="eastAsia" w:ascii="宋体" w:hAnsi="宋体" w:eastAsia="宋体" w:cs="宋体"/>
          <w:b/>
          <w:color w:val="auto"/>
          <w:sz w:val="24"/>
          <w:szCs w:val="24"/>
          <w:lang w:eastAsia="zh-CN"/>
        </w:rPr>
        <w:t>、使用过程检验</w:t>
      </w:r>
    </w:p>
    <w:p w14:paraId="2F7F79FA">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61E1E110">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2.如果合同双方对乙方提供的上述试验结果报告的解释有分歧，双方须于出现分歧后10天内给对方声明，以陈述己方的观点。声明须附有关证据。分歧应通过协商解决。</w:t>
      </w:r>
    </w:p>
    <w:p w14:paraId="7E7C5904">
      <w:pPr>
        <w:widowControl/>
        <w:wordWrap/>
        <w:autoSpaceDE/>
        <w:autoSpaceDN/>
        <w:spacing w:line="360" w:lineRule="auto"/>
        <w:ind w:firstLine="482" w:firstLineChars="200"/>
        <w:jc w:val="left"/>
        <w:outlineLvl w:val="9"/>
        <w:rPr>
          <w:rFonts w:hint="eastAsia" w:ascii="宋体" w:hAnsi="宋体" w:eastAsia="宋体" w:cs="宋体"/>
          <w:b/>
          <w:color w:val="auto"/>
          <w:sz w:val="24"/>
          <w:szCs w:val="24"/>
          <w:lang w:eastAsia="zh-CN"/>
        </w:rPr>
      </w:pPr>
      <w:r>
        <w:rPr>
          <w:rFonts w:hint="eastAsia" w:ascii="宋体" w:hAnsi="宋体" w:cs="宋体"/>
          <w:b/>
          <w:color w:val="auto"/>
          <w:sz w:val="24"/>
          <w:szCs w:val="24"/>
          <w:lang w:val="en-US" w:eastAsia="zh-CN"/>
        </w:rPr>
        <w:t>五</w:t>
      </w:r>
      <w:r>
        <w:rPr>
          <w:rFonts w:hint="eastAsia" w:ascii="宋体" w:hAnsi="宋体" w:eastAsia="宋体" w:cs="宋体"/>
          <w:b/>
          <w:color w:val="auto"/>
          <w:sz w:val="24"/>
          <w:szCs w:val="24"/>
          <w:lang w:eastAsia="zh-CN"/>
        </w:rPr>
        <w:t>、安装验收</w:t>
      </w:r>
    </w:p>
    <w:p w14:paraId="525B6E4D">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若本项目有安装设计图纸，乙方应严格按照本项目设计图纸要求进行安装，并应接受甲方的检查、检验，乙方应为甲方检查时提供便利条件，对不合格的部分应按要求返工修改，同时承担由自身原因导致返工的修改费用。</w:t>
      </w:r>
    </w:p>
    <w:p w14:paraId="6B36CF7D">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2.乙方安装完毕后应进行自检，自检合格后3个工作日内通知甲方进行验收。甲方按照学校验收要求，及时组织验收。若验收不合格，乙方应在甲方限定时间内进行修改并组织再次验收，直至验收合格。</w:t>
      </w:r>
    </w:p>
    <w:p w14:paraId="78B0D2B4">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3.所有验收合格，但不能免除乙方应该承担的质保责任。</w:t>
      </w:r>
    </w:p>
    <w:p w14:paraId="50D87969">
      <w:pPr>
        <w:widowControl/>
        <w:wordWrap/>
        <w:autoSpaceDE/>
        <w:autoSpaceDN/>
        <w:spacing w:line="360" w:lineRule="auto"/>
        <w:ind w:firstLine="482" w:firstLineChars="200"/>
        <w:jc w:val="left"/>
        <w:outlineLvl w:val="9"/>
        <w:rPr>
          <w:rFonts w:hint="eastAsia" w:ascii="宋体" w:hAnsi="宋体" w:eastAsia="宋体" w:cs="宋体"/>
          <w:b/>
          <w:color w:val="auto"/>
          <w:sz w:val="24"/>
          <w:szCs w:val="24"/>
          <w:lang w:eastAsia="zh-CN"/>
        </w:rPr>
      </w:pPr>
      <w:r>
        <w:rPr>
          <w:rFonts w:hint="eastAsia" w:ascii="宋体" w:hAnsi="宋体" w:cs="宋体"/>
          <w:b/>
          <w:color w:val="auto"/>
          <w:sz w:val="24"/>
          <w:szCs w:val="24"/>
          <w:lang w:val="en-US" w:eastAsia="zh-CN"/>
        </w:rPr>
        <w:t>六</w:t>
      </w:r>
      <w:r>
        <w:rPr>
          <w:rFonts w:hint="eastAsia" w:ascii="宋体" w:hAnsi="宋体" w:eastAsia="宋体" w:cs="宋体"/>
          <w:b/>
          <w:color w:val="auto"/>
          <w:sz w:val="24"/>
          <w:szCs w:val="24"/>
          <w:lang w:eastAsia="zh-CN"/>
        </w:rPr>
        <w:t>、安全管理</w:t>
      </w:r>
    </w:p>
    <w:p w14:paraId="68C880E4">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1.货物安装现场安全、文明管理由乙方编制专项详细方案并严格执行。</w:t>
      </w:r>
    </w:p>
    <w:p w14:paraId="610C2887">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乙方必须认真执行省市有关施工安全生产条例和规定以及甲方管理要求，并做好安全管理工作，避免并杜绝安全事故的发生。如发生工程、财产和人身伤害以及安全事故，一切责任与后果均由乙方承担，同时，给甲方造成损失，甲方将视情况对乙方处以相应的经济赔偿。</w:t>
      </w:r>
    </w:p>
    <w:p w14:paraId="6DB5AFA0">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3.在设备安装施工全过程中，乙方应服从甲方的各项管理，并对乙方施工人员进行安全管理。</w:t>
      </w:r>
    </w:p>
    <w:p w14:paraId="065238E6">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4.确保现场建筑物及相关设施设备完好无损，如施工过程中出现损坏，乙方负责修复赔偿。</w:t>
      </w:r>
    </w:p>
    <w:p w14:paraId="73202343">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5.乙方应对安装施工人员相关岗位上岗资格进行审查，并对相关后果负责。</w:t>
      </w:r>
    </w:p>
    <w:p w14:paraId="38FA439A">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p>
    <w:p w14:paraId="71B33585">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p>
    <w:p w14:paraId="79773CE3">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p>
    <w:p w14:paraId="40A7DCFC">
      <w:pPr>
        <w:wordWrap/>
        <w:autoSpaceDE/>
        <w:autoSpaceDN/>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lang w:eastAsia="zh-CN"/>
        </w:rPr>
        <w:br w:type="page"/>
      </w:r>
    </w:p>
    <w:p w14:paraId="6814F2DF">
      <w:pPr>
        <w:widowControl/>
        <w:wordWrap/>
        <w:autoSpaceDE/>
        <w:autoSpaceDN/>
        <w:spacing w:line="360" w:lineRule="auto"/>
        <w:jc w:val="left"/>
        <w:outlineLvl w:val="9"/>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lang w:eastAsia="zh-CN"/>
        </w:rPr>
        <w:t>附件3：索赔</w:t>
      </w:r>
    </w:p>
    <w:p w14:paraId="1861D7CE">
      <w:pPr>
        <w:widowControl/>
        <w:wordWrap/>
        <w:autoSpaceDE/>
        <w:autoSpaceDN/>
        <w:spacing w:line="360" w:lineRule="auto"/>
        <w:ind w:left="0" w:leftChars="0" w:firstLine="0" w:firstLineChars="0"/>
        <w:jc w:val="center"/>
        <w:outlineLvl w:val="9"/>
        <w:rPr>
          <w:rFonts w:hint="eastAsia" w:ascii="宋体" w:hAnsi="宋体" w:eastAsia="宋体" w:cs="宋体"/>
          <w:color w:val="auto"/>
          <w:sz w:val="24"/>
          <w:szCs w:val="24"/>
          <w:lang w:eastAsia="zh-CN"/>
        </w:rPr>
      </w:pPr>
      <w:r>
        <w:rPr>
          <w:rFonts w:hint="eastAsia" w:ascii="宋体" w:hAnsi="宋体" w:eastAsia="宋体" w:cs="宋体"/>
          <w:b/>
          <w:color w:val="auto"/>
          <w:kern w:val="0"/>
          <w:sz w:val="28"/>
          <w:szCs w:val="28"/>
          <w:lang w:eastAsia="zh-CN"/>
        </w:rPr>
        <w:t>索 赔</w:t>
      </w:r>
    </w:p>
    <w:p w14:paraId="186C689B">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0DA70948">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2.在验收合格前，乙方对甲方提出的索赔负有责任，乙方应按照甲方同意的下列一种或多种方式解决索赔事宜：</w:t>
      </w:r>
    </w:p>
    <w:p w14:paraId="3785616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3191188F">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2.2根据货物低劣程度、损坏程度以及甲方所遭受损失的数额，经甲乙双方商定降低货物的价格，或由有资质的中介机构评估，以降低后的价格或评估价格为准。</w:t>
      </w:r>
    </w:p>
    <w:p w14:paraId="16482236">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148BA70D">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3.乙方收到甲方发出的索赔通知之日起5个工作日内未作答复的，甲方可从合同款或履约保证金中扣回索赔金额，如金额不足以补偿索赔金额，乙方应补足差额部分。</w:t>
      </w:r>
      <w:r>
        <w:rPr>
          <w:rFonts w:hint="eastAsia" w:ascii="宋体" w:hAnsi="宋体" w:eastAsia="宋体" w:cs="宋体"/>
          <w:color w:val="auto"/>
          <w:kern w:val="0"/>
          <w:sz w:val="24"/>
          <w:szCs w:val="24"/>
          <w:lang w:eastAsia="zh-CN"/>
        </w:rPr>
        <w:br w:type="textWrapping"/>
      </w: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0F522">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4DD5C">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t xml:space="preserve">第 </w:t>
                          </w: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- 2 -</w:t>
                          </w:r>
                          <w:r>
                            <w:rPr>
                              <w:rFonts w:ascii="Times New Roman" w:hAnsi="Times New Roman" w:eastAsia="宋体" w:cs="Times New Roman"/>
                              <w:kern w:val="2"/>
                              <w:sz w:val="18"/>
                              <w:szCs w:val="18"/>
                              <w:lang w:val="en-US" w:eastAsia="zh-CN" w:bidi="ar-SA"/>
                            </w:rPr>
                            <w:fldChar w:fldCharType="end"/>
                          </w:r>
                          <w:r>
                            <w:rPr>
                              <w:rFonts w:ascii="Times New Roman" w:hAnsi="Times New Roman" w:eastAsia="宋体" w:cs="Times New Roman"/>
                              <w:kern w:val="2"/>
                              <w:sz w:val="18"/>
                              <w:szCs w:val="18"/>
                              <w:lang w:val="en-US" w:eastAsia="zh-CN" w:bidi="ar-SA"/>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1A74DD5C">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t xml:space="preserve">第 </w:t>
                    </w: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- 2 -</w:t>
                    </w:r>
                    <w:r>
                      <w:rPr>
                        <w:rFonts w:ascii="Times New Roman" w:hAnsi="Times New Roman" w:eastAsia="宋体" w:cs="Times New Roman"/>
                        <w:kern w:val="2"/>
                        <w:sz w:val="18"/>
                        <w:szCs w:val="18"/>
                        <w:lang w:val="en-US" w:eastAsia="zh-CN" w:bidi="ar-SA"/>
                      </w:rPr>
                      <w:fldChar w:fldCharType="end"/>
                    </w:r>
                    <w:r>
                      <w:rPr>
                        <w:rFonts w:ascii="Times New Roman" w:hAnsi="Times New Roman" w:eastAsia="宋体" w:cs="Times New Roman"/>
                        <w:kern w:val="2"/>
                        <w:sz w:val="18"/>
                        <w:szCs w:val="18"/>
                        <w:lang w:val="en-US" w:eastAsia="zh-CN" w:bidi="ar-S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B445B"/>
    <w:multiLevelType w:val="multilevel"/>
    <w:tmpl w:val="207B445B"/>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FA24DF2"/>
    <w:rsid w:val="140D67D5"/>
    <w:rsid w:val="264F0079"/>
    <w:rsid w:val="340B271C"/>
    <w:rsid w:val="36DE2219"/>
    <w:rsid w:val="3DB12C1D"/>
    <w:rsid w:val="403B217E"/>
    <w:rsid w:val="58BC239B"/>
    <w:rsid w:val="64DF3A6C"/>
    <w:rsid w:val="66167B0E"/>
    <w:rsid w:val="676650A3"/>
    <w:rsid w:val="677271C9"/>
    <w:rsid w:val="697314F9"/>
    <w:rsid w:val="70F34A0C"/>
    <w:rsid w:val="78374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2">
    <w:name w:val="heading 2"/>
    <w:basedOn w:val="1"/>
    <w:next w:val="1"/>
    <w:qFormat/>
    <w:uiPriority w:val="1"/>
    <w:pPr>
      <w:ind w:left="501" w:hanging="401"/>
      <w:outlineLvl w:val="1"/>
    </w:pPr>
    <w:rPr>
      <w:rFonts w:ascii="Microsoft JhengHei" w:hAnsi="Microsoft JhengHei" w:eastAsia="Microsoft JhengHei" w:cs="Microsoft JhengHei"/>
      <w:b/>
      <w:bCs/>
      <w:szCs w:val="32"/>
    </w:rPr>
  </w:style>
  <w:style w:type="paragraph" w:styleId="3">
    <w:name w:val="heading 3"/>
    <w:basedOn w:val="1"/>
    <w:next w:val="1"/>
    <w:qFormat/>
    <w:uiPriority w:val="1"/>
    <w:pPr>
      <w:ind w:left="726" w:hanging="489"/>
      <w:outlineLvl w:val="2"/>
    </w:pPr>
    <w:rPr>
      <w:rFonts w:ascii="宋体" w:hAnsi="宋体" w:eastAsia="宋体" w:cs="宋体"/>
      <w:sz w:val="28"/>
      <w:szCs w:val="28"/>
    </w:rPr>
  </w:style>
  <w:style w:type="paragraph" w:styleId="4">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ordWrap/>
      <w:autoSpaceDE/>
      <w:autoSpaceDN/>
      <w:ind w:firstLine="420" w:firstLineChars="200"/>
    </w:pPr>
    <w:rPr>
      <w:rFonts w:ascii="Times New Roman"/>
      <w:sz w:val="21"/>
    </w:rPr>
  </w:style>
  <w:style w:type="paragraph" w:styleId="6">
    <w:name w:val="Body Text"/>
    <w:basedOn w:val="1"/>
    <w:qFormat/>
    <w:uiPriority w:val="1"/>
    <w:rPr>
      <w:rFonts w:ascii="宋体" w:hAnsi="宋体" w:eastAsia="宋体" w:cs="宋体"/>
      <w:sz w:val="21"/>
      <w:szCs w:val="21"/>
    </w:rPr>
  </w:style>
  <w:style w:type="paragraph" w:styleId="7">
    <w:name w:val="Plain Text"/>
    <w:basedOn w:val="1"/>
    <w:qFormat/>
    <w:uiPriority w:val="0"/>
    <w:rPr>
      <w:rFonts w:ascii="宋体" w:hAnsi="Courier New"/>
    </w:rPr>
  </w:style>
  <w:style w:type="paragraph" w:styleId="8">
    <w:name w:val="Body Text Indent 2"/>
    <w:basedOn w:val="1"/>
    <w:qFormat/>
    <w:uiPriority w:val="0"/>
    <w:pPr>
      <w:ind w:left="555"/>
    </w:pPr>
    <w:rPr>
      <w:sz w:val="28"/>
      <w:szCs w:val="20"/>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13">
    <w:name w:val="标题 1 字符"/>
    <w:link w:val="14"/>
    <w:qFormat/>
    <w:uiPriority w:val="99"/>
    <w:rPr>
      <w:rFonts w:hint="eastAsia" w:ascii="宋体" w:hAnsi="宋体"/>
      <w:b/>
      <w:bCs/>
      <w:kern w:val="44"/>
      <w:sz w:val="48"/>
      <w:szCs w:val="48"/>
    </w:rPr>
  </w:style>
  <w:style w:type="paragraph" w:customStyle="1" w:styleId="14">
    <w:name w:val="标题 11"/>
    <w:basedOn w:val="1"/>
    <w:link w:val="13"/>
    <w:qFormat/>
    <w:uiPriority w:val="0"/>
    <w:pPr>
      <w:spacing w:beforeAutospacing="1" w:afterAutospacing="1"/>
      <w:jc w:val="left"/>
      <w:outlineLvl w:val="0"/>
    </w:pPr>
    <w:rPr>
      <w:rFonts w:hint="eastAsia" w:ascii="宋体" w:hAnsi="宋体"/>
      <w:b/>
      <w:bCs/>
      <w:kern w:val="44"/>
      <w:sz w:val="48"/>
      <w:szCs w:val="48"/>
    </w:rPr>
  </w:style>
  <w:style w:type="paragraph" w:customStyle="1" w:styleId="15">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6">
    <w:name w:val="List Paragraph"/>
    <w:basedOn w:val="1"/>
    <w:qFormat/>
    <w:uiPriority w:val="1"/>
    <w:pPr>
      <w:ind w:left="100" w:firstLine="420"/>
    </w:pPr>
    <w:rPr>
      <w:rFonts w:ascii="宋体" w:hAnsi="宋体" w:eastAsia="宋体" w:cs="宋体"/>
    </w:rPr>
  </w:style>
  <w:style w:type="paragraph" w:customStyle="1" w:styleId="17">
    <w:name w:val="Table Paragraph"/>
    <w:basedOn w:val="1"/>
    <w:qFormat/>
    <w:uiPriority w:val="1"/>
    <w:rPr>
      <w:rFonts w:ascii="宋体" w:hAnsi="宋体" w:eastAsia="宋体" w:cs="宋体"/>
    </w:rPr>
  </w:style>
  <w:style w:type="paragraph" w:styleId="18">
    <w:name w:val="No Spacing"/>
    <w:qFormat/>
    <w:uiPriority w:val="1"/>
    <w:pPr>
      <w:widowControl w:val="0"/>
    </w:pPr>
    <w:rPr>
      <w:rFonts w:asciiTheme="minorHAnsi" w:hAnsiTheme="minorHAnsi" w:eastAsiaTheme="minorEastAsia" w:cstheme="minorBidi"/>
      <w:kern w:val="2"/>
      <w:sz w:val="22"/>
      <w:szCs w:val="24"/>
      <w:lang w:val="en-US" w:eastAsia="zh-CN" w:bidi="ar-SA"/>
      <w14:ligatures w14:val="standardContextual"/>
    </w:rPr>
  </w:style>
  <w:style w:type="paragraph" w:customStyle="1" w:styleId="1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6596</Words>
  <Characters>6844</Characters>
  <Lines>0</Lines>
  <Paragraphs>0</Paragraphs>
  <TotalTime>1</TotalTime>
  <ScaleCrop>false</ScaleCrop>
  <LinksUpToDate>false</LinksUpToDate>
  <CharactersWithSpaces>7050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H</cp:lastModifiedBy>
  <dcterms:modified xsi:type="dcterms:W3CDTF">2026-05-25T08:06:00Z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931211DB81484091B2ECF6BC9BD07C8C_13</vt:lpwstr>
  </property>
  <property fmtid="{D5CDD505-2E9C-101B-9397-08002B2CF9AE}" pid="4" name="KSOTemplateDocerSaveRecord">
    <vt:lpwstr>eyJoZGlkIjoiNWVlZWQ2MGQxNmE1ODQyMmRiYjA3Yzk4MTMyMWVjOGQiLCJ1c2VySWQiOiI1MjUwOTc0MjQifQ==</vt:lpwstr>
  </property>
</Properties>
</file>