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版本号：SXBPRZB-2026070620260708001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洋县义教段学校护眼灯采购项目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SXBPRZB-20260706</w:t>
      </w:r>
      <w:r>
        <w:br/>
      </w:r>
      <w:r>
        <w:br/>
      </w:r>
      <w:r>
        <w:br/>
      </w:r>
    </w:p>
    <w:p>
      <w:pPr>
        <w:pStyle w:val="null3"/>
        <w:jc w:val="center"/>
        <w:outlineLvl w:val="2"/>
      </w:pPr>
      <w:r>
        <w:rPr>
          <w:rFonts w:ascii="仿宋_GB2312" w:hAnsi="仿宋_GB2312" w:cs="仿宋_GB2312" w:eastAsia="仿宋_GB2312"/>
          <w:sz w:val="28"/>
          <w:b/>
        </w:rPr>
        <w:t>洋县教育体育局（机关）</w:t>
      </w:r>
    </w:p>
    <w:p>
      <w:pPr>
        <w:pStyle w:val="null3"/>
        <w:jc w:val="center"/>
        <w:outlineLvl w:val="2"/>
      </w:pPr>
      <w:r>
        <w:rPr>
          <w:rFonts w:ascii="仿宋_GB2312" w:hAnsi="仿宋_GB2312" w:cs="仿宋_GB2312" w:eastAsia="仿宋_GB2312"/>
          <w:sz w:val="28"/>
          <w:b/>
        </w:rPr>
        <w:t>陕西博鹏瑞项目管理有限公司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陕西博鹏瑞项目管理有限公司</w:t>
      </w:r>
      <w:r>
        <w:rPr>
          <w:rFonts w:ascii="仿宋_GB2312" w:hAnsi="仿宋_GB2312" w:cs="仿宋_GB2312" w:eastAsia="仿宋_GB2312"/>
        </w:rPr>
        <w:t>（以下简称“代理机构”）受</w:t>
      </w:r>
      <w:r>
        <w:rPr>
          <w:rFonts w:ascii="仿宋_GB2312" w:hAnsi="仿宋_GB2312" w:cs="仿宋_GB2312" w:eastAsia="仿宋_GB2312"/>
        </w:rPr>
        <w:t>洋县教育体育局（机关）</w:t>
      </w:r>
      <w:r>
        <w:rPr>
          <w:rFonts w:ascii="仿宋_GB2312" w:hAnsi="仿宋_GB2312" w:cs="仿宋_GB2312" w:eastAsia="仿宋_GB2312"/>
        </w:rPr>
        <w:t>委托，拟对</w:t>
      </w:r>
      <w:r>
        <w:rPr>
          <w:rFonts w:ascii="仿宋_GB2312" w:hAnsi="仿宋_GB2312" w:cs="仿宋_GB2312" w:eastAsia="仿宋_GB2312"/>
        </w:rPr>
        <w:t>洋县义教段学校护眼灯采购项目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SXBPRZB-20260706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洋县义教段学校护眼灯采购项目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为洋县义务教育段部分农村及城市重点学校的教室安装护眼灯</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定代表人、其他组织或自然人，营业执照、组织机构代码证、税务登记证（多证合一只提供营业执照，事业单位提供事业单位法定代表人证书，自然人提供本人身份证）合法有效；</w:t>
      </w:r>
    </w:p>
    <w:p>
      <w:pPr>
        <w:pStyle w:val="null3"/>
      </w:pPr>
      <w:r>
        <w:rPr>
          <w:rFonts w:ascii="仿宋_GB2312" w:hAnsi="仿宋_GB2312" w:cs="仿宋_GB2312" w:eastAsia="仿宋_GB2312"/>
        </w:rPr>
        <w:t>2、法定代表人授权书：法定代表人授权书（附法定代表人身份证复印件）及被授权人身份证（法定代表人直接参加投标只须提供法定代表人身份证）；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3、承诺函：响应《汉中市政府采购供应商资格承诺函》;</w:t>
      </w:r>
    </w:p>
    <w:p>
      <w:pPr>
        <w:pStyle w:val="null3"/>
      </w:pPr>
      <w:r>
        <w:rPr>
          <w:rFonts w:ascii="仿宋_GB2312" w:hAnsi="仿宋_GB2312" w:cs="仿宋_GB2312" w:eastAsia="仿宋_GB2312"/>
        </w:rPr>
        <w:t>4、非联合体投标：本项目不接受联合体投标。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洋县教育体育局（机关）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洋县唐塔南路31号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洋县教育体育局（机关）经办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13484891986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陕西博鹏瑞项目管理有限公司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 汉台区兴汉路南缙颐·久玺台售楼部 2 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0916-8889891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采购包1：604,800.00元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开户名称：陕西博鹏瑞项目管理有限公司</w:t>
            </w:r>
          </w:p>
          <w:p>
            <w:pPr>
              <w:pStyle w:val="null3"/>
            </w:pPr>
            <w:r>
              <w:rPr>
                <w:rFonts w:ascii="仿宋_GB2312" w:hAnsi="仿宋_GB2312" w:cs="仿宋_GB2312" w:eastAsia="仿宋_GB2312"/>
              </w:rPr>
              <w:t>开户银行：工商银行汉中人民路支行</w:t>
            </w:r>
          </w:p>
          <w:p>
            <w:pPr>
              <w:pStyle w:val="null3"/>
            </w:pPr>
            <w:r>
              <w:rPr>
                <w:rFonts w:ascii="仿宋_GB2312" w:hAnsi="仿宋_GB2312" w:cs="仿宋_GB2312" w:eastAsia="仿宋_GB2312"/>
              </w:rPr>
              <w:t>银行账号：2606053619200259834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额为基数，参照《招标代理服务收费管理暂⾏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洋县教育体育局（机关）</w:t>
      </w:r>
      <w:r>
        <w:rPr>
          <w:rFonts w:ascii="仿宋_GB2312" w:hAnsi="仿宋_GB2312" w:cs="仿宋_GB2312" w:eastAsia="仿宋_GB2312"/>
        </w:rPr>
        <w:t>和</w:t>
      </w:r>
      <w:r>
        <w:rPr>
          <w:rFonts w:ascii="仿宋_GB2312" w:hAnsi="仿宋_GB2312" w:cs="仿宋_GB2312" w:eastAsia="仿宋_GB2312"/>
        </w:rPr>
        <w:t>陕西博鹏瑞项目管理有限公司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洋县教育体育局（机关）</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陕西博鹏瑞项目管理有限公司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洋县教育体育局（机关）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陕西博鹏瑞项目管理有限公司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符合国家行业标准及文件要求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陕西博鹏瑞项目管理有限公司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陕西博鹏瑞项目管理有限公司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陕西博鹏瑞项目管理有限公司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联系电话：18109163581</w:t>
      </w:r>
    </w:p>
    <w:p>
      <w:pPr>
        <w:pStyle w:val="null3"/>
      </w:pPr>
      <w:r>
        <w:rPr>
          <w:rFonts w:ascii="仿宋_GB2312" w:hAnsi="仿宋_GB2312" w:cs="仿宋_GB2312" w:eastAsia="仿宋_GB2312"/>
        </w:rPr>
        <w:t>地址：汉台区兴汉路南缙颐·久玺台售楼部 2 楼</w:t>
      </w:r>
    </w:p>
    <w:p>
      <w:pPr>
        <w:pStyle w:val="null3"/>
      </w:pPr>
      <w:r>
        <w:rPr>
          <w:rFonts w:ascii="仿宋_GB2312" w:hAnsi="仿宋_GB2312" w:cs="仿宋_GB2312" w:eastAsia="仿宋_GB2312"/>
        </w:rPr>
        <w:t>邮编：723200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为洋县义务教育段部分农村及城市重点学校的教室安装护眼灯</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604,800.00</w:t>
      </w:r>
    </w:p>
    <w:p>
      <w:pPr>
        <w:pStyle w:val="null3"/>
      </w:pPr>
      <w:r>
        <w:rPr>
          <w:rFonts w:ascii="仿宋_GB2312" w:hAnsi="仿宋_GB2312" w:cs="仿宋_GB2312" w:eastAsia="仿宋_GB2312"/>
        </w:rPr>
        <w:t>采购包最高限价（元）: 604,800.00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LED教室灯、LED黑板灯</w:t>
            </w:r>
          </w:p>
        </w:tc>
        <w:tc>
          <w:tcPr>
            <w:tcW w:type="dxa" w:w="755"/>
          </w:tcPr>
          <w:p>
            <w:pPr>
              <w:pStyle w:val="null3"/>
              <w:jc w:val="right"/>
            </w:pPr>
            <w:r>
              <w:rPr>
                <w:rFonts w:ascii="仿宋_GB2312" w:hAnsi="仿宋_GB2312" w:cs="仿宋_GB2312" w:eastAsia="仿宋_GB2312"/>
              </w:rPr>
              <w:t>1,260.00</w:t>
            </w:r>
          </w:p>
        </w:tc>
        <w:tc>
          <w:tcPr>
            <w:tcW w:type="dxa" w:w="755"/>
          </w:tcPr>
          <w:p>
            <w:pPr>
              <w:pStyle w:val="null3"/>
              <w:jc w:val="right"/>
            </w:pPr>
            <w:r>
              <w:rPr>
                <w:rFonts w:ascii="仿宋_GB2312" w:hAnsi="仿宋_GB2312" w:cs="仿宋_GB2312" w:eastAsia="仿宋_GB2312"/>
              </w:rPr>
              <w:t>604,800.00</w:t>
            </w:r>
          </w:p>
        </w:tc>
        <w:tc>
          <w:tcPr>
            <w:tcW w:type="dxa" w:w="755"/>
          </w:tcPr>
          <w:p>
            <w:pPr>
              <w:pStyle w:val="null3"/>
            </w:pPr>
            <w:r>
              <w:rPr>
                <w:rFonts w:ascii="仿宋_GB2312" w:hAnsi="仿宋_GB2312" w:cs="仿宋_GB2312" w:eastAsia="仿宋_GB2312"/>
              </w:rPr>
              <w:t>盏</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标的名称：LED教室灯、LED黑板灯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7"/>
              <w:gridCol w:w="166"/>
              <w:gridCol w:w="1898"/>
              <w:gridCol w:w="209"/>
              <w:gridCol w:w="143"/>
            </w:tblGrid>
            <w:tr>
              <w:tc>
                <w:tcPr>
                  <w:tcW w:type="dxa" w:w="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序号</w:t>
                  </w:r>
                </w:p>
              </w:tc>
              <w:tc>
                <w:tcPr>
                  <w:tcW w:type="dxa" w:w="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名称</w:t>
                  </w:r>
                </w:p>
              </w:tc>
              <w:tc>
                <w:tcPr>
                  <w:tcW w:type="dxa" w:w="18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技术参数</w:t>
                  </w:r>
                </w:p>
              </w:tc>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数量</w:t>
                  </w:r>
                </w:p>
              </w:tc>
              <w:tc>
                <w:tcPr>
                  <w:tcW w:type="dxa" w:w="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单位</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LED教室灯（核心产品）</w:t>
                  </w:r>
                </w:p>
              </w:tc>
              <w:tc>
                <w:tcPr>
                  <w:tcW w:type="dxa" w:w="1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LED教室灯宜采用</w:t>
                  </w:r>
                  <w:r>
                    <w:rPr>
                      <w:rFonts w:ascii="仿宋_GB2312" w:hAnsi="仿宋_GB2312" w:cs="仿宋_GB2312" w:eastAsia="仿宋_GB2312"/>
                      <w:sz w:val="20"/>
                    </w:rPr>
                    <w:t>高</w:t>
                  </w:r>
                  <w:r>
                    <w:rPr>
                      <w:rFonts w:ascii="仿宋_GB2312" w:hAnsi="仿宋_GB2312" w:cs="仿宋_GB2312" w:eastAsia="仿宋_GB2312"/>
                      <w:sz w:val="20"/>
                    </w:rPr>
                    <w:t>防眩</w:t>
                  </w:r>
                  <w:r>
                    <w:rPr>
                      <w:rFonts w:ascii="仿宋_GB2312" w:hAnsi="仿宋_GB2312" w:cs="仿宋_GB2312" w:eastAsia="仿宋_GB2312"/>
                      <w:sz w:val="20"/>
                    </w:rPr>
                    <w:t>光结构，</w:t>
                  </w:r>
                  <w:r>
                    <w:rPr>
                      <w:rFonts w:ascii="仿宋_GB2312" w:hAnsi="仿宋_GB2312" w:cs="仿宋_GB2312" w:eastAsia="仿宋_GB2312"/>
                      <w:sz w:val="20"/>
                    </w:rPr>
                    <w:t>一体化铝型材边框，</w:t>
                  </w:r>
                  <w:r>
                    <w:rPr>
                      <w:rFonts w:ascii="仿宋_GB2312" w:hAnsi="仿宋_GB2312" w:cs="仿宋_GB2312" w:eastAsia="仿宋_GB2312"/>
                      <w:sz w:val="20"/>
                    </w:rPr>
                    <w:t>金属背板</w:t>
                  </w:r>
                  <w:r>
                    <w:rPr>
                      <w:rFonts w:ascii="仿宋_GB2312" w:hAnsi="仿宋_GB2312" w:cs="仿宋_GB2312" w:eastAsia="仿宋_GB2312"/>
                      <w:sz w:val="20"/>
                    </w:rPr>
                    <w:t>；</w:t>
                  </w:r>
                  <w:r>
                    <w:rPr>
                      <w:rFonts w:ascii="仿宋_GB2312" w:hAnsi="仿宋_GB2312" w:cs="仿宋_GB2312" w:eastAsia="仿宋_GB2312"/>
                      <w:sz w:val="20"/>
                    </w:rPr>
                    <w:t>为</w:t>
                  </w:r>
                  <w:r>
                    <w:rPr>
                      <w:rFonts w:ascii="仿宋_GB2312" w:hAnsi="仿宋_GB2312" w:cs="仿宋_GB2312" w:eastAsia="仿宋_GB2312"/>
                      <w:sz w:val="20"/>
                    </w:rPr>
                    <w:t>便于后期检修、维护与更换，</w:t>
                  </w:r>
                  <w:r>
                    <w:rPr>
                      <w:rFonts w:ascii="仿宋_GB2312" w:hAnsi="仿宋_GB2312" w:cs="仿宋_GB2312" w:eastAsia="仿宋_GB2312"/>
                      <w:sz w:val="20"/>
                    </w:rPr>
                    <w:t>LED模块用电子控制装置需便于拆卸装修，满足后期维护</w:t>
                  </w:r>
                  <w:r>
                    <w:rPr>
                      <w:rFonts w:ascii="仿宋_GB2312" w:hAnsi="仿宋_GB2312" w:cs="仿宋_GB2312" w:eastAsia="仿宋_GB2312"/>
                      <w:sz w:val="20"/>
                    </w:rPr>
                    <w:t>；</w:t>
                  </w:r>
                  <w:r>
                    <w:rPr>
                      <w:rFonts w:ascii="仿宋_GB2312" w:hAnsi="仿宋_GB2312" w:cs="仿宋_GB2312" w:eastAsia="仿宋_GB2312"/>
                      <w:sz w:val="20"/>
                    </w:rPr>
                    <w:t>产品整体尺寸长</w:t>
                  </w: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00mm、宽≥2</w:t>
                  </w:r>
                  <w:r>
                    <w:rPr>
                      <w:rFonts w:ascii="仿宋_GB2312" w:hAnsi="仿宋_GB2312" w:cs="仿宋_GB2312" w:eastAsia="仿宋_GB2312"/>
                      <w:sz w:val="20"/>
                    </w:rPr>
                    <w:t>8</w:t>
                  </w:r>
                  <w:r>
                    <w:rPr>
                      <w:rFonts w:ascii="仿宋_GB2312" w:hAnsi="仿宋_GB2312" w:cs="仿宋_GB2312" w:eastAsia="仿宋_GB2312"/>
                      <w:sz w:val="20"/>
                    </w:rPr>
                    <w:t>0mm。</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LED教室灯</w:t>
                  </w:r>
                  <w:r>
                    <w:rPr>
                      <w:rFonts w:ascii="仿宋_GB2312" w:hAnsi="仿宋_GB2312" w:cs="仿宋_GB2312" w:eastAsia="仿宋_GB2312"/>
                      <w:sz w:val="20"/>
                    </w:rPr>
                    <w:t>功率</w:t>
                  </w:r>
                  <w:r>
                    <w:rPr>
                      <w:rFonts w:ascii="仿宋_GB2312" w:hAnsi="仿宋_GB2312" w:cs="仿宋_GB2312" w:eastAsia="仿宋_GB2312"/>
                      <w:sz w:val="20"/>
                    </w:rPr>
                    <w:t>≤</w:t>
                  </w:r>
                  <w:r>
                    <w:rPr>
                      <w:rFonts w:ascii="仿宋_GB2312" w:hAnsi="仿宋_GB2312" w:cs="仿宋_GB2312" w:eastAsia="仿宋_GB2312"/>
                      <w:sz w:val="20"/>
                    </w:rPr>
                    <w:t>36W，</w:t>
                  </w:r>
                  <w:r>
                    <w:rPr>
                      <w:rFonts w:ascii="仿宋_GB2312" w:hAnsi="仿宋_GB2312" w:cs="仿宋_GB2312" w:eastAsia="仿宋_GB2312"/>
                      <w:sz w:val="20"/>
                    </w:rPr>
                    <w:t>功率因数</w:t>
                  </w:r>
                  <w:r>
                    <w:rPr>
                      <w:rFonts w:ascii="仿宋_GB2312" w:hAnsi="仿宋_GB2312" w:cs="仿宋_GB2312" w:eastAsia="仿宋_GB2312"/>
                      <w:sz w:val="20"/>
                    </w:rPr>
                    <w:t>≥</w:t>
                  </w:r>
                  <w:r>
                    <w:rPr>
                      <w:rFonts w:ascii="仿宋_GB2312" w:hAnsi="仿宋_GB2312" w:cs="仿宋_GB2312" w:eastAsia="仿宋_GB2312"/>
                      <w:sz w:val="20"/>
                    </w:rPr>
                    <w:t>0.9</w:t>
                  </w:r>
                  <w:r>
                    <w:rPr>
                      <w:rFonts w:ascii="仿宋_GB2312" w:hAnsi="仿宋_GB2312" w:cs="仿宋_GB2312" w:eastAsia="仿宋_GB2312"/>
                      <w:sz w:val="20"/>
                    </w:rPr>
                    <w:t>5</w:t>
                  </w:r>
                  <w:r>
                    <w:rPr>
                      <w:rFonts w:ascii="仿宋_GB2312" w:hAnsi="仿宋_GB2312" w:cs="仿宋_GB2312" w:eastAsia="仿宋_GB2312"/>
                      <w:sz w:val="20"/>
                    </w:rPr>
                    <w:t>，灯具效能</w:t>
                  </w: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0lm/W，光通量≥3</w:t>
                  </w:r>
                  <w:r>
                    <w:rPr>
                      <w:rFonts w:ascii="仿宋_GB2312" w:hAnsi="仿宋_GB2312" w:cs="仿宋_GB2312" w:eastAsia="仿宋_GB2312"/>
                      <w:sz w:val="20"/>
                    </w:rPr>
                    <w:t>6</w:t>
                  </w:r>
                  <w:r>
                    <w:rPr>
                      <w:rFonts w:ascii="仿宋_GB2312" w:hAnsi="仿宋_GB2312" w:cs="仿宋_GB2312" w:eastAsia="仿宋_GB2312"/>
                      <w:sz w:val="20"/>
                    </w:rPr>
                    <w:t>00lm。</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LED教室灯额定色温</w:t>
                  </w:r>
                  <w:r>
                    <w:rPr>
                      <w:rFonts w:ascii="仿宋_GB2312" w:hAnsi="仿宋_GB2312" w:cs="仿宋_GB2312" w:eastAsia="仿宋_GB2312"/>
                      <w:sz w:val="20"/>
                    </w:rPr>
                    <w:t>3300-5300</w:t>
                  </w:r>
                  <w:r>
                    <w:rPr>
                      <w:rFonts w:ascii="仿宋_GB2312" w:hAnsi="仿宋_GB2312" w:cs="仿宋_GB2312" w:eastAsia="仿宋_GB2312"/>
                      <w:sz w:val="20"/>
                    </w:rPr>
                    <w:t>K，显色指数Ra</w:t>
                  </w:r>
                  <w:r>
                    <w:rPr>
                      <w:rFonts w:ascii="仿宋_GB2312" w:hAnsi="仿宋_GB2312" w:cs="仿宋_GB2312" w:eastAsia="仿宋_GB2312"/>
                      <w:sz w:val="20"/>
                    </w:rPr>
                    <w:t>≥</w:t>
                  </w:r>
                  <w:r>
                    <w:rPr>
                      <w:rFonts w:ascii="仿宋_GB2312" w:hAnsi="仿宋_GB2312" w:cs="仿宋_GB2312" w:eastAsia="仿宋_GB2312"/>
                      <w:sz w:val="20"/>
                    </w:rPr>
                    <w:t>90，R9＞50，色容差</w:t>
                  </w:r>
                  <w:r>
                    <w:rPr>
                      <w:rFonts w:ascii="仿宋_GB2312" w:hAnsi="仿宋_GB2312" w:cs="仿宋_GB2312" w:eastAsia="仿宋_GB2312"/>
                      <w:sz w:val="20"/>
                    </w:rPr>
                    <w:t>≤</w:t>
                  </w:r>
                  <w:r>
                    <w:rPr>
                      <w:rFonts w:ascii="仿宋_GB2312" w:hAnsi="仿宋_GB2312" w:cs="仿宋_GB2312" w:eastAsia="仿宋_GB2312"/>
                      <w:sz w:val="20"/>
                    </w:rPr>
                    <w:t>5。</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LED教室灯视网膜蓝光危害组别按IEC/TR 62778评估为 RG0。</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LED教室灯频闪</w:t>
                  </w:r>
                  <w:r>
                    <w:rPr>
                      <w:rFonts w:ascii="仿宋_GB2312" w:hAnsi="仿宋_GB2312" w:cs="仿宋_GB2312" w:eastAsia="仿宋_GB2312"/>
                      <w:sz w:val="20"/>
                    </w:rPr>
                    <w:t>检测</w:t>
                  </w:r>
                  <w:r>
                    <w:rPr>
                      <w:rFonts w:ascii="仿宋_GB2312" w:hAnsi="仿宋_GB2312" w:cs="仿宋_GB2312" w:eastAsia="仿宋_GB2312"/>
                      <w:sz w:val="20"/>
                    </w:rPr>
                    <w:t>结果为无显著影响</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LED教室灯光闪烁按IEC TR 61547-1的规定测得的PstLM≤1。</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LED教室灯频闪效应可见度SVM≤1。</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LED教室灯</w:t>
                  </w:r>
                  <w:r>
                    <w:rPr>
                      <w:rFonts w:ascii="仿宋_GB2312" w:hAnsi="仿宋_GB2312" w:cs="仿宋_GB2312" w:eastAsia="仿宋_GB2312"/>
                      <w:sz w:val="20"/>
                    </w:rPr>
                    <w:t>的额定寿命不低于</w:t>
                  </w:r>
                  <w:r>
                    <w:rPr>
                      <w:rFonts w:ascii="仿宋_GB2312" w:hAnsi="仿宋_GB2312" w:cs="仿宋_GB2312" w:eastAsia="仿宋_GB2312"/>
                      <w:sz w:val="20"/>
                    </w:rPr>
                    <w:t>5</w:t>
                  </w:r>
                  <w:r>
                    <w:rPr>
                      <w:rFonts w:ascii="仿宋_GB2312" w:hAnsi="仿宋_GB2312" w:cs="仿宋_GB2312" w:eastAsia="仿宋_GB2312"/>
                      <w:sz w:val="20"/>
                    </w:rPr>
                    <w:t>0000小时，正常燃点3000小时后，光通维持率应不低于96%，正常燃点6000小时后，光通维持率应不低于93%。</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、为保证产品的使用安全性，</w:t>
                  </w:r>
                  <w:r>
                    <w:rPr>
                      <w:rFonts w:ascii="仿宋_GB2312" w:hAnsi="仿宋_GB2312" w:cs="仿宋_GB2312" w:eastAsia="仿宋_GB2312"/>
                      <w:sz w:val="20"/>
                    </w:rPr>
                    <w:t>LED教室灯通过</w:t>
                  </w:r>
                  <w:r>
                    <w:rPr>
                      <w:rFonts w:ascii="仿宋_GB2312" w:hAnsi="仿宋_GB2312" w:cs="仿宋_GB2312" w:eastAsia="仿宋_GB2312"/>
                      <w:sz w:val="20"/>
                    </w:rPr>
                    <w:t>≥</w:t>
                  </w:r>
                  <w:r>
                    <w:rPr>
                      <w:rFonts w:ascii="仿宋_GB2312" w:hAnsi="仿宋_GB2312" w:cs="仿宋_GB2312" w:eastAsia="仿宋_GB2312"/>
                      <w:sz w:val="20"/>
                    </w:rPr>
                    <w:t>72小时UV老化测试，仍保持完整、不粉化、不起泡、不生锈、不开裂。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0、教室灯符合GB 38450-2019能效等级的1级要求。</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、教室课桌面上的维持平均照度值</w:t>
                  </w:r>
                  <w:r>
                    <w:rPr>
                      <w:rFonts w:ascii="仿宋_GB2312" w:hAnsi="仿宋_GB2312" w:cs="仿宋_GB2312" w:eastAsia="仿宋_GB2312"/>
                      <w:sz w:val="20"/>
                    </w:rPr>
                    <w:t>≥</w:t>
                  </w:r>
                  <w:r>
                    <w:rPr>
                      <w:rFonts w:ascii="仿宋_GB2312" w:hAnsi="仿宋_GB2312" w:cs="仿宋_GB2312" w:eastAsia="仿宋_GB2312"/>
                      <w:sz w:val="20"/>
                    </w:rPr>
                    <w:t>30</w:t>
                  </w:r>
                  <w:r>
                    <w:rPr>
                      <w:rFonts w:ascii="仿宋_GB2312" w:hAnsi="仿宋_GB2312" w:cs="仿宋_GB2312" w:eastAsia="仿宋_GB2312"/>
                      <w:sz w:val="20"/>
                    </w:rPr>
                    <w:t>0 lx，照度均匀度≥0.7，学生位置统一眩光值（UGR）≤16，照明维护系数应取0.8。</w:t>
                  </w:r>
                </w:p>
                <w:p>
                  <w:pPr>
                    <w:pStyle w:val="null3"/>
                    <w:jc w:val="both"/>
                  </w:pPr>
                  <w:r>
                    <w:rPr>
                      <w:rFonts w:ascii="仿宋_GB2312" w:hAnsi="仿宋_GB2312" w:cs="仿宋_GB2312" w:eastAsia="仿宋_GB2312"/>
                      <w:sz w:val="20"/>
                      <w:b/>
                    </w:rPr>
                    <w:t>注：</w:t>
                  </w:r>
                  <w:r>
                    <w:rPr>
                      <w:rFonts w:ascii="仿宋_GB2312" w:hAnsi="仿宋_GB2312" w:cs="仿宋_GB2312" w:eastAsia="仿宋_GB2312"/>
                      <w:sz w:val="20"/>
                    </w:rPr>
                    <w:t>★</w:t>
                  </w:r>
                  <w:r>
                    <w:rPr>
                      <w:rFonts w:ascii="仿宋_GB2312" w:hAnsi="仿宋_GB2312" w:cs="仿宋_GB2312" w:eastAsia="仿宋_GB2312"/>
                      <w:sz w:val="20"/>
                      <w:b/>
                    </w:rPr>
                    <w:t>须提供第三方检测机构出具的</w:t>
                  </w:r>
                  <w:r>
                    <w:rPr>
                      <w:rFonts w:ascii="仿宋_GB2312" w:hAnsi="仿宋_GB2312" w:cs="仿宋_GB2312" w:eastAsia="仿宋_GB2312"/>
                      <w:sz w:val="20"/>
                      <w:b/>
                    </w:rPr>
                    <w:t>CMA或CNAS标志的检测报告复印件。</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LED教室灯符合国家“CCC”产品认证要求。</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LED教室灯符合儿童青少年学习用灯具近视防控卫生要求。</w:t>
                  </w:r>
                </w:p>
                <w:p>
                  <w:pPr>
                    <w:pStyle w:val="null3"/>
                  </w:pPr>
                  <w:r>
                    <w:rPr>
                      <w:rFonts w:ascii="仿宋_GB2312" w:hAnsi="仿宋_GB2312" w:cs="仿宋_GB2312" w:eastAsia="仿宋_GB2312"/>
                      <w:sz w:val="20"/>
                      <w:b/>
                    </w:rPr>
                    <w:t>注：</w:t>
                  </w:r>
                  <w:r>
                    <w:rPr>
                      <w:rFonts w:ascii="仿宋_GB2312" w:hAnsi="仿宋_GB2312" w:cs="仿宋_GB2312" w:eastAsia="仿宋_GB2312"/>
                      <w:sz w:val="20"/>
                      <w:b/>
                    </w:rPr>
                    <w:t>12-13提供第三方检测机构出具有效期内认证证书及全国认证认可信息公共服务平台证书状态为“有效”查询截图。</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1012</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盏</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2</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LED黑板灯</w:t>
                  </w:r>
                </w:p>
              </w:tc>
              <w:tc>
                <w:tcPr>
                  <w:tcW w:type="dxa" w:w="1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LED黑板灯需为一体式格栅灯具，灯具主体采用铝型材；</w:t>
                  </w:r>
                  <w:r>
                    <w:rPr>
                      <w:rFonts w:ascii="仿宋_GB2312" w:hAnsi="仿宋_GB2312" w:cs="仿宋_GB2312" w:eastAsia="仿宋_GB2312"/>
                      <w:sz w:val="20"/>
                    </w:rPr>
                    <w:t>为</w:t>
                  </w:r>
                  <w:r>
                    <w:rPr>
                      <w:rFonts w:ascii="仿宋_GB2312" w:hAnsi="仿宋_GB2312" w:cs="仿宋_GB2312" w:eastAsia="仿宋_GB2312"/>
                      <w:sz w:val="20"/>
                    </w:rPr>
                    <w:t>便于后期检修、维护与更换，</w:t>
                  </w:r>
                  <w:r>
                    <w:rPr>
                      <w:rFonts w:ascii="仿宋_GB2312" w:hAnsi="仿宋_GB2312" w:cs="仿宋_GB2312" w:eastAsia="仿宋_GB2312"/>
                      <w:sz w:val="20"/>
                    </w:rPr>
                    <w:t>LED模块用电子控制装置需采用</w:t>
                  </w:r>
                  <w:r>
                    <w:rPr>
                      <w:rFonts w:ascii="仿宋_GB2312" w:hAnsi="仿宋_GB2312" w:cs="仿宋_GB2312" w:eastAsia="仿宋_GB2312"/>
                      <w:sz w:val="20"/>
                    </w:rPr>
                    <w:t>外置式设计</w:t>
                  </w:r>
                  <w:r>
                    <w:rPr>
                      <w:rFonts w:ascii="仿宋_GB2312" w:hAnsi="仿宋_GB2312" w:cs="仿宋_GB2312" w:eastAsia="仿宋_GB2312"/>
                      <w:sz w:val="20"/>
                    </w:rPr>
                    <w:t>；</w:t>
                  </w:r>
                  <w:r>
                    <w:rPr>
                      <w:rFonts w:ascii="仿宋_GB2312" w:hAnsi="仿宋_GB2312" w:cs="仿宋_GB2312" w:eastAsia="仿宋_GB2312"/>
                      <w:sz w:val="20"/>
                    </w:rPr>
                    <w:t>产品整灯尺寸：长度</w:t>
                  </w:r>
                  <w:r>
                    <w:rPr>
                      <w:rFonts w:ascii="仿宋_GB2312" w:hAnsi="仿宋_GB2312" w:cs="仿宋_GB2312" w:eastAsia="仿宋_GB2312"/>
                      <w:sz w:val="20"/>
                    </w:rPr>
                    <w:t>≥1100mm。</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LED黑板灯</w:t>
                  </w:r>
                  <w:r>
                    <w:rPr>
                      <w:rFonts w:ascii="仿宋_GB2312" w:hAnsi="仿宋_GB2312" w:cs="仿宋_GB2312" w:eastAsia="仿宋_GB2312"/>
                      <w:sz w:val="20"/>
                    </w:rPr>
                    <w:t>功率</w:t>
                  </w:r>
                  <w:r>
                    <w:rPr>
                      <w:rFonts w:ascii="仿宋_GB2312" w:hAnsi="仿宋_GB2312" w:cs="仿宋_GB2312" w:eastAsia="仿宋_GB2312"/>
                      <w:sz w:val="20"/>
                    </w:rPr>
                    <w:t>≤</w:t>
                  </w:r>
                  <w:r>
                    <w:rPr>
                      <w:rFonts w:ascii="仿宋_GB2312" w:hAnsi="仿宋_GB2312" w:cs="仿宋_GB2312" w:eastAsia="仿宋_GB2312"/>
                      <w:sz w:val="20"/>
                    </w:rPr>
                    <w:t>36W，</w:t>
                  </w:r>
                  <w:r>
                    <w:rPr>
                      <w:rFonts w:ascii="仿宋_GB2312" w:hAnsi="仿宋_GB2312" w:cs="仿宋_GB2312" w:eastAsia="仿宋_GB2312"/>
                      <w:sz w:val="20"/>
                    </w:rPr>
                    <w:t>功率因数</w:t>
                  </w:r>
                  <w:r>
                    <w:rPr>
                      <w:rFonts w:ascii="仿宋_GB2312" w:hAnsi="仿宋_GB2312" w:cs="仿宋_GB2312" w:eastAsia="仿宋_GB2312"/>
                      <w:sz w:val="20"/>
                    </w:rPr>
                    <w:t>≥</w:t>
                  </w:r>
                  <w:r>
                    <w:rPr>
                      <w:rFonts w:ascii="仿宋_GB2312" w:hAnsi="仿宋_GB2312" w:cs="仿宋_GB2312" w:eastAsia="仿宋_GB2312"/>
                      <w:sz w:val="20"/>
                    </w:rPr>
                    <w:t>0.9</w:t>
                  </w:r>
                  <w:r>
                    <w:rPr>
                      <w:rFonts w:ascii="仿宋_GB2312" w:hAnsi="仿宋_GB2312" w:cs="仿宋_GB2312" w:eastAsia="仿宋_GB2312"/>
                      <w:sz w:val="20"/>
                    </w:rPr>
                    <w:t>5</w:t>
                  </w:r>
                  <w:r>
                    <w:rPr>
                      <w:rFonts w:ascii="仿宋_GB2312" w:hAnsi="仿宋_GB2312" w:cs="仿宋_GB2312" w:eastAsia="仿宋_GB2312"/>
                      <w:sz w:val="20"/>
                    </w:rPr>
                    <w:t>，灯具效能</w:t>
                  </w: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0lm/W，光通量≥3</w:t>
                  </w:r>
                  <w:r>
                    <w:rPr>
                      <w:rFonts w:ascii="仿宋_GB2312" w:hAnsi="仿宋_GB2312" w:cs="仿宋_GB2312" w:eastAsia="仿宋_GB2312"/>
                      <w:sz w:val="20"/>
                    </w:rPr>
                    <w:t>6</w:t>
                  </w:r>
                  <w:r>
                    <w:rPr>
                      <w:rFonts w:ascii="仿宋_GB2312" w:hAnsi="仿宋_GB2312" w:cs="仿宋_GB2312" w:eastAsia="仿宋_GB2312"/>
                      <w:sz w:val="20"/>
                    </w:rPr>
                    <w:t>00lm。</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LED黑板灯额定色温</w:t>
                  </w:r>
                  <w:r>
                    <w:rPr>
                      <w:rFonts w:ascii="仿宋_GB2312" w:hAnsi="仿宋_GB2312" w:cs="仿宋_GB2312" w:eastAsia="仿宋_GB2312"/>
                      <w:sz w:val="20"/>
                    </w:rPr>
                    <w:t>3300-5300</w:t>
                  </w:r>
                  <w:r>
                    <w:rPr>
                      <w:rFonts w:ascii="仿宋_GB2312" w:hAnsi="仿宋_GB2312" w:cs="仿宋_GB2312" w:eastAsia="仿宋_GB2312"/>
                      <w:sz w:val="20"/>
                    </w:rPr>
                    <w:t>K，显色指数Ra</w:t>
                  </w:r>
                  <w:r>
                    <w:rPr>
                      <w:rFonts w:ascii="仿宋_GB2312" w:hAnsi="仿宋_GB2312" w:cs="仿宋_GB2312" w:eastAsia="仿宋_GB2312"/>
                      <w:sz w:val="20"/>
                    </w:rPr>
                    <w:t>≥</w:t>
                  </w:r>
                  <w:r>
                    <w:rPr>
                      <w:rFonts w:ascii="仿宋_GB2312" w:hAnsi="仿宋_GB2312" w:cs="仿宋_GB2312" w:eastAsia="仿宋_GB2312"/>
                      <w:sz w:val="20"/>
                    </w:rPr>
                    <w:t>90，R9＞50，色容差</w:t>
                  </w:r>
                  <w:r>
                    <w:rPr>
                      <w:rFonts w:ascii="仿宋_GB2312" w:hAnsi="仿宋_GB2312" w:cs="仿宋_GB2312" w:eastAsia="仿宋_GB2312"/>
                      <w:sz w:val="20"/>
                    </w:rPr>
                    <w:t>≤</w:t>
                  </w:r>
                  <w:r>
                    <w:rPr>
                      <w:rFonts w:ascii="仿宋_GB2312" w:hAnsi="仿宋_GB2312" w:cs="仿宋_GB2312" w:eastAsia="仿宋_GB2312"/>
                      <w:sz w:val="20"/>
                    </w:rPr>
                    <w:t>5。</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LED黑板灯视网膜蓝光危害组别按IEC/TR 62778评估为 RG0。</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LED黑板灯频闪</w:t>
                  </w:r>
                  <w:r>
                    <w:rPr>
                      <w:rFonts w:ascii="仿宋_GB2312" w:hAnsi="仿宋_GB2312" w:cs="仿宋_GB2312" w:eastAsia="仿宋_GB2312"/>
                      <w:sz w:val="20"/>
                    </w:rPr>
                    <w:t>检测</w:t>
                  </w:r>
                  <w:r>
                    <w:rPr>
                      <w:rFonts w:ascii="仿宋_GB2312" w:hAnsi="仿宋_GB2312" w:cs="仿宋_GB2312" w:eastAsia="仿宋_GB2312"/>
                      <w:sz w:val="20"/>
                    </w:rPr>
                    <w:t>结果为无显著影响</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LED黑板灯光闪烁按IEC TR 61547-1的规定测得的PstLM≤1。</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LED黑板灯频闪效应可见度SVM≤1。</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LED黑板灯</w:t>
                  </w:r>
                  <w:r>
                    <w:rPr>
                      <w:rFonts w:ascii="仿宋_GB2312" w:hAnsi="仿宋_GB2312" w:cs="仿宋_GB2312" w:eastAsia="仿宋_GB2312"/>
                      <w:sz w:val="20"/>
                    </w:rPr>
                    <w:t>的额定寿命不低于</w:t>
                  </w:r>
                  <w:r>
                    <w:rPr>
                      <w:rFonts w:ascii="仿宋_GB2312" w:hAnsi="仿宋_GB2312" w:cs="仿宋_GB2312" w:eastAsia="仿宋_GB2312"/>
                      <w:sz w:val="20"/>
                    </w:rPr>
                    <w:t>5</w:t>
                  </w:r>
                  <w:r>
                    <w:rPr>
                      <w:rFonts w:ascii="仿宋_GB2312" w:hAnsi="仿宋_GB2312" w:cs="仿宋_GB2312" w:eastAsia="仿宋_GB2312"/>
                      <w:sz w:val="20"/>
                    </w:rPr>
                    <w:t>0000小时，正常燃点3000小时后，光通维持率应不低于96%，正常燃点6000小时后，光通维持率应不低于93%。</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、为保证产品的使用安全性，</w:t>
                  </w:r>
                  <w:r>
                    <w:rPr>
                      <w:rFonts w:ascii="仿宋_GB2312" w:hAnsi="仿宋_GB2312" w:cs="仿宋_GB2312" w:eastAsia="仿宋_GB2312"/>
                      <w:sz w:val="20"/>
                    </w:rPr>
                    <w:t>LED黑板灯通过</w:t>
                  </w:r>
                  <w:r>
                    <w:rPr>
                      <w:rFonts w:ascii="仿宋_GB2312" w:hAnsi="仿宋_GB2312" w:cs="仿宋_GB2312" w:eastAsia="仿宋_GB2312"/>
                      <w:sz w:val="20"/>
                    </w:rPr>
                    <w:t>≥</w:t>
                  </w:r>
                  <w:r>
                    <w:rPr>
                      <w:rFonts w:ascii="仿宋_GB2312" w:hAnsi="仿宋_GB2312" w:cs="仿宋_GB2312" w:eastAsia="仿宋_GB2312"/>
                      <w:sz w:val="20"/>
                    </w:rPr>
                    <w:t>72小时UV老化测试，仍保持完整、不粉化、不起泡、不生锈、不开裂。</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10、常温下（25℃）黑板灯正常工作时，散热体及外部接线温度均≤35℃。</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、黑板面维持平均照度</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00 1x，照度均匀度≥0.8，教师位置统一眩光值（UGR）≤16，照明维护系数应取0.8。</w:t>
                  </w:r>
                </w:p>
                <w:p>
                  <w:pPr>
                    <w:pStyle w:val="null3"/>
                    <w:jc w:val="both"/>
                  </w:pPr>
                  <w:r>
                    <w:rPr>
                      <w:rFonts w:ascii="仿宋_GB2312" w:hAnsi="仿宋_GB2312" w:cs="仿宋_GB2312" w:eastAsia="仿宋_GB2312"/>
                      <w:sz w:val="20"/>
                      <w:b/>
                    </w:rPr>
                    <w:t>注：</w:t>
                  </w:r>
                  <w:r>
                    <w:rPr>
                      <w:rFonts w:ascii="仿宋_GB2312" w:hAnsi="仿宋_GB2312" w:cs="仿宋_GB2312" w:eastAsia="仿宋_GB2312"/>
                      <w:sz w:val="20"/>
                    </w:rPr>
                    <w:t>★</w:t>
                  </w:r>
                  <w:r>
                    <w:rPr>
                      <w:rFonts w:ascii="仿宋_GB2312" w:hAnsi="仿宋_GB2312" w:cs="仿宋_GB2312" w:eastAsia="仿宋_GB2312"/>
                      <w:sz w:val="20"/>
                      <w:b/>
                    </w:rPr>
                    <w:t>须提供第三方检测机构出具的封面带有</w:t>
                  </w:r>
                  <w:r>
                    <w:rPr>
                      <w:rFonts w:ascii="仿宋_GB2312" w:hAnsi="仿宋_GB2312" w:cs="仿宋_GB2312" w:eastAsia="仿宋_GB2312"/>
                      <w:sz w:val="20"/>
                      <w:b/>
                    </w:rPr>
                    <w:t>CMA或CNAS标志的检测报告复印件及全国认证认可信息公共服务平台检测报告编号查询截图。</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LED黑板灯符合国家“CCC”产品认证要求。</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LED黑板灯符合儿童青少年学习用灯具近视防控卫生要求。</w:t>
                  </w:r>
                </w:p>
                <w:p>
                  <w:pPr>
                    <w:pStyle w:val="null3"/>
                  </w:pPr>
                  <w:r>
                    <w:rPr>
                      <w:rFonts w:ascii="仿宋_GB2312" w:hAnsi="仿宋_GB2312" w:cs="仿宋_GB2312" w:eastAsia="仿宋_GB2312"/>
                      <w:sz w:val="20"/>
                      <w:b/>
                    </w:rPr>
                    <w:t>注：</w:t>
                  </w:r>
                  <w:r>
                    <w:rPr>
                      <w:rFonts w:ascii="仿宋_GB2312" w:hAnsi="仿宋_GB2312" w:cs="仿宋_GB2312" w:eastAsia="仿宋_GB2312"/>
                      <w:sz w:val="20"/>
                      <w:b/>
                    </w:rPr>
                    <w:t>12-13提供第三方检测机构出具有效期内认证证书及全国认证认可信息公共服务平台证书状态为“有 效”查询截图。</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248</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盏</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服务要求：服务内容包括原有灯具拆除，线路改造，新购设备及必要配件的安装及调试、培训等</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质保期：</w:t>
            </w:r>
            <w:r>
              <w:rPr>
                <w:rFonts w:ascii="仿宋_GB2312" w:hAnsi="仿宋_GB2312" w:cs="仿宋_GB2312" w:eastAsia="仿宋_GB2312"/>
                <w:sz w:val="20"/>
              </w:rPr>
              <w:t>验收合格之日起大于等于</w:t>
            </w:r>
            <w:r>
              <w:rPr>
                <w:rFonts w:ascii="仿宋_GB2312" w:hAnsi="仿宋_GB2312" w:cs="仿宋_GB2312" w:eastAsia="仿宋_GB2312"/>
                <w:sz w:val="20"/>
              </w:rPr>
              <w:t>1年</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进度款，项目全部完工验收合格后，根据政府财政资金情况（具体以签订采购合同为准），达到付款条件起30个工作日内，支付合同总金额的100.0%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现行的国家标准或国家行政部门颁布的法律法规、规章制度等，是项目验收的重要依据，采购人单位按照因家(行业)强制性标准及合同约定对中标方所供货物(产品)或服务进行检查或验收，成交方须无条件的接受采购人的各类检查或验收;若验收不通过或质量不合格，成交方应在一定期限进行整改完善，以采购人要求的标准提供合格的货物(产品)或服务;若成交方在接受检查整改后，仍不能提供符合采购要求的合格货物(产品)或服务，采购人有权按违约予以撤项。</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以最终签订的合同内容执行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 索赔，并报请政府采购监督管理机关依法进行相应的行政处罚。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具有独立承担民事责任能力的法定代表人、其他组织或自然人，营业执照、组织机构代码证、税务登记证（多证合一只提供营业执照，事业单位提供事业单位法定代表人证书，自然人提供本人身份证）合法有效；</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响应《汉中市政府采购供应商资格承诺函》;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⽂件有效期符合采购⽂件要求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响应⽂件内容及格式</w:t>
            </w:r>
          </w:p>
        </w:tc>
        <w:tc>
          <w:tcPr>
            <w:tcW w:type="dxa" w:w="3322"/>
          </w:tcPr>
          <w:p>
            <w:pPr>
              <w:pStyle w:val="null3"/>
            </w:pPr>
            <w:r>
              <w:rPr>
                <w:rFonts w:ascii="仿宋_GB2312" w:hAnsi="仿宋_GB2312" w:cs="仿宋_GB2312" w:eastAsia="仿宋_GB2312"/>
              </w:rPr>
              <w:t>响应⽂件内容⻬全、⽆遗漏、均按采购⽂件要求签字盖章、无采购人不能接受的附加条件</w:t>
            </w:r>
          </w:p>
        </w:tc>
        <w:tc>
          <w:tcPr>
            <w:tcW w:type="dxa" w:w="1661"/>
          </w:tcPr>
          <w:p>
            <w:pPr>
              <w:pStyle w:val="null3"/>
            </w:pPr>
            <w:r>
              <w:rPr>
                <w:rFonts w:ascii="仿宋_GB2312" w:hAnsi="仿宋_GB2312" w:cs="仿宋_GB2312" w:eastAsia="仿宋_GB2312"/>
              </w:rPr>
              <w:t>开标一览表 服务方案.pdf 中小企业声明函 商务应答表 产品技术参数表 分项报价表.docx 投标函 残疾人福利性单位声明函 供应商应提交的相关资格证明材料.pdf 标的清单 业绩相关证明材料.pdf 投标文件封面 项目团队.pdf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不得提交选择性报价且投标报价未超过最高限价</w:t>
            </w:r>
          </w:p>
        </w:tc>
        <w:tc>
          <w:tcPr>
            <w:tcW w:type="dxa" w:w="1661"/>
          </w:tcPr>
          <w:p>
            <w:pPr>
              <w:pStyle w:val="null3"/>
            </w:pPr>
            <w:r>
              <w:rPr>
                <w:rFonts w:ascii="仿宋_GB2312" w:hAnsi="仿宋_GB2312" w:cs="仿宋_GB2312" w:eastAsia="仿宋_GB2312"/>
              </w:rPr>
              <w:t>开标一览表 分项报价表.docx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技术指标评审</w:t>
            </w:r>
          </w:p>
        </w:tc>
        <w:tc>
          <w:tcPr>
            <w:tcW w:type="dxa" w:w="2492"/>
          </w:tcPr>
          <w:p>
            <w:pPr>
              <w:pStyle w:val="null3"/>
            </w:pPr>
            <w:r>
              <w:rPr>
                <w:rFonts w:ascii="仿宋_GB2312" w:hAnsi="仿宋_GB2312" w:cs="仿宋_GB2312" w:eastAsia="仿宋_GB2312"/>
              </w:rPr>
              <w:t>响应产品选型符合使用需求，产品配置完整合理，根据响应产品的技术指标对磋商文件的响应程度计分。 1.本项目 “★号技术指标为实质性要求 ”，任意一项★号项出现负偏离，按无效响应处理； 2.技术指标完全满足招标文件要求，本项得满分； 3.响应技术指标出现 “▲号项 ”负偏离的，每项扣2 分； 4.响应技术指标出现非▲、非★号项负偏离的，每项扣 1 分；5.本项累计扣分以本项总分 20 分为上限，扣完即止。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产品来源渠道证明</w:t>
            </w:r>
          </w:p>
        </w:tc>
        <w:tc>
          <w:tcPr>
            <w:tcW w:type="dxa" w:w="2492"/>
          </w:tcPr>
          <w:p>
            <w:pPr>
              <w:pStyle w:val="null3"/>
            </w:pPr>
            <w:r>
              <w:rPr>
                <w:rFonts w:ascii="仿宋_GB2312" w:hAnsi="仿宋_GB2312" w:cs="仿宋_GB2312" w:eastAsia="仿宋_GB2312"/>
              </w:rPr>
              <w:t>投标人提供的产品合法正规来源渠道证明：包括但不限于制造商授权、销售协议、代理协议等证明材料。提供得5分，不提供不得分。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 月1日至今类似业绩证明(中标通知书或合同)，每提供一份得2分，最高得4分。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业绩相关证明材料.pdf</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拟投入本项目人员大于等于6人得5分，大于等于4人得3分，小于4人得1分，不提供不得分。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项目团队.pdf</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质保期满足磋商文件基础上，每增加1年，加1分，最高得2分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服务方案.pdf</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供应商根据本项目的总体认识，提供针对本项目的服务质量保证措施。 包含：①质量保障措施；②质量管理工作制度； 以上各项内容全面详细、阐述条理清晰得8分，每缺一项扣 4分，每项中的内容存在缺陷，扣 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供应商根据本项目特点，提供实施方案。具体包括: ①供货计划及运输过程物流保障措施②质量保障措施③供货周期保障措施④安装调试方案等。 方案各项内容全面详细、阐述条理清晰详尽、符合本项目采购需求，能有效保障本项目实施的得16分，每有一个缺项扣4分，每项内容存在缺陷，扣0.5分，扣完为止。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项目实际需求提供售后服务方案。内容包含：①售后服务内容及保障措施；②响应时间、响应方式；③故障处理及补救措施；④定期回访及维护。方案各项内容全面详细、阐述条理清晰详尽、符合本项目采购需求，能有效保障本项目实施的得10分，每有一个缺项扣2.5分，每一项内容存在缺陷，扣0.4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满足招标文件要求且经评审的最低投标报价为评标基准价，投标报价得分=（评标基准价/投标报价）×30。 若投标报价明显低于其他通过符合性审查投标人的报价，有可能影响产品质量或不能诚信履约的，评标委员会可要求其提供书面说明及相关证明材料；无法证明报价合理性的，按无效投标处理。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详见附件：服务方案.pdf</w:t>
      </w:r>
    </w:p>
    <w:p>
      <w:pPr>
        <w:pStyle w:val="null3"/>
        <w:ind w:firstLine="960"/>
      </w:pPr>
      <w:r>
        <w:rPr>
          <w:rFonts w:ascii="仿宋_GB2312" w:hAnsi="仿宋_GB2312" w:cs="仿宋_GB2312" w:eastAsia="仿宋_GB2312"/>
        </w:rPr>
        <w:t>详见附件：项目团队.pdf</w:t>
      </w:r>
    </w:p>
    <w:p>
      <w:pPr>
        <w:pStyle w:val="null3"/>
        <w:ind w:firstLine="960"/>
      </w:pPr>
      <w:r>
        <w:rPr>
          <w:rFonts w:ascii="仿宋_GB2312" w:hAnsi="仿宋_GB2312" w:cs="仿宋_GB2312" w:eastAsia="仿宋_GB2312"/>
        </w:rPr>
        <w:t>详见附件：业绩相关证明材料.pdf</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