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版本号：HZGH-2026-04420260706001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铁五第二小学操场、教室及走廊改造维修项目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HZGH-2026-044</w:t>
      </w:r>
      <w:r>
        <w:br/>
      </w:r>
      <w:r>
        <w:br/>
      </w:r>
      <w:r>
        <w:br/>
      </w:r>
    </w:p>
    <w:p>
      <w:pPr>
        <w:pStyle w:val="null3"/>
        <w:jc w:val="center"/>
        <w:outlineLvl w:val="2"/>
      </w:pPr>
      <w:r>
        <w:rPr>
          <w:rFonts w:ascii="仿宋_GB2312" w:hAnsi="仿宋_GB2312" w:cs="仿宋_GB2312" w:eastAsia="仿宋_GB2312"/>
          <w:sz w:val="28"/>
          <w:b/>
        </w:rPr>
        <w:t>西安市碑林区铁五第二小学</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西安市碑林区铁五第二小学</w:t>
      </w:r>
      <w:r>
        <w:rPr>
          <w:rFonts w:ascii="仿宋_GB2312" w:hAnsi="仿宋_GB2312" w:cs="仿宋_GB2312" w:eastAsia="仿宋_GB2312"/>
        </w:rPr>
        <w:t>委托，拟对</w:t>
      </w:r>
      <w:r>
        <w:rPr>
          <w:rFonts w:ascii="仿宋_GB2312" w:hAnsi="仿宋_GB2312" w:cs="仿宋_GB2312" w:eastAsia="仿宋_GB2312"/>
        </w:rPr>
        <w:t>铁五第二小学操场、教室及走廊改造维修项目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铁五第二小学操场、教室及走廊改造维修项目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铁五第二小学操场、教室及走廊改造维修项目，具体内容详⻅⼯程量清单。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采购包1（铁五第二小学操场、教室及走廊改造维修项目）：属于专门面向中小企业采购。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提供供应商合法注册的法人或者其他组织的营业执照等证明文件、 自然人的身份证明；</w:t>
      </w:r>
    </w:p>
    <w:p>
      <w:pPr>
        <w:pStyle w:val="null3"/>
      </w:pPr>
      <w:r>
        <w:rPr>
          <w:rFonts w:ascii="仿宋_GB2312" w:hAnsi="仿宋_GB2312" w:cs="仿宋_GB2312" w:eastAsia="仿宋_GB2312"/>
        </w:rPr>
        <w:t>2、财务状况报告：提供具有财务审计资质单位出具的2024年度或2025年度财务报告（成立时间至磋商时间不足一年的可提供成立后任意时段的资产负债表）或磋商前六个月内其基本账戶银行出具的资信证明（附开戶许可证或基本账戶证明）或政府采购信用担保机构出具的磋商担保函。</w:t>
      </w:r>
    </w:p>
    <w:p>
      <w:pPr>
        <w:pStyle w:val="null3"/>
      </w:pPr>
      <w:r>
        <w:rPr>
          <w:rFonts w:ascii="仿宋_GB2312" w:hAnsi="仿宋_GB2312" w:cs="仿宋_GB2312" w:eastAsia="仿宋_GB2312"/>
        </w:rPr>
        <w:t>3、税收缴纳证明：提供2025年7月1日至今任意一个月已缴纳的纳税证明或完税证明（包含增值税、企业所得税、营业税至少一种） ；（依法免税的投标人应提供相关文件证明）</w:t>
      </w:r>
    </w:p>
    <w:p>
      <w:pPr>
        <w:pStyle w:val="null3"/>
      </w:pPr>
      <w:r>
        <w:rPr>
          <w:rFonts w:ascii="仿宋_GB2312" w:hAnsi="仿宋_GB2312" w:cs="仿宋_GB2312" w:eastAsia="仿宋_GB2312"/>
        </w:rPr>
        <w:t>4、社会保障资金缴纳证明：提供2025年7月1日至今任意一个月的社保缴费凭据或社保机构开具的社会保险参保缴费情况证明；（依法不需要缴纳社会保障资金的投标人应提供相关证明）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7、法定代表人或负责人资格证明书：法定代表人或负责人参与磋商时需提供法定代表人或负责人资格证明书；（附法定代表人或负责人身份证复印件）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8、法定代表人或负责人授权委托书：被授权人参与磋商时， 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9、资质要求：具备建设行政主管部门颁发的建筑工程施工总承包三级及以上（含三级）资质， 并具有有效的安全生产许可证；</w:t>
      </w:r>
    </w:p>
    <w:p>
      <w:pPr>
        <w:pStyle w:val="null3"/>
      </w:pPr>
      <w:r>
        <w:rPr>
          <w:rFonts w:ascii="仿宋_GB2312" w:hAnsi="仿宋_GB2312" w:cs="仿宋_GB2312" w:eastAsia="仿宋_GB2312"/>
        </w:rPr>
        <w:t>10、项目经理：拟派项目经理具有建筑工程专业二级及以上注册建造师证书及有效的安全生产考核合格证（B证）， 且无在建项目 （提供无在建承诺）；</w:t>
      </w:r>
    </w:p>
    <w:p>
      <w:pPr>
        <w:pStyle w:val="null3"/>
      </w:pPr>
      <w:r>
        <w:rPr>
          <w:rFonts w:ascii="仿宋_GB2312" w:hAnsi="仿宋_GB2312" w:cs="仿宋_GB2312" w:eastAsia="仿宋_GB2312"/>
        </w:rPr>
        <w:t>11、基本信息查询：供应商及项目经理的基本信息在“陕西省住房和城乡建设厅(http://js.shaanxi.gov. cn/)”或“全国建筑市场监管公共服务平台(https://jzsc. mohurd.gov.cn/)”可查询且合法有效 ;</w:t>
      </w:r>
    </w:p>
    <w:p>
      <w:pPr>
        <w:pStyle w:val="null3"/>
      </w:pPr>
      <w:r>
        <w:rPr>
          <w:rFonts w:ascii="仿宋_GB2312" w:hAnsi="仿宋_GB2312" w:cs="仿宋_GB2312" w:eastAsia="仿宋_GB2312"/>
        </w:rPr>
        <w:t>12、信用查询：供应商不得为“信用中国”网站（www.creditchina.gov.cn） 中列入失信被执行人和重大税收违法案件当事人名单的供应商， 不得为中国政府采购网（www.ccgp.g ov.cn）政府采购严重违法失信行为记录名单中被财政部门禁止参加政府采购活动的供应商；（提供书面承诺函， 格式自拟加盖供应商公章）</w:t>
      </w:r>
    </w:p>
    <w:p>
      <w:pPr>
        <w:pStyle w:val="null3"/>
      </w:pPr>
      <w:r>
        <w:rPr>
          <w:rFonts w:ascii="仿宋_GB2312" w:hAnsi="仿宋_GB2312" w:cs="仿宋_GB2312" w:eastAsia="仿宋_GB2312"/>
        </w:rPr>
        <w:t>13、单位负责人为同一人或者存在直接控股、管理关系的不同供应商， 不得参加同一合同项下的政府采购活动：单位负责人为同一人或者存在直接控股、管理关系的不同供应商， 不得参加同一合同项下的政府采购活动；（提供书面承诺函， 格式自拟加盖供应商公章）</w:t>
      </w:r>
    </w:p>
    <w:p>
      <w:pPr>
        <w:pStyle w:val="null3"/>
      </w:pPr>
      <w:r>
        <w:rPr>
          <w:rFonts w:ascii="仿宋_GB2312" w:hAnsi="仿宋_GB2312" w:cs="仿宋_GB2312" w:eastAsia="仿宋_GB2312"/>
        </w:rPr>
        <w:t>14、本项目不接受联合体磋商：本项目不接受联合体磋商. （提供书面承诺函， 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西安市碑林区铁五第二小学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西安市碑林区铁安一街5号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郭华峰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029-82211620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采购包1：1,578,799.11元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2、招标代理服务费应采⽤转账形式交纳。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西安市碑林区铁五第二小学</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西安市碑林区铁五第二小学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西安市碑林区铁五第二小学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1,578,799.11</w:t>
      </w:r>
    </w:p>
    <w:p>
      <w:pPr>
        <w:pStyle w:val="null3"/>
      </w:pPr>
      <w:r>
        <w:rPr>
          <w:rFonts w:ascii="仿宋_GB2312" w:hAnsi="仿宋_GB2312" w:cs="仿宋_GB2312" w:eastAsia="仿宋_GB2312"/>
        </w:rPr>
        <w:t>采购包最高限价（元）: 1,578,799.11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铁五第二小学操场、教室及走廊改造维修项目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1,578,799.11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标的名称：铁五第二小学操场、教室及走廊改造维修项目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b/>
                <w:color w:val="000000"/>
              </w:rPr>
              <w:t>一、工程内容和工程地点、计划工期、工程</w:t>
            </w:r>
            <w:r>
              <w:rPr>
                <w:rFonts w:ascii="仿宋_GB2312" w:hAnsi="仿宋_GB2312" w:cs="仿宋_GB2312" w:eastAsia="仿宋_GB2312"/>
                <w:b/>
                <w:color w:val="000000"/>
              </w:rPr>
              <w:t>质保期、质量要求</w:t>
            </w:r>
          </w:p>
          <w:p>
            <w:pPr>
              <w:pStyle w:val="null3"/>
              <w:spacing w:before="135"/>
              <w:ind w:left="105" w:right="210" w:firstLine="398"/>
            </w:pPr>
            <w:r>
              <w:rPr>
                <w:rFonts w:ascii="仿宋_GB2312" w:hAnsi="仿宋_GB2312" w:cs="仿宋_GB2312" w:eastAsia="仿宋_GB2312"/>
                <w:color w:val="000000"/>
              </w:rPr>
              <w:t>1</w:t>
            </w:r>
            <w:r>
              <w:rPr>
                <w:rFonts w:ascii="仿宋_GB2312" w:hAnsi="仿宋_GB2312" w:cs="仿宋_GB2312" w:eastAsia="仿宋_GB2312"/>
                <w:color w:val="000000"/>
              </w:rPr>
              <w:t>、工程内容：</w:t>
            </w:r>
            <w:r>
              <w:rPr>
                <w:rFonts w:ascii="仿宋_GB2312" w:hAnsi="仿宋_GB2312" w:cs="仿宋_GB2312" w:eastAsia="仿宋_GB2312"/>
                <w:color w:val="000000"/>
              </w:rPr>
              <w:t>铁五第二小学操场、教室及走廊改造维修项目，具体内容详⻅⼯程量清单</w:t>
            </w:r>
            <w:r>
              <w:rPr>
                <w:rFonts w:ascii="仿宋_GB2312" w:hAnsi="仿宋_GB2312" w:cs="仿宋_GB2312" w:eastAsia="仿宋_GB2312"/>
                <w:color w:val="000000"/>
              </w:rPr>
              <w:t>。</w:t>
            </w:r>
          </w:p>
          <w:p>
            <w:pPr>
              <w:pStyle w:val="null3"/>
              <w:ind w:left="495"/>
            </w:pPr>
            <w:r>
              <w:rPr>
                <w:rFonts w:ascii="仿宋_GB2312" w:hAnsi="仿宋_GB2312" w:cs="仿宋_GB2312" w:eastAsia="仿宋_GB2312"/>
                <w:color w:val="000000"/>
              </w:rPr>
              <w:t>2</w:t>
            </w:r>
            <w:r>
              <w:rPr>
                <w:rFonts w:ascii="仿宋_GB2312" w:hAnsi="仿宋_GB2312" w:cs="仿宋_GB2312" w:eastAsia="仿宋_GB2312"/>
                <w:color w:val="000000"/>
              </w:rPr>
              <w:t>、工程地点：西安市碑林区铁五第二小学</w:t>
            </w:r>
          </w:p>
          <w:p>
            <w:pPr>
              <w:pStyle w:val="null3"/>
              <w:spacing w:before="120"/>
              <w:ind w:left="495"/>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计划</w:t>
            </w:r>
            <w:r>
              <w:rPr>
                <w:rFonts w:ascii="仿宋_GB2312" w:hAnsi="仿宋_GB2312" w:cs="仿宋_GB2312" w:eastAsia="仿宋_GB2312"/>
                <w:color w:val="000000"/>
              </w:rPr>
              <w:t>工期：</w:t>
            </w:r>
            <w:r>
              <w:rPr>
                <w:rFonts w:ascii="仿宋_GB2312" w:hAnsi="仿宋_GB2312" w:cs="仿宋_GB2312" w:eastAsia="仿宋_GB2312"/>
                <w:color w:val="000000"/>
              </w:rPr>
              <w:t>3</w:t>
            </w:r>
            <w:r>
              <w:rPr>
                <w:rFonts w:ascii="仿宋_GB2312" w:hAnsi="仿宋_GB2312" w:cs="仿宋_GB2312" w:eastAsia="仿宋_GB2312"/>
                <w:color w:val="000000"/>
              </w:rPr>
              <w:t>0</w:t>
            </w:r>
            <w:r>
              <w:rPr>
                <w:rFonts w:ascii="仿宋_GB2312" w:hAnsi="仿宋_GB2312" w:cs="仿宋_GB2312" w:eastAsia="仿宋_GB2312"/>
                <w:color w:val="000000"/>
              </w:rPr>
              <w:t>个日历日</w:t>
            </w:r>
          </w:p>
          <w:p>
            <w:pPr>
              <w:pStyle w:val="null3"/>
              <w:spacing w:before="120"/>
              <w:ind w:left="495"/>
            </w:pPr>
            <w:r>
              <w:rPr>
                <w:rFonts w:ascii="仿宋_GB2312" w:hAnsi="仿宋_GB2312" w:cs="仿宋_GB2312" w:eastAsia="仿宋_GB2312"/>
                <w:color w:val="000000"/>
              </w:rPr>
              <w:t>5</w:t>
            </w:r>
            <w:r>
              <w:rPr>
                <w:rFonts w:ascii="仿宋_GB2312" w:hAnsi="仿宋_GB2312" w:cs="仿宋_GB2312" w:eastAsia="仿宋_GB2312"/>
                <w:color w:val="000000"/>
              </w:rPr>
              <w:t>、工程质保期：</w:t>
            </w:r>
            <w:r>
              <w:rPr>
                <w:rFonts w:ascii="仿宋_GB2312" w:hAnsi="仿宋_GB2312" w:cs="仿宋_GB2312" w:eastAsia="仿宋_GB2312"/>
                <w:color w:val="000000"/>
              </w:rPr>
              <w:t>24</w:t>
            </w:r>
            <w:r>
              <w:rPr>
                <w:rFonts w:ascii="仿宋_GB2312" w:hAnsi="仿宋_GB2312" w:cs="仿宋_GB2312" w:eastAsia="仿宋_GB2312"/>
                <w:color w:val="000000"/>
              </w:rPr>
              <w:t>个月</w:t>
            </w:r>
          </w:p>
          <w:p>
            <w:pPr>
              <w:pStyle w:val="null3"/>
              <w:spacing w:before="120"/>
              <w:ind w:left="495"/>
            </w:pPr>
            <w:r>
              <w:rPr>
                <w:rFonts w:ascii="仿宋_GB2312" w:hAnsi="仿宋_GB2312" w:cs="仿宋_GB2312" w:eastAsia="仿宋_GB2312"/>
                <w:color w:val="000000"/>
              </w:rPr>
              <w:t>6</w:t>
            </w:r>
            <w:r>
              <w:rPr>
                <w:rFonts w:ascii="仿宋_GB2312" w:hAnsi="仿宋_GB2312" w:cs="仿宋_GB2312" w:eastAsia="仿宋_GB2312"/>
                <w:color w:val="000000"/>
              </w:rPr>
              <w:t>、质量要求：按国家有关验收规范标准，</w:t>
            </w:r>
            <w:r>
              <w:rPr>
                <w:rFonts w:ascii="仿宋_GB2312" w:hAnsi="仿宋_GB2312" w:cs="仿宋_GB2312" w:eastAsia="仿宋_GB2312"/>
              </w:rPr>
              <w:t xml:space="preserve"> </w:t>
            </w:r>
            <w:r>
              <w:rPr>
                <w:rFonts w:ascii="仿宋_GB2312" w:hAnsi="仿宋_GB2312" w:cs="仿宋_GB2312" w:eastAsia="仿宋_GB2312"/>
                <w:color w:val="000000"/>
              </w:rPr>
              <w:t>工</w:t>
            </w:r>
            <w:r>
              <w:rPr>
                <w:rFonts w:ascii="仿宋_GB2312" w:hAnsi="仿宋_GB2312" w:cs="仿宋_GB2312" w:eastAsia="仿宋_GB2312"/>
                <w:color w:val="000000"/>
              </w:rPr>
              <w:t>程质量达到合格标准。</w:t>
            </w:r>
          </w:p>
          <w:p>
            <w:pPr>
              <w:pStyle w:val="null3"/>
              <w:spacing w:before="120"/>
              <w:ind w:left="90"/>
            </w:pPr>
            <w:r>
              <w:rPr>
                <w:rFonts w:ascii="仿宋_GB2312" w:hAnsi="仿宋_GB2312" w:cs="仿宋_GB2312" w:eastAsia="仿宋_GB2312"/>
                <w:b/>
                <w:color w:val="000000"/>
              </w:rPr>
              <w:t>二、施工要求：</w:t>
            </w:r>
          </w:p>
          <w:p>
            <w:pPr>
              <w:pStyle w:val="null3"/>
              <w:spacing w:before="135"/>
              <w:ind w:left="105" w:right="210" w:firstLine="398"/>
            </w:pPr>
            <w:r>
              <w:rPr>
                <w:rFonts w:ascii="仿宋_GB2312" w:hAnsi="仿宋_GB2312" w:cs="仿宋_GB2312" w:eastAsia="仿宋_GB2312"/>
                <w:color w:val="000000"/>
              </w:rPr>
              <w:t>1、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 由此造成的经济和法律责任均由成交人负责。</w:t>
            </w:r>
          </w:p>
          <w:p>
            <w:pPr>
              <w:pStyle w:val="null3"/>
              <w:spacing w:before="135"/>
              <w:ind w:left="105" w:right="210" w:firstLine="398"/>
            </w:pPr>
            <w:r>
              <w:rPr>
                <w:rFonts w:ascii="仿宋_GB2312" w:hAnsi="仿宋_GB2312" w:cs="仿宋_GB2312" w:eastAsia="仿宋_GB2312"/>
                <w:color w:val="000000"/>
              </w:rPr>
              <w:t>2、供应商应配合项目建设进度,向采购人提供施工组织计划、进度计划和施工作业计划， 并签订施工安全责任书。</w:t>
            </w:r>
          </w:p>
          <w:p>
            <w:pPr>
              <w:pStyle w:val="null3"/>
              <w:spacing w:before="135"/>
              <w:ind w:left="105" w:right="210" w:firstLine="398"/>
            </w:pPr>
            <w:r>
              <w:rPr>
                <w:rFonts w:ascii="仿宋_GB2312" w:hAnsi="仿宋_GB2312" w:cs="仿宋_GB2312" w:eastAsia="仿宋_GB2312"/>
                <w:color w:val="000000"/>
              </w:rPr>
              <w:t>3、在施工期间，供应商必须注意施工现场人员安全，加强安全措施，并对施工人员进行安全教育，施工人员必须持证上岗。</w:t>
            </w:r>
          </w:p>
          <w:p>
            <w:pPr>
              <w:pStyle w:val="null3"/>
              <w:spacing w:before="135"/>
              <w:ind w:left="105" w:right="210" w:firstLine="398"/>
            </w:pPr>
            <w:r>
              <w:rPr>
                <w:rFonts w:ascii="仿宋_GB2312" w:hAnsi="仿宋_GB2312" w:cs="仿宋_GB2312" w:eastAsia="仿宋_GB2312"/>
                <w:color w:val="000000"/>
              </w:rPr>
              <w:t>4、供应商根据工程实际情况编制施工方案， 制定工期进度安排表。</w:t>
            </w:r>
          </w:p>
          <w:p>
            <w:pPr>
              <w:pStyle w:val="null3"/>
              <w:spacing w:before="135"/>
              <w:ind w:left="105" w:right="210" w:firstLine="398"/>
            </w:pPr>
            <w:r>
              <w:rPr>
                <w:rFonts w:ascii="仿宋_GB2312" w:hAnsi="仿宋_GB2312" w:cs="仿宋_GB2312" w:eastAsia="仿宋_GB2312"/>
                <w:color w:val="000000"/>
              </w:rPr>
              <w:t>5、供应商在本工程中的项目负责人(项目经理)， 要求技术水平高、组织能力强、有丰富的工程业绩和实践经验， 懂管理、善于协调。施工人员中特殊工程人员要求有上岗证。施工队伍稳定， 保证整个工程顺利完工。</w:t>
            </w:r>
          </w:p>
          <w:p>
            <w:pPr>
              <w:pStyle w:val="null3"/>
              <w:spacing w:before="135"/>
              <w:ind w:left="105" w:right="210" w:firstLine="398"/>
            </w:pPr>
            <w:r>
              <w:rPr>
                <w:rFonts w:ascii="仿宋_GB2312" w:hAnsi="仿宋_GB2312" w:cs="仿宋_GB2312" w:eastAsia="仿宋_GB2312"/>
                <w:color w:val="000000"/>
              </w:rPr>
              <w:t>6、施工过程中， 严格遵守建设单位的各种管理规定及规章制度， 做到文明施工。发生工伤及意外事故由施工单位负责。</w:t>
            </w:r>
          </w:p>
          <w:p>
            <w:pPr>
              <w:pStyle w:val="null3"/>
              <w:spacing w:before="135"/>
              <w:ind w:left="105" w:right="210" w:firstLine="398"/>
            </w:pPr>
            <w:r>
              <w:rPr>
                <w:rFonts w:ascii="仿宋_GB2312" w:hAnsi="仿宋_GB2312" w:cs="仿宋_GB2312" w:eastAsia="仿宋_GB2312"/>
                <w:color w:val="000000"/>
              </w:rPr>
              <w:t>7、选用的主材、设备、辅材必须使用国家名优产品，并明确其品牌、规格、型号、产地， 并附鉴定证书，对主要设备材料必须先提交样品，经认质后，方可订货，不得使用未经检验或不合格的设备、材料，若发生此种情况，将追究相关人员责任，并赔偿由此造成的一切经济损失。</w:t>
            </w:r>
          </w:p>
          <w:p>
            <w:pPr>
              <w:pStyle w:val="null3"/>
              <w:spacing w:before="135"/>
              <w:ind w:left="105" w:right="210" w:firstLine="398"/>
            </w:pPr>
            <w:r>
              <w:rPr>
                <w:rFonts w:ascii="仿宋_GB2312" w:hAnsi="仿宋_GB2312" w:cs="仿宋_GB2312" w:eastAsia="仿宋_GB2312"/>
                <w:color w:val="000000"/>
              </w:rPr>
              <w:t>8、供应商必须向采购人及时提供合格证及材料检验单。在征得有关方面认可后，方可进行施工</w:t>
            </w:r>
            <w:r>
              <w:rPr>
                <w:rFonts w:ascii="仿宋_GB2312" w:hAnsi="仿宋_GB2312" w:cs="仿宋_GB2312" w:eastAsia="仿宋_GB2312"/>
                <w:color w:val="000000"/>
              </w:rPr>
              <w:t>，</w:t>
            </w:r>
            <w:r>
              <w:rPr>
                <w:rFonts w:ascii="仿宋_GB2312" w:hAnsi="仿宋_GB2312" w:cs="仿宋_GB2312" w:eastAsia="仿宋_GB2312"/>
                <w:color w:val="000000"/>
              </w:rPr>
              <w:t>并做好相应的检验环节。</w:t>
            </w:r>
          </w:p>
          <w:p>
            <w:pPr>
              <w:pStyle w:val="null3"/>
              <w:spacing w:before="135"/>
              <w:ind w:left="105" w:right="210" w:firstLine="398"/>
            </w:pPr>
            <w:r>
              <w:rPr>
                <w:rFonts w:ascii="仿宋_GB2312" w:hAnsi="仿宋_GB2312" w:cs="仿宋_GB2312" w:eastAsia="仿宋_GB2312"/>
                <w:color w:val="000000"/>
              </w:rPr>
              <w:t>9、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spacing w:before="120"/>
              <w:ind w:left="90"/>
            </w:pPr>
            <w:r>
              <w:rPr>
                <w:rFonts w:ascii="仿宋_GB2312" w:hAnsi="仿宋_GB2312" w:cs="仿宋_GB2312" w:eastAsia="仿宋_GB2312"/>
                <w:b/>
                <w:color w:val="000000"/>
              </w:rPr>
              <w:t>三、工程量清单见附件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符合国家相关⼯程管理规定及⾏业标准。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满⾜国家现⾏有关设计规范、规程和地⽅法规、标准。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供应商的磋商报价包括施工设备费、人工费、管理费、材料与设备费、安装费、保险费、税金、利润、政策性规费、风险、责任等所有费用，并符合建设工程计价规则。②本项⽬磋商⼀次，磋商后供应商根据磋商内容在规定时间通过交易系统递交磋商响应函，逾期未递交的视为⾃动放弃竞争。③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提供供应商合法注册的法人或者其他组织的营业执照等证明文件、 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立时间至磋商时间不足一年的可提供成立后任意时段的资产负债表）或磋商前六个月内其基本账戶银行出具的资信证明（附开戶许可证或基本账戶证明）或政府采购信用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提供2025年7月1日至今任意一个月已缴纳的纳税证明或完税证明（包含增值税、企业所得税、营业税至少一种） ；（依法免税的投标人应提供相关文件证明）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被授权人参与磋商时， 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具备建设行政主管部门颁发的建筑工程施工总承包三级及以上（含三级）资质， 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拟派项目经理具有建筑工程专业二级及以上注册建造师证书及有效的安全生产考核合格证（B证）， 且无在建项目 （提供无在建承诺）；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供应商及项目经理的基本信息在“陕西省住房和城乡建设厅(http://js.shaanxi.gov. cn/)”或“全国建筑市场监管公共服务平台(https://jzsc. mohurd.gov.cn/)”可查询且合法有效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中列入失信被执行人和重大税收违法案件当事人名单的供应商， 不得为中国政府采购网（www.ccgp.g ov.cn）政府采购严重违法失信行为记录名单中被财政部门禁止参加政府采购活动的供应商；（提供书面承诺函，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单位负责人为同一人或者存在直接控股、管理关系的不同供应商， 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 不得参加同一合同项下的政府采购活动；（提供书面承诺函，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 （提供书面承诺函， 格式自拟加盖供应商公章）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供应商名称应与营业执照、资质证书、安全⽣产许可证及获取磋商⽂件时相⼀致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磋商响应⽂件的计量单位、报价货币及签字盖章符合磋商⽂件的要求</w:t>
            </w:r>
          </w:p>
        </w:tc>
        <w:tc>
          <w:tcPr>
            <w:tcW w:type="dxa" w:w="1661"/>
          </w:tcPr>
          <w:p>
            <w:pPr>
              <w:pStyle w:val="null3"/>
            </w:pPr>
            <w:r>
              <w:rPr>
                <w:rFonts w:ascii="仿宋_GB2312" w:hAnsi="仿宋_GB2312" w:cs="仿宋_GB2312" w:eastAsia="仿宋_GB2312"/>
              </w:rPr>
              <w:t>响应文件封面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⼯期满⾜磋商⽂件规定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符合磋商⽂件中的规定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已标价工程量清单 技术服务合同条款及其他商务要求应答表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①组织措施详细， 合理性、针对性强的得6分； ②组织措施有一定的可行性， 基本满足项目需求，稍有欠缺的得4分；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①组织措施详细， 合理性、针对性强的得6分； ②组织措施有一定的可行性， 基本满足项目需求，稍有欠缺的得4分；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①组织措施详细， 合理性、针对性强的得6分； ②组织措施有一定的可行性， 基本满足项目需求，稍有欠缺的得4分；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①组织措施详细， 合理性、针对性强的得6分； ②组织措施有一定的可行性， 基本满足项目需求，稍有欠缺的得4分；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①方案内容全面完整， 清晰合理， 可行性及针对性强，计8分； ②方案内容完整，具备一定合理性及可行性，计6分； ③方案内容不够全面， 合理性及可行性一般计4分； ④方案不合理， 内容有欠缺且影响项目实施计2 分； ⑤未提供不计分。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①施工机械及材料投入充足、完善、合理， 计6分； ②施工机械及材料投入基本完善、能满足项目需求， 计4分； ③机械设备投入不足， 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①网络图或进度表内容详尽、安排合理且实施性强，计5分； ②网络图或进度表内容缺失，关键节点不明确， 计2分； ③未提供本项不计分。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 排计划及劳务分包情况</w:t>
            </w:r>
          </w:p>
        </w:tc>
        <w:tc>
          <w:tcPr>
            <w:tcW w:type="dxa" w:w="2492"/>
          </w:tcPr>
          <w:p>
            <w:pPr>
              <w:pStyle w:val="null3"/>
            </w:pPr>
            <w:r>
              <w:rPr>
                <w:rFonts w:ascii="仿宋_GB2312" w:hAnsi="仿宋_GB2312" w:cs="仿宋_GB2312" w:eastAsia="仿宋_GB2312"/>
              </w:rPr>
              <w:t>①计划安排科学合理， 措施完善， 计6分； ②计划安排较为合理， 措施一般， 计4分； ③计划安排仅有粗略框架无关键节点， 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①人员配备数量充足、分工明确、安排合理， 计6分； ②人员分工安排相对合理，责任制度基本明确， 计4分； ③人员分工安排欠缺， 责任制度稍简单粗略得2分；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以合同复印件形式提供供应商2023年6月1日至今类似业绩， 每份计2分， 计满6分为止。 注：供应商需提供采购合同（含施工内容页、签字盖章页） 复印件， 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完全承诺磋商文件和合同条款，并针对本项目实际需求提供实质性承诺或合理化建议。 ①服务承诺详细全面、措施及建议合理可行，计9分； ②服务承诺详细全面，无合理化建议，计6分； ③服务承诺仅有框架无具体措施，计3分； ④未提供的不计分。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 ) 的有关规定：价格分采用低价优先法计算， 即满足竞争性磋商文件要求且最后报价最低的供应商的价格为磋商基准价， 其价格分为满分。其他供应商的价格分统一按照下列公式计算：磋商报价得分=（磋商基准价/最终磋商报价）×价格权值×100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