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版本号：DRZB2026-ZC-12720260526001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指挥中心设备维护及值守技术服务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DRZB2026-ZC-127</w:t>
      </w:r>
      <w:r>
        <w:br/>
      </w:r>
      <w:r>
        <w:br/>
      </w:r>
      <w:r>
        <w:br/>
      </w:r>
    </w:p>
    <w:p>
      <w:pPr>
        <w:pStyle w:val="null3"/>
        <w:jc w:val="center"/>
        <w:outlineLvl w:val="2"/>
      </w:pPr>
      <w:r>
        <w:rPr>
          <w:rFonts w:ascii="仿宋_GB2312" w:hAnsi="仿宋_GB2312" w:cs="仿宋_GB2312" w:eastAsia="仿宋_GB2312"/>
          <w:sz w:val="28"/>
          <w:b/>
        </w:rPr>
        <w:t>陕西省交通运行监测中心</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陕西省交通运行监测中心</w:t>
      </w:r>
      <w:r>
        <w:rPr>
          <w:rFonts w:ascii="仿宋_GB2312" w:hAnsi="仿宋_GB2312" w:cs="仿宋_GB2312" w:eastAsia="仿宋_GB2312"/>
        </w:rPr>
        <w:t>委托，拟对</w:t>
      </w:r>
      <w:r>
        <w:rPr>
          <w:rFonts w:ascii="仿宋_GB2312" w:hAnsi="仿宋_GB2312" w:cs="仿宋_GB2312" w:eastAsia="仿宋_GB2312"/>
        </w:rPr>
        <w:t>指挥中心设备维护及值守技术服务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DRZB2026-ZC-127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指挥中心设备维护及值守技术服务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指挥中心设备维护及值守技术服务，具体内容详见磋商文件及采购需求。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采购包1（指挥中心设备维护）：属于专门面向中小企业采购。</w:t>
      </w:r>
    </w:p>
    <w:p>
      <w:pPr>
        <w:pStyle w:val="null3"/>
      </w:pPr>
      <w:r>
        <w:rPr>
          <w:rFonts w:ascii="仿宋_GB2312" w:hAnsi="仿宋_GB2312" w:cs="仿宋_GB2312" w:eastAsia="仿宋_GB2312"/>
        </w:rPr>
        <w:t>采购包2（指挥中心值守保障技术服务）：属于专门面向中小企业采购。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 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 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陕西省交通运行监测中心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采购包1：423,100.00元</w:t>
            </w:r>
          </w:p>
          <w:p>
            <w:pPr>
              <w:pStyle w:val="null3"/>
            </w:pPr>
            <w:r>
              <w:rPr>
                <w:rFonts w:ascii="仿宋_GB2312" w:hAnsi="仿宋_GB2312" w:cs="仿宋_GB2312" w:eastAsia="仿宋_GB2312"/>
              </w:rPr>
              <w:t>采购包2：1,180,000.00元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采购包1保证金金额：8,127.00元</w:t>
            </w:r>
          </w:p>
          <w:p>
            <w:pPr>
              <w:pStyle w:val="null3"/>
            </w:pPr>
            <w:r>
              <w:rPr>
                <w:rFonts w:ascii="仿宋_GB2312" w:hAnsi="仿宋_GB2312" w:cs="仿宋_GB2312" w:eastAsia="仿宋_GB2312"/>
              </w:rPr>
              <w:t>采购包2保证金金额：23,127.00元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 0172 6500 0000 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各采购包招标代理服务费实行市场调节价，采用差额定率累进法计费，以成交金额为计费基数，按照标准下浮10%收取，由成交供应商在领取成交通知书前一次性支付，如本项目各采购包代理服务费不足陆仟元则按陆仟元收取。具体费率如下： 100万元以下，按照1.5%计取；100万元-500万元以下，按照0.8%计取。 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陕西省交通运行监测中心</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陕西省交通运行监测中心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陕西省交通运行监测中心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联系人：贺培文、张海燕、赵璐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指挥中心设备维护及值守技术服务，具体内容详见磋商文件及采购需求。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423,100.00</w:t>
      </w:r>
    </w:p>
    <w:p>
      <w:pPr>
        <w:pStyle w:val="null3"/>
      </w:pPr>
      <w:r>
        <w:rPr>
          <w:rFonts w:ascii="仿宋_GB2312" w:hAnsi="仿宋_GB2312" w:cs="仿宋_GB2312" w:eastAsia="仿宋_GB2312"/>
        </w:rPr>
        <w:t>采购包最高限价（元）: 423,100.00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指挥中心设备维护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423,100.00</w:t>
            </w:r>
          </w:p>
        </w:tc>
        <w:tc>
          <w:tcPr>
            <w:tcW w:type="dxa" w:w="755"/>
          </w:tcPr>
          <w:p>
            <w:pPr>
              <w:pStyle w:val="null3"/>
            </w:pPr>
            <w:r>
              <w:rPr>
                <w:rFonts w:ascii="仿宋_GB2312" w:hAnsi="仿宋_GB2312" w:cs="仿宋_GB2312" w:eastAsia="仿宋_GB2312"/>
              </w:rPr>
              <w:t>项目</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1,180,000.00</w:t>
      </w:r>
    </w:p>
    <w:p>
      <w:pPr>
        <w:pStyle w:val="null3"/>
      </w:pPr>
      <w:r>
        <w:rPr>
          <w:rFonts w:ascii="仿宋_GB2312" w:hAnsi="仿宋_GB2312" w:cs="仿宋_GB2312" w:eastAsia="仿宋_GB2312"/>
        </w:rPr>
        <w:t>采购包最高限价（元）: 1,180,000.00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指挥中心值守保障技术服务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标的名称：指挥中心设备维护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0"/>
            </w:pPr>
            <w:r>
              <w:rPr>
                <w:rFonts w:ascii="仿宋_GB2312" w:hAnsi="仿宋_GB2312" w:cs="仿宋_GB2312" w:eastAsia="仿宋_GB2312"/>
                <w:sz w:val="21"/>
                <w:b/>
              </w:rPr>
              <w:t>一、主要目标</w:t>
            </w:r>
          </w:p>
          <w:p>
            <w:pPr>
              <w:pStyle w:val="null3"/>
              <w:ind w:firstLine="440"/>
              <w:jc w:val="left"/>
            </w:pPr>
            <w:r>
              <w:rPr>
                <w:rFonts w:ascii="仿宋_GB2312" w:hAnsi="仿宋_GB2312" w:cs="仿宋_GB2312" w:eastAsia="仿宋_GB2312"/>
                <w:sz w:val="21"/>
              </w:rPr>
              <w:t>通过开展厅应急指挥中心原有大屏显示系统、综合控制管理平台、音响系统、视频会商系统、安防系统、网络通信及配套支撑系统等设备运行维护，保障省厅应急指挥大厅正常运行，确保日常运行监测、应急通信调度及演练等工作顺利开展。</w:t>
            </w:r>
          </w:p>
          <w:p>
            <w:pPr>
              <w:pStyle w:val="null3"/>
              <w:jc w:val="left"/>
              <w:outlineLvl w:val="0"/>
            </w:pPr>
            <w:r>
              <w:rPr>
                <w:rFonts w:ascii="仿宋_GB2312" w:hAnsi="仿宋_GB2312" w:cs="仿宋_GB2312" w:eastAsia="仿宋_GB2312"/>
                <w:sz w:val="21"/>
                <w:b/>
              </w:rPr>
              <w:t>二、安全保密</w:t>
            </w:r>
          </w:p>
          <w:p>
            <w:pPr>
              <w:pStyle w:val="null3"/>
              <w:ind w:firstLine="440"/>
              <w:jc w:val="left"/>
            </w:pPr>
            <w:r>
              <w:rPr>
                <w:rFonts w:ascii="仿宋_GB2312" w:hAnsi="仿宋_GB2312" w:cs="仿宋_GB2312" w:eastAsia="仿宋_GB2312"/>
                <w:sz w:val="21"/>
              </w:rPr>
              <w:t>1.增强人员意识，严格按照相关规定操作。</w:t>
            </w:r>
          </w:p>
          <w:p>
            <w:pPr>
              <w:pStyle w:val="null3"/>
              <w:ind w:firstLine="440"/>
              <w:jc w:val="left"/>
            </w:pPr>
            <w:r>
              <w:rPr>
                <w:rFonts w:ascii="仿宋_GB2312" w:hAnsi="仿宋_GB2312" w:cs="仿宋_GB2312" w:eastAsia="仿宋_GB2312"/>
                <w:sz w:val="21"/>
              </w:rPr>
              <w:t>2.签订《指挥中心设备维护保密协议》，确保信息安全。</w:t>
            </w:r>
          </w:p>
          <w:p>
            <w:pPr>
              <w:pStyle w:val="null3"/>
              <w:jc w:val="left"/>
              <w:outlineLvl w:val="0"/>
            </w:pPr>
            <w:r>
              <w:rPr>
                <w:rFonts w:ascii="仿宋_GB2312" w:hAnsi="仿宋_GB2312" w:cs="仿宋_GB2312" w:eastAsia="仿宋_GB2312"/>
                <w:sz w:val="21"/>
                <w:b/>
              </w:rPr>
              <w:t>三、运维服务需求</w:t>
            </w:r>
          </w:p>
          <w:p>
            <w:pPr>
              <w:pStyle w:val="null3"/>
              <w:jc w:val="both"/>
              <w:outlineLvl w:val="1"/>
            </w:pPr>
            <w:r>
              <w:rPr>
                <w:rFonts w:ascii="仿宋_GB2312" w:hAnsi="仿宋_GB2312" w:cs="仿宋_GB2312" w:eastAsia="仿宋_GB2312"/>
                <w:sz w:val="21"/>
                <w:b/>
              </w:rPr>
              <w:t>（一）</w:t>
            </w:r>
            <w:r>
              <w:rPr>
                <w:rFonts w:ascii="仿宋_GB2312" w:hAnsi="仿宋_GB2312" w:cs="仿宋_GB2312" w:eastAsia="仿宋_GB2312"/>
                <w:sz w:val="21"/>
                <w:b/>
              </w:rPr>
              <w:t>厅应急指挥中心设备维护</w:t>
            </w:r>
          </w:p>
          <w:p>
            <w:pPr>
              <w:pStyle w:val="null3"/>
              <w:jc w:val="left"/>
              <w:outlineLvl w:val="2"/>
            </w:pPr>
            <w:r>
              <w:rPr>
                <w:rFonts w:ascii="仿宋_GB2312" w:hAnsi="仿宋_GB2312" w:cs="仿宋_GB2312" w:eastAsia="仿宋_GB2312"/>
                <w:sz w:val="21"/>
                <w:b/>
              </w:rPr>
              <w:t>1.主要目标</w:t>
            </w:r>
          </w:p>
          <w:p>
            <w:pPr>
              <w:pStyle w:val="null3"/>
              <w:ind w:firstLine="440"/>
              <w:jc w:val="left"/>
            </w:pPr>
            <w:r>
              <w:rPr>
                <w:rFonts w:ascii="仿宋_GB2312" w:hAnsi="仿宋_GB2312" w:cs="仿宋_GB2312" w:eastAsia="仿宋_GB2312"/>
                <w:sz w:val="21"/>
              </w:rPr>
              <w:t>通过对陕西省交通运行监测中心厅应急指挥中心设备的日常维护保养、硬件（含系统软件）故障的分析排除、设备质保、备件管理和更换，以及系统的优化建议、调整、配置等工作保障其正常运行。</w:t>
            </w:r>
          </w:p>
          <w:p>
            <w:pPr>
              <w:pStyle w:val="null3"/>
              <w:jc w:val="left"/>
              <w:outlineLvl w:val="2"/>
            </w:pPr>
            <w:r>
              <w:rPr>
                <w:rFonts w:ascii="仿宋_GB2312" w:hAnsi="仿宋_GB2312" w:cs="仿宋_GB2312" w:eastAsia="仿宋_GB2312"/>
                <w:sz w:val="21"/>
                <w:b/>
              </w:rPr>
              <w:t>2.厅应急指挥中心设备维护运维服务需求</w:t>
            </w:r>
          </w:p>
          <w:p>
            <w:pPr>
              <w:pStyle w:val="null3"/>
              <w:ind w:firstLine="442"/>
              <w:jc w:val="left"/>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维护设备清单</w:t>
            </w:r>
          </w:p>
          <w:tbl>
            <w:tblPr>
              <w:tblBorders>
                <w:top w:val="none" w:color="000000" w:sz="4"/>
                <w:left w:val="none" w:color="000000" w:sz="4"/>
                <w:bottom w:val="none" w:color="000000" w:sz="4"/>
                <w:right w:val="none" w:color="000000" w:sz="4"/>
                <w:insideH w:val="none"/>
                <w:insideV w:val="none"/>
              </w:tblBorders>
            </w:tblPr>
            <w:tblGrid>
              <w:gridCol w:w="182"/>
              <w:gridCol w:w="639"/>
              <w:gridCol w:w="342"/>
              <w:gridCol w:w="930"/>
              <w:gridCol w:w="205"/>
              <w:gridCol w:w="239"/>
            </w:tblGrid>
            <w:tr>
              <w:tc>
                <w:tcPr>
                  <w:tcW w:type="dxa" w:w="1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6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设备材料名称</w:t>
                  </w:r>
                </w:p>
              </w:tc>
              <w:tc>
                <w:tcPr>
                  <w:tcW w:type="dxa" w:w="3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品牌</w:t>
                  </w:r>
                </w:p>
              </w:tc>
              <w:tc>
                <w:tcPr>
                  <w:tcW w:type="dxa" w:w="9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型号</w:t>
                  </w:r>
                </w:p>
              </w:tc>
              <w:tc>
                <w:tcPr>
                  <w:tcW w:type="dxa" w:w="2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单位</w:t>
                  </w:r>
                </w:p>
              </w:tc>
              <w:tc>
                <w:tcPr>
                  <w:tcW w:type="dxa" w:w="2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数量</w:t>
                  </w:r>
                </w:p>
              </w:tc>
            </w:tr>
            <w:tr>
              <w:tc>
                <w:tcPr>
                  <w:tcW w:type="dxa" w:w="2537"/>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一、大屏显示系统</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6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窄边液晶拼接单元</w:t>
                  </w:r>
                </w:p>
              </w:tc>
              <w:tc>
                <w:tcPr>
                  <w:tcW w:type="dxa" w:w="3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LG</w:t>
                  </w:r>
                </w:p>
              </w:tc>
              <w:tc>
                <w:tcPr>
                  <w:tcW w:type="dxa" w:w="9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55SVH7F-A</w:t>
                  </w:r>
                </w:p>
              </w:tc>
              <w:tc>
                <w:tcPr>
                  <w:tcW w:type="dxa" w:w="2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单元</w:t>
                  </w:r>
                </w:p>
              </w:tc>
              <w:tc>
                <w:tcPr>
                  <w:tcW w:type="dxa" w:w="2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45</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大屏幕处理单元</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LG</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DB-VWCS-CSF4E16D</w:t>
                  </w:r>
                </w:p>
                <w:p>
                  <w:pPr>
                    <w:pStyle w:val="null3"/>
                    <w:jc w:val="center"/>
                  </w:pPr>
                  <w:r>
                    <w:rPr>
                      <w:rFonts w:ascii="仿宋_GB2312" w:hAnsi="仿宋_GB2312" w:cs="仿宋_GB2312" w:eastAsia="仿宋_GB2312"/>
                      <w:sz w:val="21"/>
                    </w:rPr>
                    <w:t>52路输入+48路输出</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线材及配件</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45</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拼接控制软件</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工作站（含键盘鼠标）</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惠普</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HP Z2 G4</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LED 屏（条幅）</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兴路</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XL-Q910 0.5mx10m条幅屏</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小间距LED屏（背景墙）</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兴路</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XL-Q910</w:t>
                  </w:r>
                </w:p>
                <w:p>
                  <w:pPr>
                    <w:pStyle w:val="null3"/>
                    <w:jc w:val="center"/>
                  </w:pPr>
                  <w:r>
                    <w:rPr>
                      <w:rFonts w:ascii="仿宋_GB2312" w:hAnsi="仿宋_GB2312" w:cs="仿宋_GB2312" w:eastAsia="仿宋_GB2312"/>
                      <w:sz w:val="21"/>
                    </w:rPr>
                    <w:t>4.5mx2.4m小间距 LED屏</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537"/>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二、综合管理平台坐席协作管理系统</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6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综合管理平台软件</w:t>
                  </w:r>
                </w:p>
              </w:tc>
              <w:tc>
                <w:tcPr>
                  <w:tcW w:type="dxa" w:w="3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定制</w:t>
                  </w:r>
                </w:p>
              </w:tc>
              <w:tc>
                <w:tcPr>
                  <w:tcW w:type="dxa" w:w="930"/>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DB-VWCS-MCSF4E16D</w:t>
                  </w:r>
                </w:p>
              </w:tc>
              <w:tc>
                <w:tcPr>
                  <w:tcW w:type="dxa" w:w="2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拼接显示系统网络管理软件</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定制</w:t>
                  </w:r>
                </w:p>
              </w:tc>
              <w:tc>
                <w:tcPr>
                  <w:tcW w:type="dxa" w:w="930"/>
                  <w:vMerge/>
                  <w:tcBorders>
                    <w:top w:val="single" w:color="000000" w:sz="4"/>
                    <w:left w:val="none" w:color="000000" w:sz="4"/>
                    <w:bottom w:val="single" w:color="000000" w:sz="4"/>
                    <w:right w:val="single" w:color="000000" w:sz="4"/>
                  </w:tcBorders>
                </w:tcP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拼接中控软件</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定制</w:t>
                  </w:r>
                </w:p>
              </w:tc>
              <w:tc>
                <w:tcPr>
                  <w:tcW w:type="dxa" w:w="930"/>
                  <w:vMerge/>
                  <w:tcBorders>
                    <w:top w:val="single" w:color="000000" w:sz="4"/>
                    <w:left w:val="none" w:color="000000" w:sz="4"/>
                    <w:bottom w:val="single" w:color="000000" w:sz="4"/>
                    <w:right w:val="single" w:color="000000" w:sz="4"/>
                  </w:tcBorders>
                </w:tcP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中心服务器</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小鸟</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DB-DMIS-MS-1000</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中央处理器</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小鸟</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DB-DMIS CONTROL PROC</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环境开关控制器</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小鸟</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DB-DMIS-ECU-XA08</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环境开关控制器</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ABL</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V-80+</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矩阵</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MT-VIKI</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MT-HD0808</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平板电脑</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华为</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Mate pad pro10</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537"/>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三、音响系统</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6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发射器</w:t>
                  </w:r>
                </w:p>
              </w:tc>
              <w:tc>
                <w:tcPr>
                  <w:tcW w:type="dxa" w:w="3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RF</w:t>
                  </w:r>
                </w:p>
              </w:tc>
              <w:tc>
                <w:tcPr>
                  <w:tcW w:type="dxa" w:w="9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UA404+</w:t>
                  </w:r>
                </w:p>
                <w:p>
                  <w:pPr>
                    <w:pStyle w:val="null3"/>
                    <w:jc w:val="center"/>
                  </w:pPr>
                  <w:r>
                    <w:rPr>
                      <w:rFonts w:ascii="仿宋_GB2312" w:hAnsi="仿宋_GB2312" w:cs="仿宋_GB2312" w:eastAsia="仿宋_GB2312"/>
                      <w:sz w:val="21"/>
                    </w:rPr>
                    <w:t>(包含UA590天线一对）</w:t>
                  </w:r>
                </w:p>
              </w:tc>
              <w:tc>
                <w:tcPr>
                  <w:tcW w:type="dxa" w:w="2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专业音箱</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RF</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KS15</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只</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专业功放</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RF</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G750</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无线话筒</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RF</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DL4R/DL1</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调音台</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RF</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MX-12F</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音频处理器</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小鸟</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DB-DMIS-APU-0808</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数字会议系统</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声兹</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ASN-W6Pro</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桌面代表单元</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声兹</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ASN-9ML</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充电箱</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声兹</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专用</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混音器</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弦音</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8通道</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537"/>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四、应急指挥视频会商系统</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6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高清视频终端</w:t>
                  </w:r>
                </w:p>
              </w:tc>
              <w:tc>
                <w:tcPr>
                  <w:tcW w:type="dxa" w:w="3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宝利通</w:t>
                  </w:r>
                </w:p>
              </w:tc>
              <w:tc>
                <w:tcPr>
                  <w:tcW w:type="dxa" w:w="9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Group550</w:t>
                  </w:r>
                </w:p>
              </w:tc>
              <w:tc>
                <w:tcPr>
                  <w:tcW w:type="dxa" w:w="2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高清视频终端</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中兴</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ZXV10 T600</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高清摄像机</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保凌</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VCC-4K720S</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摄像机键盘</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保凌</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KBD-2020-R</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综合管理平台</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定制</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工作站PC（含键盘鼠标）</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惠普</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HP Z2 G4</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以太网交换机光电交换机</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华为</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S5720S-28P-LI-AC</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以太网交换机光电交换机</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华为</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S5720-56C-E1</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以太网交换机光电交换机</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华为数通</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S5735S-L24T4s-QA2</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光电收发器</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G-First</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FT-10/100A</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对</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537"/>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五、安防系统</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6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红外高清半球摄像机</w:t>
                  </w:r>
                </w:p>
              </w:tc>
              <w:tc>
                <w:tcPr>
                  <w:tcW w:type="dxa" w:w="3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海康</w:t>
                  </w:r>
                </w:p>
              </w:tc>
              <w:tc>
                <w:tcPr>
                  <w:tcW w:type="dxa" w:w="9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DS-2PT7D2XYZIXR-ABC_VWS</w:t>
                  </w:r>
                </w:p>
              </w:tc>
              <w:tc>
                <w:tcPr>
                  <w:tcW w:type="dxa" w:w="2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硬盘录像机</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海康</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DS-7604N-K1/LZL</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门控制器</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海康</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DS-K1T6XYZUVW-ABC</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读卡器</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海康</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电子门锁（磁力）</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海康</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DS-K4H</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开门按钮</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海康</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86型</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门禁电源</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海康</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定制</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537"/>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六、空调新风</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6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空调6P吸顶式380V</w:t>
                  </w:r>
                </w:p>
              </w:tc>
              <w:tc>
                <w:tcPr>
                  <w:tcW w:type="dxa" w:w="3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格力</w:t>
                  </w:r>
                </w:p>
              </w:tc>
              <w:tc>
                <w:tcPr>
                  <w:tcW w:type="dxa" w:w="9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PGR14/D</w:t>
                  </w:r>
                </w:p>
              </w:tc>
              <w:tc>
                <w:tcPr>
                  <w:tcW w:type="dxa" w:w="2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空调3P挂机</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海信</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KFR-72GW/A590D-X1</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新风机</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格力</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FHBQGL-3.5DC</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2537"/>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七、照明</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6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筒灯</w:t>
                  </w:r>
                </w:p>
              </w:tc>
              <w:tc>
                <w:tcPr>
                  <w:tcW w:type="dxa" w:w="3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雷士</w:t>
                  </w:r>
                </w:p>
              </w:tc>
              <w:tc>
                <w:tcPr>
                  <w:tcW w:type="dxa" w:w="9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大厅42+控制室6</w:t>
                  </w:r>
                </w:p>
              </w:tc>
              <w:tc>
                <w:tcPr>
                  <w:tcW w:type="dxa" w:w="2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48</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灯带</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飞利浦</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大厅</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64</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配电箱</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定制</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定制型</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r>
            <w:tr>
              <w:tc>
                <w:tcPr>
                  <w:tcW w:type="dxa" w:w="2537"/>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八、办公周边</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6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多功能传真一体机</w:t>
                  </w:r>
                  <w:r>
                    <w:rPr>
                      <w:rFonts w:ascii="仿宋_GB2312" w:hAnsi="仿宋_GB2312" w:cs="仿宋_GB2312" w:eastAsia="仿宋_GB2312"/>
                      <w:sz w:val="21"/>
                    </w:rPr>
                    <w:t>（</w:t>
                  </w:r>
                  <w:r>
                    <w:rPr>
                      <w:rFonts w:ascii="仿宋_GB2312" w:hAnsi="仿宋_GB2312" w:cs="仿宋_GB2312" w:eastAsia="仿宋_GB2312"/>
                      <w:sz w:val="21"/>
                    </w:rPr>
                    <w:t>含耗材</w:t>
                  </w:r>
                  <w:r>
                    <w:rPr>
                      <w:rFonts w:ascii="仿宋_GB2312" w:hAnsi="仿宋_GB2312" w:cs="仿宋_GB2312" w:eastAsia="仿宋_GB2312"/>
                      <w:sz w:val="21"/>
                    </w:rPr>
                    <w:t>）</w:t>
                  </w:r>
                </w:p>
              </w:tc>
              <w:tc>
                <w:tcPr>
                  <w:tcW w:type="dxa" w:w="3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佳能</w:t>
                  </w:r>
                </w:p>
              </w:tc>
              <w:tc>
                <w:tcPr>
                  <w:tcW w:type="dxa" w:w="9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imageCLASS MF441dw</w:t>
                  </w:r>
                </w:p>
              </w:tc>
              <w:tc>
                <w:tcPr>
                  <w:tcW w:type="dxa" w:w="2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无线路由器</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华为</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WS7200</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无绳电话子母机</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TCL</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HWDCD868(39)TSD</w:t>
                  </w: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窗帘、窗户、滤网</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地毯</w:t>
                  </w:r>
                </w:p>
              </w:tc>
              <w:tc>
                <w:tcPr>
                  <w:tcW w:type="dxa" w:w="3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定制</w:t>
                  </w:r>
                </w:p>
              </w:tc>
              <w:tc>
                <w:tcPr>
                  <w:tcW w:type="dxa" w:w="9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537"/>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九、道路高清解码器</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6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高清解码器</w:t>
                  </w:r>
                </w:p>
              </w:tc>
              <w:tc>
                <w:tcPr>
                  <w:tcW w:type="dxa" w:w="3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海康威视</w:t>
                  </w:r>
                </w:p>
              </w:tc>
              <w:tc>
                <w:tcPr>
                  <w:tcW w:type="dxa" w:w="9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DS-6904UD</w:t>
                  </w:r>
                </w:p>
              </w:tc>
              <w:tc>
                <w:tcPr>
                  <w:tcW w:type="dxa" w:w="2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w:t>
                  </w:r>
                </w:p>
              </w:tc>
            </w:tr>
          </w:tbl>
          <w:p>
            <w:pPr>
              <w:pStyle w:val="null3"/>
              <w:ind w:firstLine="442"/>
              <w:jc w:val="left"/>
            </w:pPr>
            <w:r>
              <w:rPr>
                <w:rFonts w:ascii="仿宋_GB2312" w:hAnsi="仿宋_GB2312" w:cs="仿宋_GB2312" w:eastAsia="仿宋_GB2312"/>
                <w:sz w:val="21"/>
                <w:b/>
              </w:rPr>
              <w:t>（2）</w:t>
            </w:r>
            <w:r>
              <w:rPr>
                <w:rFonts w:ascii="仿宋_GB2312" w:hAnsi="仿宋_GB2312" w:cs="仿宋_GB2312" w:eastAsia="仿宋_GB2312"/>
                <w:sz w:val="21"/>
                <w:b/>
              </w:rPr>
              <w:t>日常运行维护服务</w:t>
            </w:r>
            <w:r>
              <w:rPr>
                <w:rFonts w:ascii="仿宋_GB2312" w:hAnsi="仿宋_GB2312" w:cs="仿宋_GB2312" w:eastAsia="仿宋_GB2312"/>
                <w:sz w:val="21"/>
                <w:b/>
              </w:rPr>
              <w:t>需求</w:t>
            </w:r>
            <w:r>
              <w:rPr>
                <w:rFonts w:ascii="仿宋_GB2312" w:hAnsi="仿宋_GB2312" w:cs="仿宋_GB2312" w:eastAsia="仿宋_GB2312"/>
                <w:sz w:val="21"/>
                <w:b/>
              </w:rPr>
              <w:t>：</w:t>
            </w:r>
          </w:p>
          <w:p>
            <w:pPr>
              <w:pStyle w:val="null3"/>
              <w:ind w:firstLine="440"/>
              <w:jc w:val="left"/>
            </w:pPr>
            <w:r>
              <w:rPr>
                <w:rFonts w:ascii="仿宋_GB2312" w:hAnsi="仿宋_GB2312" w:cs="仿宋_GB2312" w:eastAsia="仿宋_GB2312"/>
                <w:sz w:val="21"/>
              </w:rPr>
              <w:t>①</w:t>
            </w:r>
            <w:r>
              <w:rPr>
                <w:rFonts w:ascii="仿宋_GB2312" w:hAnsi="仿宋_GB2312" w:cs="仿宋_GB2312" w:eastAsia="仿宋_GB2312"/>
                <w:sz w:val="21"/>
              </w:rPr>
              <w:t>派驻合格技术人员在工作日时间和重大事件驻场保障，并为技术维护岗设置双人AB角色互为备份。</w:t>
            </w:r>
          </w:p>
          <w:p>
            <w:pPr>
              <w:pStyle w:val="null3"/>
              <w:ind w:firstLine="440"/>
              <w:jc w:val="left"/>
            </w:pPr>
            <w:r>
              <w:rPr>
                <w:rFonts w:ascii="仿宋_GB2312" w:hAnsi="仿宋_GB2312" w:cs="仿宋_GB2312" w:eastAsia="仿宋_GB2312"/>
                <w:sz w:val="21"/>
              </w:rPr>
              <w:t>②</w:t>
            </w:r>
            <w:r>
              <w:rPr>
                <w:rFonts w:ascii="仿宋_GB2312" w:hAnsi="仿宋_GB2312" w:cs="仿宋_GB2312" w:eastAsia="仿宋_GB2312"/>
                <w:sz w:val="21"/>
              </w:rPr>
              <w:t>派驻合格技术人员协助应急突发事项工作。</w:t>
            </w:r>
          </w:p>
          <w:p>
            <w:pPr>
              <w:pStyle w:val="null3"/>
              <w:ind w:firstLine="440"/>
              <w:jc w:val="left"/>
            </w:pPr>
            <w:r>
              <w:rPr>
                <w:rFonts w:ascii="仿宋_GB2312" w:hAnsi="仿宋_GB2312" w:cs="仿宋_GB2312" w:eastAsia="仿宋_GB2312"/>
                <w:sz w:val="21"/>
              </w:rPr>
              <w:t>③</w:t>
            </w:r>
            <w:r>
              <w:rPr>
                <w:rFonts w:ascii="仿宋_GB2312" w:hAnsi="仿宋_GB2312" w:cs="仿宋_GB2312" w:eastAsia="仿宋_GB2312"/>
                <w:sz w:val="21"/>
              </w:rPr>
              <w:t>每月一次，在现场对本次合同范围内的所有系统设备进行常规检测，并记录检测内容和结果。对发现的故障隐患和不合理内容进行处理。</w:t>
            </w:r>
          </w:p>
          <w:p>
            <w:pPr>
              <w:pStyle w:val="null3"/>
              <w:ind w:firstLine="440"/>
              <w:jc w:val="left"/>
            </w:pPr>
            <w:r>
              <w:rPr>
                <w:rFonts w:ascii="仿宋_GB2312" w:hAnsi="仿宋_GB2312" w:cs="仿宋_GB2312" w:eastAsia="仿宋_GB2312"/>
                <w:sz w:val="21"/>
              </w:rPr>
              <w:t>④</w:t>
            </w:r>
            <w:r>
              <w:rPr>
                <w:rFonts w:ascii="仿宋_GB2312" w:hAnsi="仿宋_GB2312" w:cs="仿宋_GB2312" w:eastAsia="仿宋_GB2312"/>
                <w:sz w:val="21"/>
              </w:rPr>
              <w:t>两月一次派遣技术专家对所有系统设备进行检测，并详细记录检测内容和结果。对随时发现的故障和不合理的使用进行解决和纠正。在现场对所有设备进行运行日志分析，发现潜在的硬件故障并着手对故障进行解决。</w:t>
            </w:r>
          </w:p>
          <w:p>
            <w:pPr>
              <w:pStyle w:val="null3"/>
              <w:ind w:firstLine="440"/>
              <w:jc w:val="left"/>
            </w:pPr>
            <w:r>
              <w:rPr>
                <w:rFonts w:ascii="仿宋_GB2312" w:hAnsi="仿宋_GB2312" w:cs="仿宋_GB2312" w:eastAsia="仿宋_GB2312"/>
                <w:sz w:val="21"/>
              </w:rPr>
              <w:t>⑤</w:t>
            </w:r>
            <w:r>
              <w:rPr>
                <w:rFonts w:ascii="仿宋_GB2312" w:hAnsi="仿宋_GB2312" w:cs="仿宋_GB2312" w:eastAsia="仿宋_GB2312"/>
                <w:sz w:val="21"/>
              </w:rPr>
              <w:t>对维护范围内的所有系统设备的故障排除、运行监测、检测和备件更换等所有操作都应有文字记录；每月5号前提交上月维护报告；</w:t>
            </w:r>
          </w:p>
          <w:p>
            <w:pPr>
              <w:pStyle w:val="null3"/>
              <w:ind w:firstLine="440"/>
              <w:jc w:val="left"/>
            </w:pPr>
            <w:r>
              <w:rPr>
                <w:rFonts w:ascii="仿宋_GB2312" w:hAnsi="仿宋_GB2312" w:cs="仿宋_GB2312" w:eastAsia="仿宋_GB2312"/>
                <w:sz w:val="21"/>
              </w:rPr>
              <w:t>⑥</w:t>
            </w:r>
            <w:r>
              <w:rPr>
                <w:rFonts w:ascii="仿宋_GB2312" w:hAnsi="仿宋_GB2312" w:cs="仿宋_GB2312" w:eastAsia="仿宋_GB2312"/>
                <w:sz w:val="21"/>
              </w:rPr>
              <w:t>负责大屏后设备间卫生保洁工作。两月一次打扫指挥中心机柜内部。每年两次清理本次合同范围内的所有系统设备机箱内部的灰尘。</w:t>
            </w:r>
            <w:r>
              <w:rPr>
                <w:rFonts w:ascii="仿宋_GB2312" w:hAnsi="仿宋_GB2312" w:cs="仿宋_GB2312" w:eastAsia="仿宋_GB2312"/>
                <w:sz w:val="21"/>
              </w:rPr>
              <w:t>每年一次清洗窗帘、窗户和滤网。</w:t>
            </w:r>
          </w:p>
          <w:p>
            <w:pPr>
              <w:pStyle w:val="null3"/>
              <w:ind w:firstLine="440"/>
              <w:jc w:val="left"/>
            </w:pPr>
            <w:r>
              <w:rPr>
                <w:rFonts w:ascii="仿宋_GB2312" w:hAnsi="仿宋_GB2312" w:cs="仿宋_GB2312" w:eastAsia="仿宋_GB2312"/>
                <w:sz w:val="21"/>
              </w:rPr>
              <w:t>⑦</w:t>
            </w:r>
            <w:r>
              <w:rPr>
                <w:rFonts w:ascii="仿宋_GB2312" w:hAnsi="仿宋_GB2312" w:cs="仿宋_GB2312" w:eastAsia="仿宋_GB2312"/>
                <w:sz w:val="21"/>
              </w:rPr>
              <w:t>对会议综合管理软件进行持续的修改升级。</w:t>
            </w:r>
          </w:p>
          <w:p>
            <w:pPr>
              <w:pStyle w:val="null3"/>
              <w:ind w:firstLine="440"/>
              <w:jc w:val="left"/>
            </w:pPr>
            <w:r>
              <w:rPr>
                <w:rFonts w:ascii="仿宋_GB2312" w:hAnsi="仿宋_GB2312" w:cs="仿宋_GB2312" w:eastAsia="仿宋_GB2312"/>
                <w:sz w:val="21"/>
              </w:rPr>
              <w:t>⑧</w:t>
            </w:r>
            <w:r>
              <w:rPr>
                <w:rFonts w:ascii="仿宋_GB2312" w:hAnsi="仿宋_GB2312" w:cs="仿宋_GB2312" w:eastAsia="仿宋_GB2312"/>
                <w:sz w:val="21"/>
              </w:rPr>
              <w:t>对应急大厅地毯进行更换，定期进行保养。</w:t>
            </w:r>
          </w:p>
          <w:p>
            <w:pPr>
              <w:pStyle w:val="null3"/>
              <w:jc w:val="left"/>
              <w:outlineLvl w:val="2"/>
            </w:pPr>
            <w:r>
              <w:rPr>
                <w:rFonts w:ascii="仿宋_GB2312" w:hAnsi="仿宋_GB2312" w:cs="仿宋_GB2312" w:eastAsia="仿宋_GB2312"/>
                <w:sz w:val="21"/>
                <w:b/>
              </w:rPr>
              <w:t>3.厅应急指挥中心设备维护</w:t>
            </w:r>
            <w:r>
              <w:rPr>
                <w:rFonts w:ascii="仿宋_GB2312" w:hAnsi="仿宋_GB2312" w:cs="仿宋_GB2312" w:eastAsia="仿宋_GB2312"/>
                <w:sz w:val="21"/>
                <w:b/>
              </w:rPr>
              <w:t>量化指标</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提供工作日5×8小时驻场服务（至少1人），全年7×24小时实时电话响应</w:t>
            </w:r>
            <w:r>
              <w:rPr>
                <w:rFonts w:ascii="仿宋_GB2312" w:hAnsi="仿宋_GB2312" w:cs="仿宋_GB2312" w:eastAsia="仿宋_GB2312"/>
                <w:sz w:val="21"/>
              </w:rPr>
              <w:t>。</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对本次范围内维护的系统可能随时发生的一般故障，在接到故障申告时起，工作日5×8小时内5分钟响应，非工作日1小时内到达现场，紧急故障30分钟内到达现场</w:t>
            </w:r>
            <w:r>
              <w:rPr>
                <w:rFonts w:ascii="仿宋_GB2312" w:hAnsi="仿宋_GB2312" w:cs="仿宋_GB2312" w:eastAsia="仿宋_GB2312"/>
                <w:sz w:val="21"/>
              </w:rPr>
              <w:t>。</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维护方到达故障现场，故障诊断时间不超过1小时。非运营商链路中断造成的故障，系统恢复运行时间不超过2小时。</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如需要更换备件，在接到故障申告时起，3小时内备件到达故障现场，部分特殊</w:t>
            </w:r>
            <w:r>
              <w:rPr>
                <w:rFonts w:ascii="仿宋_GB2312" w:hAnsi="仿宋_GB2312" w:cs="仿宋_GB2312" w:eastAsia="仿宋_GB2312"/>
                <w:sz w:val="21"/>
              </w:rPr>
              <w:t>定</w:t>
            </w:r>
            <w:r>
              <w:rPr>
                <w:rFonts w:ascii="仿宋_GB2312" w:hAnsi="仿宋_GB2312" w:cs="仿宋_GB2312" w:eastAsia="仿宋_GB2312"/>
                <w:sz w:val="21"/>
              </w:rPr>
              <w:t>制备件到场时间不超过14天，从备件到场时起，更换备件作业时间不超过2小时。</w:t>
            </w:r>
          </w:p>
          <w:p>
            <w:pPr>
              <w:pStyle w:val="null3"/>
              <w:jc w:val="left"/>
              <w:outlineLvl w:val="2"/>
            </w:pPr>
            <w:r>
              <w:rPr>
                <w:rFonts w:ascii="仿宋_GB2312" w:hAnsi="仿宋_GB2312" w:cs="仿宋_GB2312" w:eastAsia="仿宋_GB2312"/>
                <w:sz w:val="21"/>
                <w:b/>
              </w:rPr>
              <w:t>4.服务期限为：</w:t>
            </w:r>
            <w:r>
              <w:rPr>
                <w:rFonts w:ascii="仿宋_GB2312" w:hAnsi="仿宋_GB2312" w:cs="仿宋_GB2312" w:eastAsia="仿宋_GB2312"/>
                <w:sz w:val="21"/>
                <w:b/>
              </w:rPr>
              <w:t>自2026年8月22日至2027年8月21日</w:t>
            </w:r>
          </w:p>
          <w:p>
            <w:pPr>
              <w:pStyle w:val="null3"/>
              <w:ind w:firstLine="442"/>
              <w:jc w:val="left"/>
            </w:pPr>
            <w:r>
              <w:rPr>
                <w:rFonts w:ascii="仿宋_GB2312" w:hAnsi="仿宋_GB2312" w:cs="仿宋_GB2312" w:eastAsia="仿宋_GB2312"/>
                <w:sz w:val="21"/>
                <w:b/>
              </w:rPr>
              <w:t>5.</w:t>
            </w:r>
            <w:r>
              <w:rPr>
                <w:rFonts w:ascii="仿宋_GB2312" w:hAnsi="仿宋_GB2312" w:cs="仿宋_GB2312" w:eastAsia="仿宋_GB2312"/>
                <w:sz w:val="21"/>
                <w:b/>
              </w:rPr>
              <w:t>其它要求：</w:t>
            </w:r>
          </w:p>
          <w:p>
            <w:pPr>
              <w:pStyle w:val="null3"/>
              <w:ind w:firstLine="440"/>
              <w:jc w:val="left"/>
            </w:pPr>
            <w:r>
              <w:rPr>
                <w:rFonts w:ascii="仿宋_GB2312" w:hAnsi="仿宋_GB2312" w:cs="仿宋_GB2312" w:eastAsia="仿宋_GB2312"/>
                <w:sz w:val="21"/>
              </w:rPr>
              <w:t>1、运维单位须参加考核，按照《陕西省交通运行监测中心信息化系统运维服务考核办法》执行。</w:t>
            </w:r>
          </w:p>
          <w:p>
            <w:pPr>
              <w:pStyle w:val="null3"/>
            </w:pPr>
            <w:r>
              <w:rPr>
                <w:rFonts w:ascii="仿宋_GB2312" w:hAnsi="仿宋_GB2312" w:cs="仿宋_GB2312" w:eastAsia="仿宋_GB2312"/>
                <w:sz w:val="21"/>
              </w:rPr>
              <w:t>2、合同期满，项目必须通过验收。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标的名称：指挥中心值守保障技术服务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0"/>
            </w:pPr>
            <w:r>
              <w:rPr>
                <w:rFonts w:ascii="仿宋_GB2312" w:hAnsi="仿宋_GB2312" w:cs="仿宋_GB2312" w:eastAsia="仿宋_GB2312"/>
                <w:sz w:val="21"/>
                <w:b/>
              </w:rPr>
              <w:t>一、主要目标</w:t>
            </w:r>
          </w:p>
          <w:p>
            <w:pPr>
              <w:pStyle w:val="null3"/>
              <w:ind w:firstLine="440"/>
              <w:jc w:val="left"/>
            </w:pPr>
            <w:r>
              <w:rPr>
                <w:rFonts w:ascii="仿宋_GB2312" w:hAnsi="仿宋_GB2312" w:cs="仿宋_GB2312" w:eastAsia="仿宋_GB2312"/>
                <w:sz w:val="21"/>
              </w:rPr>
              <w:t>通过开展厅应急指挥中心值守保障技术服务，保障省厅应急指挥大厅正常运行，确保日常运行监测、应急通信调度及演练等工作顺利开展。</w:t>
            </w:r>
          </w:p>
          <w:p>
            <w:pPr>
              <w:pStyle w:val="null3"/>
              <w:jc w:val="left"/>
              <w:outlineLvl w:val="0"/>
            </w:pPr>
            <w:r>
              <w:rPr>
                <w:rFonts w:ascii="仿宋_GB2312" w:hAnsi="仿宋_GB2312" w:cs="仿宋_GB2312" w:eastAsia="仿宋_GB2312"/>
                <w:sz w:val="21"/>
                <w:b/>
              </w:rPr>
              <w:t>二、安全保密</w:t>
            </w:r>
          </w:p>
          <w:p>
            <w:pPr>
              <w:pStyle w:val="null3"/>
              <w:ind w:firstLine="440"/>
              <w:jc w:val="left"/>
            </w:pPr>
            <w:r>
              <w:rPr>
                <w:rFonts w:ascii="仿宋_GB2312" w:hAnsi="仿宋_GB2312" w:cs="仿宋_GB2312" w:eastAsia="仿宋_GB2312"/>
                <w:sz w:val="21"/>
              </w:rPr>
              <w:t>1.增强人员意识，严格按照相关规定操作。</w:t>
            </w:r>
          </w:p>
          <w:p>
            <w:pPr>
              <w:pStyle w:val="null3"/>
              <w:ind w:firstLine="440"/>
              <w:jc w:val="left"/>
            </w:pPr>
            <w:r>
              <w:rPr>
                <w:rFonts w:ascii="仿宋_GB2312" w:hAnsi="仿宋_GB2312" w:cs="仿宋_GB2312" w:eastAsia="仿宋_GB2312"/>
                <w:sz w:val="21"/>
              </w:rPr>
              <w:t>2.签订《指挥中心值守</w:t>
            </w:r>
            <w:r>
              <w:rPr>
                <w:rFonts w:ascii="仿宋_GB2312" w:hAnsi="仿宋_GB2312" w:cs="仿宋_GB2312" w:eastAsia="仿宋_GB2312"/>
                <w:sz w:val="21"/>
              </w:rPr>
              <w:t>保障</w:t>
            </w:r>
            <w:r>
              <w:rPr>
                <w:rFonts w:ascii="仿宋_GB2312" w:hAnsi="仿宋_GB2312" w:cs="仿宋_GB2312" w:eastAsia="仿宋_GB2312"/>
                <w:sz w:val="21"/>
              </w:rPr>
              <w:t>技术服务保密协议》，确保信息安全。</w:t>
            </w:r>
          </w:p>
          <w:p>
            <w:pPr>
              <w:pStyle w:val="null3"/>
              <w:jc w:val="left"/>
              <w:outlineLvl w:val="0"/>
            </w:pPr>
            <w:r>
              <w:rPr>
                <w:rFonts w:ascii="仿宋_GB2312" w:hAnsi="仿宋_GB2312" w:cs="仿宋_GB2312" w:eastAsia="仿宋_GB2312"/>
                <w:sz w:val="21"/>
                <w:b/>
              </w:rPr>
              <w:t>三、运维服务需求</w:t>
            </w:r>
          </w:p>
          <w:p>
            <w:pPr>
              <w:pStyle w:val="null3"/>
              <w:ind w:firstLine="442"/>
              <w:jc w:val="left"/>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厅应急指挥中心值守保障技术服务</w:t>
            </w:r>
          </w:p>
          <w:p>
            <w:pPr>
              <w:pStyle w:val="null3"/>
              <w:ind w:firstLine="442"/>
              <w:jc w:val="left"/>
            </w:pPr>
            <w:r>
              <w:rPr>
                <w:rFonts w:ascii="仿宋_GB2312" w:hAnsi="仿宋_GB2312" w:cs="仿宋_GB2312" w:eastAsia="仿宋_GB2312"/>
                <w:sz w:val="21"/>
                <w:b/>
              </w:rPr>
              <w:t>1.主要目标</w:t>
            </w:r>
          </w:p>
          <w:p>
            <w:pPr>
              <w:pStyle w:val="null3"/>
              <w:ind w:firstLine="440"/>
              <w:jc w:val="left"/>
            </w:pPr>
            <w:r>
              <w:rPr>
                <w:rFonts w:ascii="仿宋_GB2312" w:hAnsi="仿宋_GB2312" w:cs="仿宋_GB2312" w:eastAsia="仿宋_GB2312"/>
                <w:sz w:val="21"/>
              </w:rPr>
              <w:t>承担厅应急指挥中心的值班值守、交通信息采集与发布、信息接收与报告、运行指挥调度、公众信息服务、信息共享与联动、应急演练等工作。</w:t>
            </w:r>
          </w:p>
          <w:p>
            <w:pPr>
              <w:pStyle w:val="null3"/>
              <w:ind w:firstLine="442"/>
              <w:jc w:val="left"/>
            </w:pPr>
            <w:r>
              <w:rPr>
                <w:rFonts w:ascii="仿宋_GB2312" w:hAnsi="仿宋_GB2312" w:cs="仿宋_GB2312" w:eastAsia="仿宋_GB2312"/>
                <w:sz w:val="21"/>
                <w:b/>
              </w:rPr>
              <w:t>2.服务清单</w:t>
            </w:r>
          </w:p>
          <w:p>
            <w:pPr>
              <w:pStyle w:val="null3"/>
              <w:ind w:firstLine="440"/>
              <w:jc w:val="left"/>
            </w:pPr>
            <w:r>
              <w:rPr>
                <w:rFonts w:ascii="仿宋_GB2312" w:hAnsi="仿宋_GB2312" w:cs="仿宋_GB2312" w:eastAsia="仿宋_GB2312"/>
                <w:sz w:val="21"/>
              </w:rPr>
              <w:t>本项目主要内容包括为厅应急指挥中心值班值守、路网监测、信息发布、信息接收与报告、应急保障、通信保障等业务提供不少于9名操作人员（设置监控员8</w:t>
            </w:r>
            <w:r>
              <w:rPr>
                <w:rFonts w:ascii="仿宋_GB2312" w:hAnsi="仿宋_GB2312" w:cs="仿宋_GB2312" w:eastAsia="仿宋_GB2312"/>
                <w:sz w:val="21"/>
              </w:rPr>
              <w:t>名</w:t>
            </w:r>
            <w:r>
              <w:rPr>
                <w:rFonts w:ascii="仿宋_GB2312" w:hAnsi="仿宋_GB2312" w:cs="仿宋_GB2312" w:eastAsia="仿宋_GB2312"/>
                <w:sz w:val="21"/>
              </w:rPr>
              <w:t>，解说员1</w:t>
            </w:r>
            <w:r>
              <w:rPr>
                <w:rFonts w:ascii="仿宋_GB2312" w:hAnsi="仿宋_GB2312" w:cs="仿宋_GB2312" w:eastAsia="仿宋_GB2312"/>
                <w:sz w:val="21"/>
              </w:rPr>
              <w:t>名</w:t>
            </w:r>
            <w:r>
              <w:rPr>
                <w:rFonts w:ascii="仿宋_GB2312" w:hAnsi="仿宋_GB2312" w:cs="仿宋_GB2312" w:eastAsia="仿宋_GB2312"/>
                <w:sz w:val="21"/>
              </w:rPr>
              <w:t>，人员均由本服务项目提供），以及与此相关的人员管理、人员培训、人员考核、后勤保障等各项相关事务。以保障省交通运行监测与应急指挥中心7×24小时值班值守工作。</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）值班值守：承担厅应急指挥中心全年7×24小时值班值守工作，对接联系交通运输部、省政府、省气象局等单位，联系地市交通运输局、厅直等行业单位，以及陕西交控集团等行业重点企业。</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视频巡视：每日通过高速公路视频监控等系统、陕西公路视频服务系统、省厅视频整合平台、铁航邮视频平台，对陕西省内各条高速公路、国省干线公路、重点客运场站、水路码头等进行视频巡视，并形成巡视日报，每周汇总为周报。厅机关相关处室、省政府职能部门等如需</w:t>
            </w:r>
            <w:r>
              <w:rPr>
                <w:rFonts w:ascii="仿宋_GB2312" w:hAnsi="仿宋_GB2312" w:cs="仿宋_GB2312" w:eastAsia="仿宋_GB2312"/>
                <w:sz w:val="21"/>
              </w:rPr>
              <w:t>现场</w:t>
            </w:r>
            <w:r>
              <w:rPr>
                <w:rFonts w:ascii="仿宋_GB2312" w:hAnsi="仿宋_GB2312" w:cs="仿宋_GB2312" w:eastAsia="仿宋_GB2312"/>
                <w:sz w:val="21"/>
              </w:rPr>
              <w:t>调阅相关视频时，按照要求</w:t>
            </w:r>
            <w:r>
              <w:rPr>
                <w:rFonts w:ascii="仿宋_GB2312" w:hAnsi="仿宋_GB2312" w:cs="仿宋_GB2312" w:eastAsia="仿宋_GB2312"/>
                <w:sz w:val="21"/>
              </w:rPr>
              <w:t>予以</w:t>
            </w:r>
            <w:r>
              <w:rPr>
                <w:rFonts w:ascii="仿宋_GB2312" w:hAnsi="仿宋_GB2312" w:cs="仿宋_GB2312" w:eastAsia="仿宋_GB2312"/>
                <w:sz w:val="21"/>
              </w:rPr>
              <w:t>配合。巡视过程中发现的突发事件及时上报并对接响应单位进行处置。</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）交通状态发布：</w:t>
            </w:r>
            <w:r>
              <w:rPr>
                <w:rFonts w:ascii="仿宋_GB2312" w:hAnsi="仿宋_GB2312" w:cs="仿宋_GB2312" w:eastAsia="仿宋_GB2312"/>
                <w:sz w:val="21"/>
              </w:rPr>
              <w:t>收集、汇总</w:t>
            </w:r>
            <w:r>
              <w:rPr>
                <w:rFonts w:ascii="仿宋_GB2312" w:hAnsi="仿宋_GB2312" w:cs="仿宋_GB2312" w:eastAsia="仿宋_GB2312"/>
                <w:sz w:val="21"/>
              </w:rPr>
              <w:t>陕西省高速公路、国省干线公路路况信息</w:t>
            </w:r>
            <w:r>
              <w:rPr>
                <w:rFonts w:ascii="仿宋_GB2312" w:hAnsi="仿宋_GB2312" w:cs="仿宋_GB2312" w:eastAsia="仿宋_GB2312"/>
                <w:sz w:val="21"/>
              </w:rPr>
              <w:t>和山洪灾害、气象风险等预警信息</w:t>
            </w:r>
            <w:r>
              <w:rPr>
                <w:rFonts w:ascii="仿宋_GB2312" w:hAnsi="仿宋_GB2312" w:cs="仿宋_GB2312" w:eastAsia="仿宋_GB2312"/>
                <w:sz w:val="21"/>
              </w:rPr>
              <w:t>，并及时对全省路网运行状态进行汇总、更新、发布并上报。</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综合交通运行监测</w:t>
            </w:r>
            <w:r>
              <w:rPr>
                <w:rFonts w:ascii="仿宋_GB2312" w:hAnsi="仿宋_GB2312" w:cs="仿宋_GB2312" w:eastAsia="仿宋_GB2312"/>
                <w:sz w:val="21"/>
              </w:rPr>
              <w:t>：实时</w:t>
            </w:r>
            <w:r>
              <w:rPr>
                <w:rFonts w:ascii="仿宋_GB2312" w:hAnsi="仿宋_GB2312" w:cs="仿宋_GB2312" w:eastAsia="仿宋_GB2312"/>
                <w:sz w:val="21"/>
              </w:rPr>
              <w:t>获取</w:t>
            </w:r>
            <w:r>
              <w:rPr>
                <w:rFonts w:ascii="仿宋_GB2312" w:hAnsi="仿宋_GB2312" w:cs="仿宋_GB2312" w:eastAsia="仿宋_GB2312"/>
                <w:sz w:val="21"/>
              </w:rPr>
              <w:t>全省高速、</w:t>
            </w:r>
            <w:r>
              <w:rPr>
                <w:rFonts w:ascii="仿宋_GB2312" w:hAnsi="仿宋_GB2312" w:cs="仿宋_GB2312" w:eastAsia="仿宋_GB2312"/>
                <w:sz w:val="21"/>
              </w:rPr>
              <w:t>普通</w:t>
            </w:r>
            <w:r>
              <w:rPr>
                <w:rFonts w:ascii="仿宋_GB2312" w:hAnsi="仿宋_GB2312" w:cs="仿宋_GB2312" w:eastAsia="仿宋_GB2312"/>
                <w:sz w:val="21"/>
              </w:rPr>
              <w:t>国省干线公路运行动态，对突发事件、交通管制、道路养护施工、道路通行缓慢等情况及时审核统计，并根据相应操作流程</w:t>
            </w:r>
            <w:r>
              <w:rPr>
                <w:rFonts w:ascii="仿宋_GB2312" w:hAnsi="仿宋_GB2312" w:cs="仿宋_GB2312" w:eastAsia="仿宋_GB2312"/>
                <w:sz w:val="21"/>
              </w:rPr>
              <w:t>及时</w:t>
            </w:r>
            <w:r>
              <w:rPr>
                <w:rFonts w:ascii="仿宋_GB2312" w:hAnsi="仿宋_GB2312" w:cs="仿宋_GB2312" w:eastAsia="仿宋_GB2312"/>
                <w:sz w:val="21"/>
              </w:rPr>
              <w:t>进行事件</w:t>
            </w:r>
            <w:r>
              <w:rPr>
                <w:rFonts w:ascii="仿宋_GB2312" w:hAnsi="仿宋_GB2312" w:cs="仿宋_GB2312" w:eastAsia="仿宋_GB2312"/>
                <w:sz w:val="21"/>
              </w:rPr>
              <w:t>信息</w:t>
            </w:r>
            <w:r>
              <w:rPr>
                <w:rFonts w:ascii="仿宋_GB2312" w:hAnsi="仿宋_GB2312" w:cs="仿宋_GB2312" w:eastAsia="仿宋_GB2312"/>
                <w:sz w:val="21"/>
              </w:rPr>
              <w:t>上报、发布及协调</w:t>
            </w:r>
            <w:r>
              <w:rPr>
                <w:rFonts w:ascii="仿宋_GB2312" w:hAnsi="仿宋_GB2312" w:cs="仿宋_GB2312" w:eastAsia="仿宋_GB2312"/>
                <w:sz w:val="21"/>
              </w:rPr>
              <w:t>保障</w:t>
            </w:r>
            <w:r>
              <w:rPr>
                <w:rFonts w:ascii="仿宋_GB2312" w:hAnsi="仿宋_GB2312" w:cs="仿宋_GB2312" w:eastAsia="仿宋_GB2312"/>
                <w:sz w:val="21"/>
              </w:rPr>
              <w:t>。</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）应急保障：在交通行业应急状态下，按照应急处置预案，配合开展预警接收、指令下达、信息上报、协调联络、过程跟踪，处置响应以及事后评估等。</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）通信保障：配合组织实施路网、恶劣天气、重大节假日和重要活动等相关的通信保障和演练等工作。</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）系统巡检：每日巡检指挥大厅部署的相关系统和平台，查看各系统的运行情况并做好记录，对巡检过程中发现的问题，及时通知相关运维责任人进行处置。</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视频点名：按照要求，做好周一交通运输部视频点名，周二省政府视频点名和周四省政府视频技术联调（省政府节假日每日视频点名），周四省厅与厅直单位及各地市交通运输局应急视频调度暨定期视频点名（节假日及特殊极端天气不定期视频点名），</w:t>
            </w:r>
            <w:r>
              <w:rPr>
                <w:rFonts w:ascii="仿宋_GB2312" w:hAnsi="仿宋_GB2312" w:cs="仿宋_GB2312" w:eastAsia="仿宋_GB2312"/>
                <w:sz w:val="21"/>
              </w:rPr>
              <w:t>以及省委视频点名</w:t>
            </w:r>
            <w:r>
              <w:rPr>
                <w:rFonts w:ascii="仿宋_GB2312" w:hAnsi="仿宋_GB2312" w:cs="仿宋_GB2312" w:eastAsia="仿宋_GB2312"/>
                <w:sz w:val="21"/>
              </w:rPr>
              <w:t>等技术保障。</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信息发布：接收省气象局、省气象台的重大气象信息专报、重要天气报告，及时向各地市交通运输局、厅直等行业单位，以及陕西交控集团等重点企业发布预警信息。按照厅安监处的要求，在极端天气来临时，发布安全提示函。</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）调研检查：承担省委省政府、交通运输部、行业相关单位等领导到厅应急指挥中心调研、检查时的准备、讲解以及系统演示工作。</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）外场技术保障：遇紧急突发事件需要外场技术支持时，配合前往事发现场提供技术保障，将现场的音视频传回指挥中心。</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）应急演练支撑保障：在年度服务期内按采购人需求开展陕西交通综合通信与应急会商专项演练组织与技术支持等服务。</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其他：除上述业务外，供应商应建立健全完备的值守、培训、考核、监督等管理制度。操作人员应服从业主单位的统一指挥和工作安排，完成相关调查、统计、上报等工作。根据工作需要对业务人员开展培训工作。</w:t>
            </w:r>
          </w:p>
          <w:p>
            <w:pPr>
              <w:pStyle w:val="null3"/>
              <w:ind w:firstLine="442"/>
              <w:jc w:val="left"/>
            </w:pPr>
            <w:r>
              <w:rPr>
                <w:rFonts w:ascii="仿宋_GB2312" w:hAnsi="仿宋_GB2312" w:cs="仿宋_GB2312" w:eastAsia="仿宋_GB2312"/>
                <w:sz w:val="21"/>
                <w:b/>
              </w:rPr>
              <w:t>3.人员配置要求</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）岗位设置：设置监控员（8人，其中班长1人）和解说员（1人），人员均由本服务项目提供。主要岗位的职责包含但不限于以下内容：</w:t>
            </w:r>
          </w:p>
          <w:p>
            <w:pPr>
              <w:pStyle w:val="null3"/>
              <w:ind w:firstLine="442"/>
              <w:jc w:val="left"/>
            </w:pPr>
            <w:r>
              <w:rPr>
                <w:rFonts w:ascii="仿宋_GB2312" w:hAnsi="仿宋_GB2312" w:cs="仿宋_GB2312" w:eastAsia="仿宋_GB2312"/>
                <w:sz w:val="21"/>
                <w:b/>
              </w:rPr>
              <w:t>①监控班长岗</w:t>
            </w:r>
          </w:p>
          <w:p>
            <w:pPr>
              <w:pStyle w:val="null3"/>
              <w:ind w:firstLine="440"/>
              <w:jc w:val="left"/>
            </w:pPr>
            <w:r>
              <w:rPr>
                <w:rFonts w:ascii="仿宋_GB2312" w:hAnsi="仿宋_GB2312" w:cs="仿宋_GB2312" w:eastAsia="仿宋_GB2312"/>
                <w:sz w:val="21"/>
              </w:rPr>
              <w:t>负责值守人员的日常管理及各项规章制度的监督与落实；协助上级做好监控大厅现场及日常运行管理工作。</w:t>
            </w:r>
          </w:p>
          <w:p>
            <w:pPr>
              <w:pStyle w:val="null3"/>
              <w:ind w:firstLine="440"/>
              <w:jc w:val="left"/>
            </w:pPr>
            <w:r>
              <w:rPr>
                <w:rFonts w:ascii="仿宋_GB2312" w:hAnsi="仿宋_GB2312" w:cs="仿宋_GB2312" w:eastAsia="仿宋_GB2312"/>
                <w:sz w:val="21"/>
              </w:rPr>
              <w:t>负责各类交通突发事件信息的审核、报送，定期对班组业务进行统计、分析、汇总，编制周报及月度工作简报。</w:t>
            </w:r>
          </w:p>
          <w:p>
            <w:pPr>
              <w:pStyle w:val="null3"/>
              <w:ind w:firstLine="440"/>
              <w:jc w:val="left"/>
            </w:pPr>
            <w:r>
              <w:rPr>
                <w:rFonts w:ascii="仿宋_GB2312" w:hAnsi="仿宋_GB2312" w:cs="仿宋_GB2312" w:eastAsia="仿宋_GB2312"/>
                <w:sz w:val="21"/>
              </w:rPr>
              <w:t>负责员工培训、日常考勤、班会召开及月度工作总结；负责定期对各类上报信息进行统计、分析、汇总，编制重大节假日路网监测专报。</w:t>
            </w:r>
          </w:p>
          <w:p>
            <w:pPr>
              <w:pStyle w:val="null3"/>
              <w:ind w:firstLine="440"/>
              <w:jc w:val="left"/>
            </w:pPr>
            <w:r>
              <w:rPr>
                <w:rFonts w:ascii="仿宋_GB2312" w:hAnsi="仿宋_GB2312" w:cs="仿宋_GB2312" w:eastAsia="仿宋_GB2312"/>
                <w:sz w:val="21"/>
              </w:rPr>
              <w:t>认真做好交接班工作，做好值班日志审核工作，做好信息的上传下达工作。</w:t>
            </w:r>
          </w:p>
          <w:p>
            <w:pPr>
              <w:pStyle w:val="null3"/>
              <w:ind w:firstLine="440"/>
              <w:jc w:val="left"/>
            </w:pPr>
            <w:r>
              <w:rPr>
                <w:rFonts w:ascii="仿宋_GB2312" w:hAnsi="仿宋_GB2312" w:cs="仿宋_GB2312" w:eastAsia="仿宋_GB2312"/>
                <w:sz w:val="21"/>
              </w:rPr>
              <w:t>参与监控岗值守工作。</w:t>
            </w:r>
          </w:p>
          <w:p>
            <w:pPr>
              <w:pStyle w:val="null3"/>
              <w:ind w:firstLine="440"/>
              <w:jc w:val="left"/>
            </w:pPr>
            <w:r>
              <w:rPr>
                <w:rFonts w:ascii="仿宋_GB2312" w:hAnsi="仿宋_GB2312" w:cs="仿宋_GB2312" w:eastAsia="仿宋_GB2312"/>
                <w:sz w:val="21"/>
              </w:rPr>
              <w:t>完成上级交办的其他工作。</w:t>
            </w:r>
          </w:p>
          <w:p>
            <w:pPr>
              <w:pStyle w:val="null3"/>
              <w:ind w:firstLine="442"/>
              <w:jc w:val="left"/>
            </w:pPr>
            <w:r>
              <w:rPr>
                <w:rFonts w:ascii="仿宋_GB2312" w:hAnsi="仿宋_GB2312" w:cs="仿宋_GB2312" w:eastAsia="仿宋_GB2312"/>
                <w:sz w:val="21"/>
                <w:b/>
              </w:rPr>
              <w:t>②监控员岗</w:t>
            </w:r>
          </w:p>
          <w:p>
            <w:pPr>
              <w:pStyle w:val="null3"/>
              <w:ind w:firstLine="440"/>
              <w:jc w:val="left"/>
            </w:pPr>
            <w:r>
              <w:rPr>
                <w:rFonts w:ascii="仿宋_GB2312" w:hAnsi="仿宋_GB2312" w:cs="仿宋_GB2312" w:eastAsia="仿宋_GB2312"/>
                <w:sz w:val="21"/>
              </w:rPr>
              <w:t>负责做好各类交通与气象信息的采集、</w:t>
            </w:r>
            <w:r>
              <w:rPr>
                <w:rFonts w:ascii="仿宋_GB2312" w:hAnsi="仿宋_GB2312" w:cs="仿宋_GB2312" w:eastAsia="仿宋_GB2312"/>
                <w:sz w:val="21"/>
              </w:rPr>
              <w:t>汇</w:t>
            </w:r>
            <w:r>
              <w:rPr>
                <w:rFonts w:ascii="仿宋_GB2312" w:hAnsi="仿宋_GB2312" w:cs="仿宋_GB2312" w:eastAsia="仿宋_GB2312"/>
                <w:sz w:val="21"/>
              </w:rPr>
              <w:t>总、审核、报送、发布等工作，对已上传到指挥中心的高速公路、国省干线重要路段通行状况、重要基础设施等视频图像进行轮巡。</w:t>
            </w:r>
          </w:p>
          <w:p>
            <w:pPr>
              <w:pStyle w:val="null3"/>
              <w:ind w:firstLine="440"/>
              <w:jc w:val="left"/>
            </w:pPr>
            <w:r>
              <w:rPr>
                <w:rFonts w:ascii="仿宋_GB2312" w:hAnsi="仿宋_GB2312" w:cs="仿宋_GB2312" w:eastAsia="仿宋_GB2312"/>
                <w:sz w:val="21"/>
              </w:rPr>
              <w:t>熟悉掌握全省路网知识及路警各类系统的操作规程，规范使用监控大厅各类设备设施。</w:t>
            </w:r>
          </w:p>
          <w:p>
            <w:pPr>
              <w:pStyle w:val="null3"/>
              <w:ind w:firstLine="440"/>
              <w:jc w:val="left"/>
            </w:pPr>
            <w:r>
              <w:rPr>
                <w:rFonts w:ascii="仿宋_GB2312" w:hAnsi="仿宋_GB2312" w:cs="仿宋_GB2312" w:eastAsia="仿宋_GB2312"/>
                <w:sz w:val="21"/>
              </w:rPr>
              <w:t>每日受理各种交通事件并核查，并根据事件情况编制相关报告或通知。</w:t>
            </w:r>
          </w:p>
          <w:p>
            <w:pPr>
              <w:pStyle w:val="null3"/>
              <w:ind w:firstLine="440"/>
              <w:jc w:val="left"/>
            </w:pPr>
            <w:r>
              <w:rPr>
                <w:rFonts w:ascii="仿宋_GB2312" w:hAnsi="仿宋_GB2312" w:cs="仿宋_GB2312" w:eastAsia="仿宋_GB2312"/>
                <w:sz w:val="21"/>
              </w:rPr>
              <w:t>配合完成各级调研检查的演示及例行应急演练。</w:t>
            </w:r>
          </w:p>
          <w:p>
            <w:pPr>
              <w:pStyle w:val="null3"/>
              <w:ind w:firstLine="440"/>
              <w:jc w:val="left"/>
            </w:pPr>
            <w:r>
              <w:rPr>
                <w:rFonts w:ascii="仿宋_GB2312" w:hAnsi="仿宋_GB2312" w:cs="仿宋_GB2312" w:eastAsia="仿宋_GB2312"/>
                <w:sz w:val="21"/>
              </w:rPr>
              <w:t>检查指挥大厅各种设备及部署的系统状态，并熟练掌握操作规程。</w:t>
            </w:r>
          </w:p>
          <w:p>
            <w:pPr>
              <w:pStyle w:val="null3"/>
              <w:ind w:firstLine="440"/>
              <w:jc w:val="left"/>
            </w:pPr>
            <w:r>
              <w:rPr>
                <w:rFonts w:ascii="仿宋_GB2312" w:hAnsi="仿宋_GB2312" w:cs="仿宋_GB2312" w:eastAsia="仿宋_GB2312"/>
                <w:sz w:val="21"/>
              </w:rPr>
              <w:t>每周例行视频点名技术保障。</w:t>
            </w:r>
          </w:p>
          <w:p>
            <w:pPr>
              <w:pStyle w:val="null3"/>
              <w:ind w:firstLine="440"/>
              <w:jc w:val="left"/>
            </w:pPr>
            <w:r>
              <w:rPr>
                <w:rFonts w:ascii="仿宋_GB2312" w:hAnsi="仿宋_GB2312" w:cs="仿宋_GB2312" w:eastAsia="仿宋_GB2312"/>
                <w:sz w:val="21"/>
              </w:rPr>
              <w:t>应急突发事件时，提供相关技术保障，实现相关事件相关音视频接入。</w:t>
            </w:r>
          </w:p>
          <w:p>
            <w:pPr>
              <w:pStyle w:val="null3"/>
              <w:ind w:firstLine="440"/>
              <w:jc w:val="left"/>
            </w:pPr>
            <w:r>
              <w:rPr>
                <w:rFonts w:ascii="仿宋_GB2312" w:hAnsi="仿宋_GB2312" w:cs="仿宋_GB2312" w:eastAsia="仿宋_GB2312"/>
                <w:sz w:val="21"/>
              </w:rPr>
              <w:t>紧急突发事件需要外场支持时，前往事发现场提供技术保障，将现场的音视频传回指挥中心。</w:t>
            </w:r>
          </w:p>
          <w:p>
            <w:pPr>
              <w:pStyle w:val="null3"/>
              <w:ind w:firstLine="440"/>
              <w:jc w:val="left"/>
            </w:pPr>
            <w:r>
              <w:rPr>
                <w:rFonts w:ascii="仿宋_GB2312" w:hAnsi="仿宋_GB2312" w:cs="仿宋_GB2312" w:eastAsia="仿宋_GB2312"/>
                <w:sz w:val="21"/>
              </w:rPr>
              <w:t>完成上级交办的其他工作。</w:t>
            </w:r>
          </w:p>
          <w:p>
            <w:pPr>
              <w:pStyle w:val="null3"/>
              <w:ind w:firstLine="442"/>
              <w:jc w:val="left"/>
            </w:pPr>
            <w:r>
              <w:rPr>
                <w:rFonts w:ascii="仿宋_GB2312" w:hAnsi="仿宋_GB2312" w:cs="仿宋_GB2312" w:eastAsia="仿宋_GB2312"/>
                <w:sz w:val="21"/>
                <w:b/>
              </w:rPr>
              <w:t>③解说员岗</w:t>
            </w:r>
          </w:p>
          <w:p>
            <w:pPr>
              <w:pStyle w:val="null3"/>
              <w:ind w:firstLine="440"/>
              <w:jc w:val="left"/>
            </w:pPr>
            <w:r>
              <w:rPr>
                <w:rFonts w:ascii="仿宋_GB2312" w:hAnsi="仿宋_GB2312" w:cs="仿宋_GB2312" w:eastAsia="仿宋_GB2312"/>
                <w:sz w:val="21"/>
              </w:rPr>
              <w:t>负责各级领导来厅应急指挥中心考察、调研的解说宣传工作。</w:t>
            </w:r>
          </w:p>
          <w:p>
            <w:pPr>
              <w:pStyle w:val="null3"/>
              <w:ind w:firstLine="440"/>
              <w:jc w:val="left"/>
            </w:pPr>
            <w:r>
              <w:rPr>
                <w:rFonts w:ascii="仿宋_GB2312" w:hAnsi="仿宋_GB2312" w:cs="仿宋_GB2312" w:eastAsia="仿宋_GB2312"/>
                <w:sz w:val="21"/>
              </w:rPr>
              <w:t>负责省、市广播电台连线直播工作，做好来访人员登记，定期总结新闻采访工作开展情况。</w:t>
            </w:r>
          </w:p>
          <w:p>
            <w:pPr>
              <w:pStyle w:val="null3"/>
              <w:ind w:firstLine="440"/>
              <w:jc w:val="left"/>
            </w:pPr>
            <w:r>
              <w:rPr>
                <w:rFonts w:ascii="仿宋_GB2312" w:hAnsi="仿宋_GB2312" w:cs="仿宋_GB2312" w:eastAsia="仿宋_GB2312"/>
                <w:sz w:val="21"/>
              </w:rPr>
              <w:t>做好重大节假日及恶劣天气期间电视台等新闻媒体受访工作。</w:t>
            </w:r>
          </w:p>
          <w:p>
            <w:pPr>
              <w:pStyle w:val="null3"/>
              <w:ind w:firstLine="440"/>
              <w:jc w:val="left"/>
            </w:pPr>
            <w:r>
              <w:rPr>
                <w:rFonts w:ascii="仿宋_GB2312" w:hAnsi="仿宋_GB2312" w:cs="仿宋_GB2312" w:eastAsia="仿宋_GB2312"/>
                <w:sz w:val="21"/>
              </w:rPr>
              <w:t>微笑服务，文明用语，注重仪容仪表，着装整齐，淡妆上岗，保持正确的行姿、站姿和手势。</w:t>
            </w:r>
          </w:p>
          <w:p>
            <w:pPr>
              <w:pStyle w:val="null3"/>
              <w:ind w:firstLine="440"/>
              <w:jc w:val="left"/>
            </w:pPr>
            <w:r>
              <w:rPr>
                <w:rFonts w:ascii="仿宋_GB2312" w:hAnsi="仿宋_GB2312" w:cs="仿宋_GB2312" w:eastAsia="仿宋_GB2312"/>
                <w:sz w:val="21"/>
              </w:rPr>
              <w:t>做好咨询解答工作，能积极反映讲解接待工作中出现的新情况、新问题，并提出合理建议。</w:t>
            </w:r>
          </w:p>
          <w:p>
            <w:pPr>
              <w:pStyle w:val="null3"/>
              <w:ind w:firstLine="440"/>
              <w:jc w:val="left"/>
            </w:pPr>
            <w:r>
              <w:rPr>
                <w:rFonts w:ascii="仿宋_GB2312" w:hAnsi="仿宋_GB2312" w:cs="仿宋_GB2312" w:eastAsia="仿宋_GB2312"/>
                <w:sz w:val="21"/>
              </w:rPr>
              <w:t>及时完善解说工作涉及的各项数据及演示系统。</w:t>
            </w:r>
          </w:p>
          <w:p>
            <w:pPr>
              <w:pStyle w:val="null3"/>
              <w:ind w:firstLine="440"/>
              <w:jc w:val="left"/>
            </w:pPr>
            <w:r>
              <w:rPr>
                <w:rFonts w:ascii="仿宋_GB2312" w:hAnsi="仿宋_GB2312" w:cs="仿宋_GB2312" w:eastAsia="仿宋_GB2312"/>
                <w:sz w:val="21"/>
              </w:rPr>
              <w:t>完成上级交办的其他工作。</w:t>
            </w:r>
          </w:p>
          <w:p>
            <w:pPr>
              <w:pStyle w:val="null3"/>
              <w:ind w:firstLine="442"/>
              <w:jc w:val="left"/>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）人员要求</w:t>
            </w:r>
          </w:p>
          <w:p>
            <w:pPr>
              <w:pStyle w:val="null3"/>
              <w:ind w:firstLine="440"/>
              <w:jc w:val="left"/>
            </w:pPr>
            <w:r>
              <w:rPr>
                <w:rFonts w:ascii="仿宋_GB2312" w:hAnsi="仿宋_GB2312" w:cs="仿宋_GB2312" w:eastAsia="仿宋_GB2312"/>
                <w:sz w:val="21"/>
              </w:rPr>
              <w:t>思维敏捷，有较强的事业心，具备良好的沟通能力和服务意识，具有良好的组织协调能力，工作责任心强，能承受较大的工作压力。</w:t>
            </w:r>
          </w:p>
          <w:p>
            <w:pPr>
              <w:pStyle w:val="null3"/>
              <w:ind w:firstLine="440"/>
              <w:jc w:val="left"/>
            </w:pPr>
            <w:r>
              <w:rPr>
                <w:rFonts w:ascii="仿宋_GB2312" w:hAnsi="仿宋_GB2312" w:cs="仿宋_GB2312" w:eastAsia="仿宋_GB2312"/>
                <w:sz w:val="21"/>
              </w:rPr>
              <w:t>熟悉陕西省行政区划、高速公路、国省干线、水路走向和分布。</w:t>
            </w:r>
          </w:p>
          <w:p>
            <w:pPr>
              <w:pStyle w:val="null3"/>
              <w:ind w:firstLine="440"/>
              <w:jc w:val="left"/>
            </w:pPr>
            <w:r>
              <w:rPr>
                <w:rFonts w:ascii="仿宋_GB2312" w:hAnsi="仿宋_GB2312" w:cs="仿宋_GB2312" w:eastAsia="仿宋_GB2312"/>
                <w:sz w:val="21"/>
              </w:rPr>
              <w:t>掌握政府公文格式，熟练使用Office、Project、Visio等工具软件。</w:t>
            </w:r>
          </w:p>
          <w:p>
            <w:pPr>
              <w:pStyle w:val="null3"/>
              <w:ind w:firstLine="440"/>
              <w:jc w:val="left"/>
            </w:pPr>
            <w:r>
              <w:rPr>
                <w:rFonts w:ascii="仿宋_GB2312" w:hAnsi="仿宋_GB2312" w:cs="仿宋_GB2312" w:eastAsia="仿宋_GB2312"/>
                <w:sz w:val="21"/>
              </w:rPr>
              <w:t>大专及以上学历，通信、计算机软硬件、网络技术、交通运输等相关专业，有一定交通行业工作经验。</w:t>
            </w:r>
          </w:p>
          <w:p>
            <w:pPr>
              <w:pStyle w:val="null3"/>
              <w:ind w:firstLine="440"/>
              <w:jc w:val="left"/>
            </w:pPr>
            <w:r>
              <w:rPr>
                <w:rFonts w:ascii="仿宋_GB2312" w:hAnsi="仿宋_GB2312" w:cs="仿宋_GB2312" w:eastAsia="仿宋_GB2312"/>
                <w:sz w:val="21"/>
              </w:rPr>
              <w:t>具有较强动手能力，能熟练操作计算机、视频会议终端、摄像头、显示器、音响调音台等常见设备。</w:t>
            </w:r>
          </w:p>
          <w:p>
            <w:pPr>
              <w:pStyle w:val="null3"/>
              <w:ind w:firstLine="440"/>
              <w:jc w:val="left"/>
            </w:pPr>
            <w:r>
              <w:rPr>
                <w:rFonts w:ascii="仿宋_GB2312" w:hAnsi="仿宋_GB2312" w:cs="仿宋_GB2312" w:eastAsia="仿宋_GB2312"/>
                <w:sz w:val="21"/>
              </w:rPr>
              <w:t>掌握计算机网络基本知识，熟悉场所部署的应用软件系统。</w:t>
            </w:r>
          </w:p>
          <w:p>
            <w:pPr>
              <w:pStyle w:val="null3"/>
              <w:ind w:firstLine="440"/>
              <w:jc w:val="left"/>
            </w:pPr>
            <w:r>
              <w:rPr>
                <w:rFonts w:ascii="仿宋_GB2312" w:hAnsi="仿宋_GB2312" w:cs="仿宋_GB2312" w:eastAsia="仿宋_GB2312"/>
                <w:sz w:val="21"/>
              </w:rPr>
              <w:t>能适应夜班值班和出差安排。</w:t>
            </w:r>
          </w:p>
          <w:p>
            <w:pPr>
              <w:pStyle w:val="null3"/>
              <w:ind w:firstLine="442"/>
              <w:jc w:val="left"/>
            </w:pPr>
            <w:r>
              <w:rPr>
                <w:rFonts w:ascii="仿宋_GB2312" w:hAnsi="仿宋_GB2312" w:cs="仿宋_GB2312" w:eastAsia="仿宋_GB2312"/>
                <w:sz w:val="21"/>
                <w:b/>
              </w:rPr>
              <w:t>4.量化指标</w:t>
            </w:r>
          </w:p>
          <w:p>
            <w:pPr>
              <w:pStyle w:val="null3"/>
              <w:ind w:firstLine="440"/>
              <w:jc w:val="left"/>
            </w:pPr>
            <w:r>
              <w:rPr>
                <w:rFonts w:ascii="仿宋_GB2312" w:hAnsi="仿宋_GB2312" w:cs="仿宋_GB2312" w:eastAsia="仿宋_GB2312"/>
                <w:sz w:val="21"/>
              </w:rPr>
              <w:t>承担厅应急指挥中心7×24小时值班值守、路网监测、信息发布、信息接收与报告、应急保障、通信保障等工作。</w:t>
            </w:r>
          </w:p>
          <w:p>
            <w:pPr>
              <w:pStyle w:val="null3"/>
              <w:jc w:val="left"/>
              <w:outlineLvl w:val="2"/>
            </w:pPr>
            <w:r>
              <w:rPr>
                <w:rFonts w:ascii="仿宋_GB2312" w:hAnsi="仿宋_GB2312" w:cs="仿宋_GB2312" w:eastAsia="仿宋_GB2312"/>
                <w:sz w:val="21"/>
                <w:b/>
              </w:rPr>
              <w:t>5.</w:t>
            </w:r>
            <w:r>
              <w:rPr>
                <w:rFonts w:ascii="仿宋_GB2312" w:hAnsi="仿宋_GB2312" w:cs="仿宋_GB2312" w:eastAsia="仿宋_GB2312"/>
                <w:sz w:val="21"/>
                <w:b/>
              </w:rPr>
              <w:t>服务期限为：</w:t>
            </w:r>
            <w:r>
              <w:rPr>
                <w:rFonts w:ascii="仿宋_GB2312" w:hAnsi="仿宋_GB2312" w:cs="仿宋_GB2312" w:eastAsia="仿宋_GB2312"/>
                <w:sz w:val="21"/>
                <w:b/>
              </w:rPr>
              <w:t>自2026年8月24日至2027年8月23日</w:t>
            </w:r>
          </w:p>
          <w:p>
            <w:pPr>
              <w:pStyle w:val="null3"/>
              <w:ind w:firstLine="442"/>
              <w:jc w:val="left"/>
            </w:pPr>
            <w:r>
              <w:rPr>
                <w:rFonts w:ascii="仿宋_GB2312" w:hAnsi="仿宋_GB2312" w:cs="仿宋_GB2312" w:eastAsia="仿宋_GB2312"/>
                <w:sz w:val="21"/>
                <w:b/>
              </w:rPr>
              <w:t>6.</w:t>
            </w:r>
            <w:r>
              <w:rPr>
                <w:rFonts w:ascii="仿宋_GB2312" w:hAnsi="仿宋_GB2312" w:cs="仿宋_GB2312" w:eastAsia="仿宋_GB2312"/>
                <w:sz w:val="21"/>
                <w:b/>
              </w:rPr>
              <w:t>其它要求：</w:t>
            </w:r>
          </w:p>
          <w:p>
            <w:pPr>
              <w:pStyle w:val="null3"/>
              <w:ind w:firstLine="440"/>
              <w:jc w:val="left"/>
            </w:pPr>
            <w:r>
              <w:rPr>
                <w:rFonts w:ascii="仿宋_GB2312" w:hAnsi="仿宋_GB2312" w:cs="仿宋_GB2312" w:eastAsia="仿宋_GB2312"/>
                <w:sz w:val="21"/>
              </w:rPr>
              <w:t>（1）</w:t>
            </w:r>
            <w:r>
              <w:rPr>
                <w:rFonts w:ascii="仿宋_GB2312" w:hAnsi="仿宋_GB2312" w:cs="仿宋_GB2312" w:eastAsia="仿宋_GB2312"/>
                <w:sz w:val="21"/>
              </w:rPr>
              <w:t>供应商需要参加陕西省交通运行监测中心组织的考核。</w:t>
            </w:r>
          </w:p>
          <w:p>
            <w:pPr>
              <w:pStyle w:val="null3"/>
            </w:pPr>
            <w:r>
              <w:rPr>
                <w:rFonts w:ascii="仿宋_GB2312" w:hAnsi="仿宋_GB2312" w:cs="仿宋_GB2312" w:eastAsia="仿宋_GB2312"/>
                <w:sz w:val="21"/>
              </w:rPr>
              <w:t>（2）合同期满，项目必须通过验收。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自2026年8月22日至2027年8月21日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自2026年8月24日至2027年8月23日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（1）供应商需要参加陕西省交通运行监测中心组织的考核。 （2）合同期满，项目必须通过验收。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（1）供应商需要参加陕西省交通运行监测中心组织的考核。 （2）合同期满，项目必须通过验收。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进度款，合同签订后供应商提供相应发票，采购人收到供应商的发票后，达到付款条件起14个工作日内，支付合同总金额的100.0%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进度款，合同签订后供应商提供相应发票，采购人收到供应商的发票后，达到付款条件起14个工作日内，支付合同总金额的100.0%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本项目政府采购工作，供应商须在陕西省政府采购电子化交易平台上传电子版响应文件并完成签章、加密，同时，线下递交纸质版响应文件正本一份、副本一份。若电子版响应文件与纸质版响应文件不一致的，以陕西省政府采购电子化交易平台上传的电子版响应文件为准。纸质版响应文件递交截止时间同开标截止时间，递交地点为西安市唐延路37号class公馆B栋1103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资格证明文件（包2）.docx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资格证明文件（包2）.docx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资格证明文件（包2）.docx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 的供应商应提供相关证明文件；</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 的供应商应提供相关证明文件；</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资格证明文件（包2）.docx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磋商小组根据“财库〔2026〕2号”文件认为供应商报价明显低于其他实质性响应的供应商报价，有可能影响产品质量或者不能诚信履约的，磋商小组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磋商小组要求的时间内通过项目电子化交易系统进行提交，否则提交的相关证明材料无效。供应商不能证明其投标报价合理性的，磋商小组应当将其响应文件作为无效处理。</w:t>
            </w:r>
          </w:p>
        </w:tc>
        <w:tc>
          <w:tcPr>
            <w:tcW w:type="dxa" w:w="1661"/>
          </w:tcPr>
          <w:p>
            <w:pPr>
              <w:pStyle w:val="null3"/>
            </w:pPr>
            <w:r>
              <w:rPr>
                <w:rFonts w:ascii="仿宋_GB2312" w:hAnsi="仿宋_GB2312" w:cs="仿宋_GB2312" w:eastAsia="仿宋_GB2312"/>
              </w:rPr>
              <w:t>分项报价表（包1）.docx 标的清单 报价表 报价表（包1）.docx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响应函 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分项报价表（包1）.docx 标的清单 报价表 报价表（包1）.docx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应急及保障预案（包1）.docx 运维服务方案（包1）.docx 保证金缴纳凭证（包1）.docx 中小企业声明函 商务偏离表（包1）.docx 质量保障措施（包1）.docx 报价表 项目管理体系及人员配备方案（包1）.docx 需求理解分析及重难点应对措施（包1）.docx 项目实施方案（包1）.docx 供应商认为有必要说明的其他资料（包1）.docx 报价表（包1）.docx 响应文件封面 业绩统计表（包1）.docx 残疾人福利性单位声明函 分项报价表（包1）.docx 售后服务方案（包1）.docx 标的清单 服务偏离表（包1）.docx 响应函 资格证明文件（包1）.docx 投标人承诺书（包1）.docx 监狱企业的证明文件 安全保密方案（包1）.docx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应急及保障预案（包1）.docx 运维服务方案（包1）.docx 保证金缴纳凭证（包1）.docx 中小企业声明函 商务偏离表（包1）.docx 质量保障措施（包1）.docx 报价表 项目管理体系及人员配备方案（包1）.docx 需求理解分析及重难点应对措施（包1）.docx 项目实施方案（包1）.docx 供应商认为有必要说明的其他资料（包1）.docx 报价表（包1）.docx 响应文件封面 业绩统计表（包1）.docx 残疾人福利性单位声明函 分项报价表（包1）.docx 售后服务方案（包1）.docx 标的清单 服务偏离表（包1）.docx 响应函 资格证明文件（包1）.docx 投标人承诺书（包1）.docx 监狱企业的证明文件 安全保密方案（包1）.docx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磋商小组根据“财库〔2026〕2号”文件认为供应商报价明显低于其他实质性响应的供应商报价，有可能影响产品质量或者不能诚信履约的，磋商小组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磋商小组要求的时间内通过项目电子化交易系统进行提交，否则提交的相关证明材料无效。供应商不能证明其投标报价合理性的，磋商小组应当将其响应文件作为无效处理。</w:t>
            </w:r>
          </w:p>
        </w:tc>
        <w:tc>
          <w:tcPr>
            <w:tcW w:type="dxa" w:w="1661"/>
          </w:tcPr>
          <w:p>
            <w:pPr>
              <w:pStyle w:val="null3"/>
            </w:pPr>
            <w:r>
              <w:rPr>
                <w:rFonts w:ascii="仿宋_GB2312" w:hAnsi="仿宋_GB2312" w:cs="仿宋_GB2312" w:eastAsia="仿宋_GB2312"/>
              </w:rPr>
              <w:t>报价表（包2）.docx 分项报价表（包2）.docx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资格证明文件（包2）.docx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报价表（包2）.docx 分项报价表（包2）.docx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安全保密方案（包2）.docx 服务方案（包2）.docx 需求理解分析及重难点应对措施（包2）.docx 报价表 项目管理体系及人员配备方案（包2）.docx 质量保障措施（包2）.docx 应急预案（包2）.docx 标的清单 资格证明文件（包2）.docx 保证金缴纳凭证（包2）.docx 商务偏离表（包2）.docx 监狱企业的证明文件 服务偏离表（包2）.docx 供应商认为有必要说明的其他资料（包2）.docx 中小企业声明函 投标人承诺书（包2）.docx 培训方案（包2）.docx 响应文件封面 报价表（包2）.docx 分项报价表（包2）.docx 现场解说（包2）.docx 业绩统计表（包2）.docx 残疾人福利性单位声明函 项目实施方案（包2）.docx 项目业务能力（包2）.docx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安全保密方案（包2）.docx 服务方案（包2）.docx 需求理解分析及重难点应对措施（包2）.docx 报价表 项目管理体系及人员配备方案（包2）.docx 质量保障措施（包2）.docx 应急预案（包2）.docx 标的清单 资格证明文件（包2）.docx 保证金缴纳凭证（包2）.docx 商务偏离表（包2）.docx 监狱企业的证明文件 服务偏离表（包2）.docx 供应商认为有必要说明的其他资料（包2）.docx 中小企业声明函 投标人承诺书（包2）.docx 培训方案（包2）.docx 响应文件封面 报价表（包2）.docx 分项报价表（包2）.docx 现场解说（包2）.docx 业绩统计表（包2）.docx 残疾人福利性单位声明函 项目实施方案（包2）.docx 项目业务能力（包2）.docx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需求理解分析及重难点应对措施</w:t>
            </w:r>
          </w:p>
        </w:tc>
        <w:tc>
          <w:tcPr>
            <w:tcW w:type="dxa" w:w="2492"/>
          </w:tcPr>
          <w:p>
            <w:pPr>
              <w:pStyle w:val="null3"/>
            </w:pPr>
            <w:r>
              <w:rPr>
                <w:rFonts w:ascii="仿宋_GB2312" w:hAnsi="仿宋_GB2312" w:cs="仿宋_GB2312" w:eastAsia="仿宋_GB2312"/>
              </w:rPr>
              <w:t>针对本项目提供完善的需求理解分析及重难点应对措施，包括但不限于：①项目背景、项目现状理解、项目需求分析；②项目涉及的关键、重点、难点技术问题分析及应对措施。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需求理解分析及重难点应对措施（包1）.docx</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针对本项目提供完善的运维服务方案，包括但不限于：①不同设备及系统运维服务流程；②设备及系统运行保障方案；③设备及系统故障处理；④指挥中心日常运维及软件升级优化；⑤运维服务管理制度；⑥与采购人的沟通机制、组织协调方案。 评审标准：方案各部分内容全面详细、阐述条理清晰详尽、符合本项目采购需求，能保障本项目实施得18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运维服务方案（包1）.docx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完善的项目实施方案，包括但不限于：①项目实施步骤及管理方案；②服务期内各项工作进度计划及安排；③服务期内各项工作和关键节点保障措施；④设备及系统定期巡检方案；⑤项目整体交付、验收方案。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项目实施方案（包1）.docx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针对本项目提供完善的质量保障措施，包括但不限于：①项目实施过程中的质量保障措施；②设备及系统数据安全保障措施；③系统交付与验收的质量保证。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质量保障措施（包1）.docx</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针对本项目提供安全保密方案，包括但不限于：①内部安全保密制度；②针对项目的保密方案及保密承诺。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安全保密方案（包1）.docx</w:t>
            </w:r>
          </w:p>
        </w:tc>
      </w:tr>
      <w:tr>
        <w:tc>
          <w:tcPr>
            <w:tcW w:type="dxa" w:w="831"/>
            <w:vMerge/>
          </w:tcPr>
          <w:p/>
        </w:tc>
        <w:tc>
          <w:tcPr>
            <w:tcW w:type="dxa" w:w="1661"/>
          </w:tcPr>
          <w:p>
            <w:pPr>
              <w:pStyle w:val="null3"/>
            </w:pPr>
            <w:r>
              <w:rPr>
                <w:rFonts w:ascii="仿宋_GB2312" w:hAnsi="仿宋_GB2312" w:cs="仿宋_GB2312" w:eastAsia="仿宋_GB2312"/>
              </w:rPr>
              <w:t>应急及保障预案</w:t>
            </w:r>
          </w:p>
        </w:tc>
        <w:tc>
          <w:tcPr>
            <w:tcW w:type="dxa" w:w="2492"/>
          </w:tcPr>
          <w:p>
            <w:pPr>
              <w:pStyle w:val="null3"/>
            </w:pPr>
            <w:r>
              <w:rPr>
                <w:rFonts w:ascii="仿宋_GB2312" w:hAnsi="仿宋_GB2312" w:cs="仿宋_GB2312" w:eastAsia="仿宋_GB2312"/>
              </w:rPr>
              <w:t>针对本项目提供应急及保障预案，包括但不限于：①系统设备和应用软件紧急故障处理流程及应急预案；②重大活动或事件驻场保障方案；③遇突发情况或临时任务时的保障服务方案。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应急及保障预案（包1）.docx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完善的售后服务方案，包括但不限于：①供应商服务承诺（包括服务响应时间、故障问题解决时限等，且承诺具有可操作性和约束力，能充分保障采购人在服务过程中的权益）；②根据项目需求结合自身能力提供售后服务方案；③售后维保人员配置安排计划；④备品备件更换方案。 评审标准：方案各部分内容全面详细、阐述条理清晰详尽、符合本项目采购需求，能保障本项目实施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售后服务方案（包1）.docx</w:t>
            </w:r>
          </w:p>
        </w:tc>
      </w:tr>
      <w:tr>
        <w:tc>
          <w:tcPr>
            <w:tcW w:type="dxa" w:w="831"/>
            <w:vMerge/>
          </w:tcPr>
          <w:p/>
        </w:tc>
        <w:tc>
          <w:tcPr>
            <w:tcW w:type="dxa" w:w="1661"/>
          </w:tcPr>
          <w:p>
            <w:pPr>
              <w:pStyle w:val="null3"/>
            </w:pPr>
            <w:r>
              <w:rPr>
                <w:rFonts w:ascii="仿宋_GB2312" w:hAnsi="仿宋_GB2312" w:cs="仿宋_GB2312" w:eastAsia="仿宋_GB2312"/>
              </w:rPr>
              <w:t>项目管理体系及人员配备方案</w:t>
            </w:r>
          </w:p>
        </w:tc>
        <w:tc>
          <w:tcPr>
            <w:tcW w:type="dxa" w:w="2492"/>
          </w:tcPr>
          <w:p>
            <w:pPr>
              <w:pStyle w:val="null3"/>
            </w:pPr>
            <w:r>
              <w:rPr>
                <w:rFonts w:ascii="仿宋_GB2312" w:hAnsi="仿宋_GB2312" w:cs="仿宋_GB2312" w:eastAsia="仿宋_GB2312"/>
              </w:rPr>
              <w:t>针对本项目采购需求提供项目管理体系及人员配备方案，包括但不限于：①项目管理体系及人员管理制度；②实施组织机构划分、人员经验；③人员安排方案、岗位分工及职责任务。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项目管理体系及人员配备方案（包1）.docx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自2023年1月1日以来（以合同签订时间为准），供应商承担过类似项目业绩，每提供一个项目业绩得1分，最高得6分。 注：业绩证明材料以合同的复印件或扫描件加盖公章为准，业绩证明材料不符合要求的不得分。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业绩统计表（包1）.docx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报价表（包1）.docx</w:t>
            </w:r>
          </w:p>
          <w:p>
            <w:pPr>
              <w:pStyle w:val="null3"/>
            </w:pPr>
            <w:r>
              <w:rPr>
                <w:rFonts w:ascii="仿宋_GB2312" w:hAnsi="仿宋_GB2312" w:cs="仿宋_GB2312" w:eastAsia="仿宋_GB2312"/>
              </w:rPr>
              <w:t>分项报价表（包1）.docx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采用低价优先法计算，即满足磋商文件要求且磋商总报价最低的磋商总报价为评标基准价，其价格为 10分。（因落实政府采购政策进行价格调整的，以调整后的价格计算评标基准价）其他供应商的价格分按照下列公式计算：磋商总报价得分＝（评标基准价/磋商总报价）×10。价格得分四舍五入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报价表（包1）.docx</w:t>
            </w:r>
          </w:p>
          <w:p>
            <w:pPr>
              <w:pStyle w:val="null3"/>
            </w:pPr>
            <w:r>
              <w:rPr>
                <w:rFonts w:ascii="仿宋_GB2312" w:hAnsi="仿宋_GB2312" w:cs="仿宋_GB2312" w:eastAsia="仿宋_GB2312"/>
              </w:rPr>
              <w:t>分项报价表（包1）.docx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需求理解分析及重难点应对措施</w:t>
            </w:r>
          </w:p>
        </w:tc>
        <w:tc>
          <w:tcPr>
            <w:tcW w:type="dxa" w:w="2492"/>
          </w:tcPr>
          <w:p>
            <w:pPr>
              <w:pStyle w:val="null3"/>
            </w:pPr>
            <w:r>
              <w:rPr>
                <w:rFonts w:ascii="仿宋_GB2312" w:hAnsi="仿宋_GB2312" w:cs="仿宋_GB2312" w:eastAsia="仿宋_GB2312"/>
              </w:rPr>
              <w:t>针对本项目提供完善的需求理解分析及重难点应对措施，包括但不限于：①项目背景、项目现状理解、项目需求分析；②项目涉及的关键、重点、难点技术问题分析及应对措施。 评审标准:方案各部分内容全面详细、阐述条理清晰详尽、符合本项目采购需求，能保障本项目实施得6分；评审内容每缺一项扣3分，每有一处缺陷扣1分，扣完为止。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需求理解分析及重难点应对措施（包2）.docx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完善的服务方案，包括但不限于：①针对本项目的值守保障方案；②信息采集、发布、报告方案；③运行指挥调度方案；④公众信息服务及信息共享与联动；⑤系统巡检方案；⑥与各相关单位的沟通保障、组织协调方案。 评审标准:方案各部分内容全面详细、阐述条理清晰详尽、符合本项目采购需求，能保障本项目实施得18分；评审内容每缺一项扣3分，每有一处缺陷扣1分，扣完为止。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服务方案（包2）.docx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针对本项目提供完善的项目实施方案，包括但不限于：①项目实施步骤及管理方案；②服务期内各项工作进度计划及安排；③服务期内各项工作和关键节点保障措施。 评审标准:方案各部分内容全面详细、阐述条理清晰详尽、符合本项目采购需求，能保障本项目实施得9分；评审内容每缺一项扣3分，每有一处缺陷扣1分，扣完为止。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项目实施方案（包2）.docx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针对本项目提供完善的质量保障措施，包括但不限于：①项目实施过程中的质量保障措施；②通信保障措施；③外场技术保障措施；④应急演练支撑保障措施。 评审标准:方案各部分内容全面详细、阐述条理清晰详尽、符合本项目采购需求，能保障本项目实施得12分；评审内容每缺一项扣3分，每有一处缺陷扣1分，扣完为止。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质量保障措施（包2）.docx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针对本项目提供应急预案，包括但不限于：①交通行业应急处置预案；②重大活动或事件应急保障方案；③遇突发情况或临时任务时的保障服务方案。 评审标准:方案各部分内容全面详细、阐述条理清晰详尽、符合本项目采购需求，能保障本项目实施得9分；评审内容每缺一项扣3分，每有一处缺陷扣1分，扣完为止。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应急预案（包2）.docx</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针对本项目提供安全保密方案，包括但不限于：①内部安全保密制度；②针对项目的保密方案及保密承诺。 评审标准:方案各部分内容全面详细、阐述条理清晰详尽、符合本项目采购需求，能保障本项目实施得6分；评审内容每缺一项扣3分，每有一处缺陷扣1分，扣完为止。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安全保密方案（包2）.docx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针对本项目提供培训方案，包括但不限于：①培训方案及培训人员安排；②培训计划（包括培训体系、培训目标、培训内容、培训课程等的具体内容及方式）。 评审标准:方案各部分内容全面详细、阐述条理清晰详尽、符合本项目采购需求，能保障本项目实施得6分；评审内容每缺一项扣3分，每有一处缺陷扣1分，扣完为止。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培训方案（包2）.docx</w:t>
            </w:r>
          </w:p>
        </w:tc>
      </w:tr>
      <w:tr>
        <w:tc>
          <w:tcPr>
            <w:tcW w:type="dxa" w:w="831"/>
            <w:vMerge/>
          </w:tcPr>
          <w:p/>
        </w:tc>
        <w:tc>
          <w:tcPr>
            <w:tcW w:type="dxa" w:w="1661"/>
          </w:tcPr>
          <w:p>
            <w:pPr>
              <w:pStyle w:val="null3"/>
            </w:pPr>
            <w:r>
              <w:rPr>
                <w:rFonts w:ascii="仿宋_GB2312" w:hAnsi="仿宋_GB2312" w:cs="仿宋_GB2312" w:eastAsia="仿宋_GB2312"/>
              </w:rPr>
              <w:t>项目管理体系及人员配备方案</w:t>
            </w:r>
          </w:p>
        </w:tc>
        <w:tc>
          <w:tcPr>
            <w:tcW w:type="dxa" w:w="2492"/>
          </w:tcPr>
          <w:p>
            <w:pPr>
              <w:pStyle w:val="null3"/>
            </w:pPr>
            <w:r>
              <w:rPr>
                <w:rFonts w:ascii="仿宋_GB2312" w:hAnsi="仿宋_GB2312" w:cs="仿宋_GB2312" w:eastAsia="仿宋_GB2312"/>
              </w:rPr>
              <w:t>针对本项目采购需求提供项目管理体系及人员配备方案（不少于9名操作人员，其中设置监控员8名，解说员1名），包括但不限于：①项目管理体系及人员管理制度；②实施组织机构划分、人员经验；③人员安排方案、岗位分工及职责任务。 评审标准:方案各部分内容全面详细、阐述条理清晰详尽、符合本项目采购需求，能保障本项目实施得9分；评审内容每缺一项扣3分，每有一处缺陷扣1分，扣完为止。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项目管理体系及人员配备方案（包2）.docx</w:t>
            </w:r>
          </w:p>
        </w:tc>
      </w:tr>
      <w:tr>
        <w:tc>
          <w:tcPr>
            <w:tcW w:type="dxa" w:w="831"/>
            <w:vMerge/>
          </w:tcPr>
          <w:p/>
        </w:tc>
        <w:tc>
          <w:tcPr>
            <w:tcW w:type="dxa" w:w="1661"/>
          </w:tcPr>
          <w:p>
            <w:pPr>
              <w:pStyle w:val="null3"/>
            </w:pPr>
            <w:r>
              <w:rPr>
                <w:rFonts w:ascii="仿宋_GB2312" w:hAnsi="仿宋_GB2312" w:cs="仿宋_GB2312" w:eastAsia="仿宋_GB2312"/>
              </w:rPr>
              <w:t>现场解说</w:t>
            </w:r>
          </w:p>
        </w:tc>
        <w:tc>
          <w:tcPr>
            <w:tcW w:type="dxa" w:w="2492"/>
          </w:tcPr>
          <w:p>
            <w:pPr>
              <w:pStyle w:val="null3"/>
            </w:pPr>
            <w:r>
              <w:rPr>
                <w:rFonts w:ascii="仿宋_GB2312" w:hAnsi="仿宋_GB2312" w:cs="仿宋_GB2312" w:eastAsia="仿宋_GB2312"/>
              </w:rPr>
              <w:t>由供应商委派解说人员现场介绍讲解省交通运行监测与应急指挥中心情况，解说语言流畅、表述内容清晰的的得4分，语言基本流畅、表述内容基本清晰的得2分，语言不流畅、表述内容不清晰的得1分，不解说得0分。 注：1.本项目只接受现场解说，供应商解说人员应在响应文件递交截止时间前到达至西安市唐延路37号class公馆B栋1103室进行现场解说。（未提供解说或解说人员未到现场的，本项不得分） 2.由采购人在评审现场提供省交通运行监测与应急指挥中心情况介绍解说词。 3.现场解说人员，须为成交后实际解说人员，否则采购人有权解除合同</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现场解说（包2）.docx</w:t>
            </w:r>
          </w:p>
        </w:tc>
      </w:tr>
      <w:tr>
        <w:tc>
          <w:tcPr>
            <w:tcW w:type="dxa" w:w="831"/>
            <w:vMerge/>
          </w:tcPr>
          <w:p/>
        </w:tc>
        <w:tc>
          <w:tcPr>
            <w:tcW w:type="dxa" w:w="1661"/>
          </w:tcPr>
          <w:p>
            <w:pPr>
              <w:pStyle w:val="null3"/>
            </w:pPr>
            <w:r>
              <w:rPr>
                <w:rFonts w:ascii="仿宋_GB2312" w:hAnsi="仿宋_GB2312" w:cs="仿宋_GB2312" w:eastAsia="仿宋_GB2312"/>
              </w:rPr>
              <w:t>项目业务能力</w:t>
            </w:r>
          </w:p>
        </w:tc>
        <w:tc>
          <w:tcPr>
            <w:tcW w:type="dxa" w:w="2492"/>
          </w:tcPr>
          <w:p>
            <w:pPr>
              <w:pStyle w:val="null3"/>
            </w:pPr>
            <w:r>
              <w:rPr>
                <w:rFonts w:ascii="仿宋_GB2312" w:hAnsi="仿宋_GB2312" w:cs="仿宋_GB2312" w:eastAsia="仿宋_GB2312"/>
              </w:rPr>
              <w:t>1.解说人员提供近五年向各级领导进行系统功能演示及介绍活动，提供相关证明材料（文字、照片等资料），提供一次相关活动得1分，最高得3分。 2.近五年参与省级组织的应急演练并提供技术保障，提供相关证明材料（文字、照片等），提供一次技术保障1分，最高2分。 注：相关证明资料须由业主盖章证明，否则不得分。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项目业务能力（包2）.docx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自2023年1月1日以来（以合同签订时间为准），供应商承担过类似项目业绩，每提供一个项目业绩得1分，最高得6分。 注：业绩证明材料以合同的复印件或扫描件加盖公章为准，业绩证明材料不符合要求的不得分。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业绩统计表（包2）.docx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报价表（包2）.docx</w:t>
            </w:r>
          </w:p>
          <w:p>
            <w:pPr>
              <w:pStyle w:val="null3"/>
            </w:pPr>
            <w:r>
              <w:rPr>
                <w:rFonts w:ascii="仿宋_GB2312" w:hAnsi="仿宋_GB2312" w:cs="仿宋_GB2312" w:eastAsia="仿宋_GB2312"/>
              </w:rPr>
              <w:t>分项报价表（包2）.docx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采用低价优先法计算，即满足磋商文件要求且磋商总报价最低的磋商总报价为评标基准价，其价格为 10分。（因落实政府采购政策进行价格调整的，以调整后的价格计算评标基准价）其他供应商的价格分按照下列公式计算：磋商总报价得分＝（评标基准价/磋商总报价）×10。价格得分四舍五入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报价表（包2）.docx</w:t>
            </w:r>
          </w:p>
          <w:p>
            <w:pPr>
              <w:pStyle w:val="null3"/>
            </w:pPr>
            <w:r>
              <w:rPr>
                <w:rFonts w:ascii="仿宋_GB2312" w:hAnsi="仿宋_GB2312" w:cs="仿宋_GB2312" w:eastAsia="仿宋_GB2312"/>
              </w:rPr>
              <w:t>分项报价表（包2）.docx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详见附件：报价表（包1）.docx</w:t>
      </w:r>
    </w:p>
    <w:p>
      <w:pPr>
        <w:pStyle w:val="null3"/>
        <w:ind w:firstLine="960"/>
      </w:pPr>
      <w:r>
        <w:rPr>
          <w:rFonts w:ascii="仿宋_GB2312" w:hAnsi="仿宋_GB2312" w:cs="仿宋_GB2312" w:eastAsia="仿宋_GB2312"/>
        </w:rPr>
        <w:t>详见附件：分项报价表（包1）.docx</w:t>
      </w:r>
    </w:p>
    <w:p>
      <w:pPr>
        <w:pStyle w:val="null3"/>
        <w:ind w:firstLine="960"/>
      </w:pPr>
      <w:r>
        <w:rPr>
          <w:rFonts w:ascii="仿宋_GB2312" w:hAnsi="仿宋_GB2312" w:cs="仿宋_GB2312" w:eastAsia="仿宋_GB2312"/>
        </w:rPr>
        <w:t>详见附件：资格证明文件（包1）.docx</w:t>
      </w:r>
    </w:p>
    <w:p>
      <w:pPr>
        <w:pStyle w:val="null3"/>
        <w:ind w:firstLine="960"/>
      </w:pPr>
      <w:r>
        <w:rPr>
          <w:rFonts w:ascii="仿宋_GB2312" w:hAnsi="仿宋_GB2312" w:cs="仿宋_GB2312" w:eastAsia="仿宋_GB2312"/>
        </w:rPr>
        <w:t>详见附件：投标人承诺书（包1）.docx</w:t>
      </w:r>
    </w:p>
    <w:p>
      <w:pPr>
        <w:pStyle w:val="null3"/>
        <w:ind w:firstLine="960"/>
      </w:pPr>
      <w:r>
        <w:rPr>
          <w:rFonts w:ascii="仿宋_GB2312" w:hAnsi="仿宋_GB2312" w:cs="仿宋_GB2312" w:eastAsia="仿宋_GB2312"/>
        </w:rPr>
        <w:t>详见附件：服务偏离表（包1）.docx</w:t>
      </w:r>
    </w:p>
    <w:p>
      <w:pPr>
        <w:pStyle w:val="null3"/>
        <w:ind w:firstLine="960"/>
      </w:pPr>
      <w:r>
        <w:rPr>
          <w:rFonts w:ascii="仿宋_GB2312" w:hAnsi="仿宋_GB2312" w:cs="仿宋_GB2312" w:eastAsia="仿宋_GB2312"/>
        </w:rPr>
        <w:t>详见附件：商务偏离表（包1）.docx</w:t>
      </w:r>
    </w:p>
    <w:p>
      <w:pPr>
        <w:pStyle w:val="null3"/>
        <w:ind w:firstLine="960"/>
      </w:pPr>
      <w:r>
        <w:rPr>
          <w:rFonts w:ascii="仿宋_GB2312" w:hAnsi="仿宋_GB2312" w:cs="仿宋_GB2312" w:eastAsia="仿宋_GB2312"/>
        </w:rPr>
        <w:t>详见附件：需求理解分析及重难点应对措施（包1）.docx</w:t>
      </w:r>
    </w:p>
    <w:p>
      <w:pPr>
        <w:pStyle w:val="null3"/>
        <w:ind w:firstLine="960"/>
      </w:pPr>
      <w:r>
        <w:rPr>
          <w:rFonts w:ascii="仿宋_GB2312" w:hAnsi="仿宋_GB2312" w:cs="仿宋_GB2312" w:eastAsia="仿宋_GB2312"/>
        </w:rPr>
        <w:t>详见附件：运维服务方案（包1）.docx</w:t>
      </w:r>
    </w:p>
    <w:p>
      <w:pPr>
        <w:pStyle w:val="null3"/>
        <w:ind w:firstLine="960"/>
      </w:pPr>
      <w:r>
        <w:rPr>
          <w:rFonts w:ascii="仿宋_GB2312" w:hAnsi="仿宋_GB2312" w:cs="仿宋_GB2312" w:eastAsia="仿宋_GB2312"/>
        </w:rPr>
        <w:t>详见附件：项目实施方案（包1）.docx</w:t>
      </w:r>
    </w:p>
    <w:p>
      <w:pPr>
        <w:pStyle w:val="null3"/>
        <w:ind w:firstLine="960"/>
      </w:pPr>
      <w:r>
        <w:rPr>
          <w:rFonts w:ascii="仿宋_GB2312" w:hAnsi="仿宋_GB2312" w:cs="仿宋_GB2312" w:eastAsia="仿宋_GB2312"/>
        </w:rPr>
        <w:t>详见附件：质量保障措施（包1）.docx</w:t>
      </w:r>
    </w:p>
    <w:p>
      <w:pPr>
        <w:pStyle w:val="null3"/>
        <w:ind w:firstLine="960"/>
      </w:pPr>
      <w:r>
        <w:rPr>
          <w:rFonts w:ascii="仿宋_GB2312" w:hAnsi="仿宋_GB2312" w:cs="仿宋_GB2312" w:eastAsia="仿宋_GB2312"/>
        </w:rPr>
        <w:t>详见附件：安全保密方案（包1）.docx</w:t>
      </w:r>
    </w:p>
    <w:p>
      <w:pPr>
        <w:pStyle w:val="null3"/>
        <w:ind w:firstLine="960"/>
      </w:pPr>
      <w:r>
        <w:rPr>
          <w:rFonts w:ascii="仿宋_GB2312" w:hAnsi="仿宋_GB2312" w:cs="仿宋_GB2312" w:eastAsia="仿宋_GB2312"/>
        </w:rPr>
        <w:t>详见附件：应急及保障预案（包1）.docx</w:t>
      </w:r>
    </w:p>
    <w:p>
      <w:pPr>
        <w:pStyle w:val="null3"/>
        <w:ind w:firstLine="960"/>
      </w:pPr>
      <w:r>
        <w:rPr>
          <w:rFonts w:ascii="仿宋_GB2312" w:hAnsi="仿宋_GB2312" w:cs="仿宋_GB2312" w:eastAsia="仿宋_GB2312"/>
        </w:rPr>
        <w:t>详见附件：售后服务方案（包1）.docx</w:t>
      </w:r>
    </w:p>
    <w:p>
      <w:pPr>
        <w:pStyle w:val="null3"/>
        <w:ind w:firstLine="960"/>
      </w:pPr>
      <w:r>
        <w:rPr>
          <w:rFonts w:ascii="仿宋_GB2312" w:hAnsi="仿宋_GB2312" w:cs="仿宋_GB2312" w:eastAsia="仿宋_GB2312"/>
        </w:rPr>
        <w:t>详见附件：项目管理体系及人员配备方案（包1）.docx</w:t>
      </w:r>
    </w:p>
    <w:p>
      <w:pPr>
        <w:pStyle w:val="null3"/>
        <w:ind w:firstLine="960"/>
      </w:pPr>
      <w:r>
        <w:rPr>
          <w:rFonts w:ascii="仿宋_GB2312" w:hAnsi="仿宋_GB2312" w:cs="仿宋_GB2312" w:eastAsia="仿宋_GB2312"/>
        </w:rPr>
        <w:t>详见附件：业绩统计表（包1）.docx</w:t>
      </w:r>
    </w:p>
    <w:p>
      <w:pPr>
        <w:pStyle w:val="null3"/>
        <w:ind w:firstLine="960"/>
      </w:pPr>
      <w:r>
        <w:rPr>
          <w:rFonts w:ascii="仿宋_GB2312" w:hAnsi="仿宋_GB2312" w:cs="仿宋_GB2312" w:eastAsia="仿宋_GB2312"/>
        </w:rPr>
        <w:t>详见附件：保证金缴纳凭证（包1）.docx</w:t>
      </w:r>
    </w:p>
    <w:p>
      <w:pPr>
        <w:pStyle w:val="null3"/>
        <w:ind w:firstLine="960"/>
      </w:pPr>
      <w:r>
        <w:rPr>
          <w:rFonts w:ascii="仿宋_GB2312" w:hAnsi="仿宋_GB2312" w:cs="仿宋_GB2312" w:eastAsia="仿宋_GB2312"/>
        </w:rPr>
        <w:t>详见附件：供应商认为有必要说明的其他资料（包1）.docx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详见附件：报价表（包2）.docx</w:t>
      </w:r>
    </w:p>
    <w:p>
      <w:pPr>
        <w:pStyle w:val="null3"/>
        <w:ind w:firstLine="960"/>
      </w:pPr>
      <w:r>
        <w:rPr>
          <w:rFonts w:ascii="仿宋_GB2312" w:hAnsi="仿宋_GB2312" w:cs="仿宋_GB2312" w:eastAsia="仿宋_GB2312"/>
        </w:rPr>
        <w:t>详见附件：分项报价表（包2）.docx</w:t>
      </w:r>
    </w:p>
    <w:p>
      <w:pPr>
        <w:pStyle w:val="null3"/>
        <w:ind w:firstLine="960"/>
      </w:pPr>
      <w:r>
        <w:rPr>
          <w:rFonts w:ascii="仿宋_GB2312" w:hAnsi="仿宋_GB2312" w:cs="仿宋_GB2312" w:eastAsia="仿宋_GB2312"/>
        </w:rPr>
        <w:t>详见附件：资格证明文件（包2）.docx</w:t>
      </w:r>
    </w:p>
    <w:p>
      <w:pPr>
        <w:pStyle w:val="null3"/>
        <w:ind w:firstLine="960"/>
      </w:pPr>
      <w:r>
        <w:rPr>
          <w:rFonts w:ascii="仿宋_GB2312" w:hAnsi="仿宋_GB2312" w:cs="仿宋_GB2312" w:eastAsia="仿宋_GB2312"/>
        </w:rPr>
        <w:t>详见附件：投标人承诺书（包2）.docx</w:t>
      </w:r>
    </w:p>
    <w:p>
      <w:pPr>
        <w:pStyle w:val="null3"/>
        <w:ind w:firstLine="960"/>
      </w:pPr>
      <w:r>
        <w:rPr>
          <w:rFonts w:ascii="仿宋_GB2312" w:hAnsi="仿宋_GB2312" w:cs="仿宋_GB2312" w:eastAsia="仿宋_GB2312"/>
        </w:rPr>
        <w:t>详见附件：服务偏离表（包2）.docx</w:t>
      </w:r>
    </w:p>
    <w:p>
      <w:pPr>
        <w:pStyle w:val="null3"/>
        <w:ind w:firstLine="960"/>
      </w:pPr>
      <w:r>
        <w:rPr>
          <w:rFonts w:ascii="仿宋_GB2312" w:hAnsi="仿宋_GB2312" w:cs="仿宋_GB2312" w:eastAsia="仿宋_GB2312"/>
        </w:rPr>
        <w:t>详见附件：商务偏离表（包2）.docx</w:t>
      </w:r>
    </w:p>
    <w:p>
      <w:pPr>
        <w:pStyle w:val="null3"/>
        <w:ind w:firstLine="960"/>
      </w:pPr>
      <w:r>
        <w:rPr>
          <w:rFonts w:ascii="仿宋_GB2312" w:hAnsi="仿宋_GB2312" w:cs="仿宋_GB2312" w:eastAsia="仿宋_GB2312"/>
        </w:rPr>
        <w:t>详见附件：需求理解分析及重难点应对措施（包2）.docx</w:t>
      </w:r>
    </w:p>
    <w:p>
      <w:pPr>
        <w:pStyle w:val="null3"/>
        <w:ind w:firstLine="960"/>
      </w:pPr>
      <w:r>
        <w:rPr>
          <w:rFonts w:ascii="仿宋_GB2312" w:hAnsi="仿宋_GB2312" w:cs="仿宋_GB2312" w:eastAsia="仿宋_GB2312"/>
        </w:rPr>
        <w:t>详见附件：服务方案（包2）.docx</w:t>
      </w:r>
    </w:p>
    <w:p>
      <w:pPr>
        <w:pStyle w:val="null3"/>
        <w:ind w:firstLine="960"/>
      </w:pPr>
      <w:r>
        <w:rPr>
          <w:rFonts w:ascii="仿宋_GB2312" w:hAnsi="仿宋_GB2312" w:cs="仿宋_GB2312" w:eastAsia="仿宋_GB2312"/>
        </w:rPr>
        <w:t>详见附件：项目实施方案（包2）.docx</w:t>
      </w:r>
    </w:p>
    <w:p>
      <w:pPr>
        <w:pStyle w:val="null3"/>
        <w:ind w:firstLine="960"/>
      </w:pPr>
      <w:r>
        <w:rPr>
          <w:rFonts w:ascii="仿宋_GB2312" w:hAnsi="仿宋_GB2312" w:cs="仿宋_GB2312" w:eastAsia="仿宋_GB2312"/>
        </w:rPr>
        <w:t>详见附件：质量保障措施（包2）.docx</w:t>
      </w:r>
    </w:p>
    <w:p>
      <w:pPr>
        <w:pStyle w:val="null3"/>
        <w:ind w:firstLine="960"/>
      </w:pPr>
      <w:r>
        <w:rPr>
          <w:rFonts w:ascii="仿宋_GB2312" w:hAnsi="仿宋_GB2312" w:cs="仿宋_GB2312" w:eastAsia="仿宋_GB2312"/>
        </w:rPr>
        <w:t>详见附件：应急预案（包2）.docx</w:t>
      </w:r>
    </w:p>
    <w:p>
      <w:pPr>
        <w:pStyle w:val="null3"/>
        <w:ind w:firstLine="960"/>
      </w:pPr>
      <w:r>
        <w:rPr>
          <w:rFonts w:ascii="仿宋_GB2312" w:hAnsi="仿宋_GB2312" w:cs="仿宋_GB2312" w:eastAsia="仿宋_GB2312"/>
        </w:rPr>
        <w:t>详见附件：安全保密方案（包2）.docx</w:t>
      </w:r>
    </w:p>
    <w:p>
      <w:pPr>
        <w:pStyle w:val="null3"/>
        <w:ind w:firstLine="960"/>
      </w:pPr>
      <w:r>
        <w:rPr>
          <w:rFonts w:ascii="仿宋_GB2312" w:hAnsi="仿宋_GB2312" w:cs="仿宋_GB2312" w:eastAsia="仿宋_GB2312"/>
        </w:rPr>
        <w:t>详见附件：培训方案（包2）.docx</w:t>
      </w:r>
    </w:p>
    <w:p>
      <w:pPr>
        <w:pStyle w:val="null3"/>
        <w:ind w:firstLine="960"/>
      </w:pPr>
      <w:r>
        <w:rPr>
          <w:rFonts w:ascii="仿宋_GB2312" w:hAnsi="仿宋_GB2312" w:cs="仿宋_GB2312" w:eastAsia="仿宋_GB2312"/>
        </w:rPr>
        <w:t>详见附件：项目管理体系及人员配备方案（包2）.docx</w:t>
      </w:r>
    </w:p>
    <w:p>
      <w:pPr>
        <w:pStyle w:val="null3"/>
        <w:ind w:firstLine="960"/>
      </w:pPr>
      <w:r>
        <w:rPr>
          <w:rFonts w:ascii="仿宋_GB2312" w:hAnsi="仿宋_GB2312" w:cs="仿宋_GB2312" w:eastAsia="仿宋_GB2312"/>
        </w:rPr>
        <w:t>详见附件：现场解说（包2）.docx</w:t>
      </w:r>
    </w:p>
    <w:p>
      <w:pPr>
        <w:pStyle w:val="null3"/>
        <w:ind w:firstLine="960"/>
      </w:pPr>
      <w:r>
        <w:rPr>
          <w:rFonts w:ascii="仿宋_GB2312" w:hAnsi="仿宋_GB2312" w:cs="仿宋_GB2312" w:eastAsia="仿宋_GB2312"/>
        </w:rPr>
        <w:t>详见附件：项目业务能力（包2）.docx</w:t>
      </w:r>
    </w:p>
    <w:p>
      <w:pPr>
        <w:pStyle w:val="null3"/>
        <w:ind w:firstLine="960"/>
      </w:pPr>
      <w:r>
        <w:rPr>
          <w:rFonts w:ascii="仿宋_GB2312" w:hAnsi="仿宋_GB2312" w:cs="仿宋_GB2312" w:eastAsia="仿宋_GB2312"/>
        </w:rPr>
        <w:t>详见附件：业绩统计表（包2）.docx</w:t>
      </w:r>
    </w:p>
    <w:p>
      <w:pPr>
        <w:pStyle w:val="null3"/>
        <w:ind w:firstLine="960"/>
      </w:pPr>
      <w:r>
        <w:rPr>
          <w:rFonts w:ascii="仿宋_GB2312" w:hAnsi="仿宋_GB2312" w:cs="仿宋_GB2312" w:eastAsia="仿宋_GB2312"/>
        </w:rPr>
        <w:t>详见附件：保证金缴纳凭证（包2）.docx</w:t>
      </w:r>
    </w:p>
    <w:p>
      <w:pPr>
        <w:pStyle w:val="null3"/>
        <w:ind w:firstLine="960"/>
      </w:pPr>
      <w:r>
        <w:rPr>
          <w:rFonts w:ascii="仿宋_GB2312" w:hAnsi="仿宋_GB2312" w:cs="仿宋_GB2312" w:eastAsia="仿宋_GB2312"/>
        </w:rPr>
        <w:t>详见附件：供应商认为有必要说明的其他资料（包2）.docx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