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版本号：DLZCTP2026-120260907001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大荔县人民政府应急保障车辆购置项目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DLZCTP2026-1</w:t>
      </w:r>
      <w:r>
        <w:br/>
      </w:r>
      <w:r>
        <w:br/>
      </w:r>
      <w:r>
        <w:br/>
      </w:r>
    </w:p>
    <w:p>
      <w:pPr>
        <w:pStyle w:val="null3"/>
        <w:jc w:val="center"/>
        <w:outlineLvl w:val="2"/>
      </w:pPr>
      <w:r>
        <w:rPr>
          <w:rFonts w:ascii="仿宋_GB2312" w:hAnsi="仿宋_GB2312" w:cs="仿宋_GB2312" w:eastAsia="仿宋_GB2312"/>
          <w:sz w:val="28"/>
          <w:b/>
        </w:rPr>
        <w:t>大荔县人民政府办公室</w:t>
      </w:r>
    </w:p>
    <w:p>
      <w:pPr>
        <w:pStyle w:val="null3"/>
        <w:jc w:val="center"/>
        <w:outlineLvl w:val="2"/>
      </w:pPr>
      <w:r>
        <w:rPr>
          <w:rFonts w:ascii="仿宋_GB2312" w:hAnsi="仿宋_GB2312" w:cs="仿宋_GB2312" w:eastAsia="仿宋_GB2312"/>
          <w:sz w:val="28"/>
          <w:b/>
        </w:rPr>
        <w:t>大荔县政府采购中心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大荔县政府采购中心</w:t>
      </w:r>
      <w:r>
        <w:rPr>
          <w:rFonts w:ascii="仿宋_GB2312" w:hAnsi="仿宋_GB2312" w:cs="仿宋_GB2312" w:eastAsia="仿宋_GB2312"/>
        </w:rPr>
        <w:t>（以下简称“代理机构”）受</w:t>
      </w:r>
      <w:r>
        <w:rPr>
          <w:rFonts w:ascii="仿宋_GB2312" w:hAnsi="仿宋_GB2312" w:cs="仿宋_GB2312" w:eastAsia="仿宋_GB2312"/>
        </w:rPr>
        <w:t>大荔县人民政府办公室</w:t>
      </w:r>
      <w:r>
        <w:rPr>
          <w:rFonts w:ascii="仿宋_GB2312" w:hAnsi="仿宋_GB2312" w:cs="仿宋_GB2312" w:eastAsia="仿宋_GB2312"/>
        </w:rPr>
        <w:t>委托，拟对</w:t>
      </w:r>
      <w:r>
        <w:rPr>
          <w:rFonts w:ascii="仿宋_GB2312" w:hAnsi="仿宋_GB2312" w:cs="仿宋_GB2312" w:eastAsia="仿宋_GB2312"/>
        </w:rPr>
        <w:t>大荔县人民政府应急保障车辆购置项目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DLZCTP2026-1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大荔县人民政府应急保障车辆购置项目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为了保障通行，出行便利，需购置一辆大型客车。</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1、主体资格：在中华人民共和国境内注册，具有独立民事责任能力的法人、其他组织或自然人，具备从事本采购项目的经营范围和能力，提供合法有效的企业营业执照、法人证书或登记证书.</w:t>
      </w:r>
    </w:p>
    <w:p>
      <w:pPr>
        <w:pStyle w:val="null3"/>
      </w:pPr>
      <w:r>
        <w:rPr>
          <w:rFonts w:ascii="仿宋_GB2312" w:hAnsi="仿宋_GB2312" w:cs="仿宋_GB2312" w:eastAsia="仿宋_GB2312"/>
        </w:rPr>
        <w:t>2、授权委托：提供法定代表人授权书（附法定代表人有效身份证复印件和被授权人有效身份证复印件，法定代表人直接参加只须提供法定代表人有效身份证复印件）。</w:t>
      </w:r>
    </w:p>
    <w:p>
      <w:pPr>
        <w:pStyle w:val="null3"/>
      </w:pPr>
      <w:r>
        <w:rPr>
          <w:rFonts w:ascii="仿宋_GB2312" w:hAnsi="仿宋_GB2312" w:cs="仿宋_GB2312" w:eastAsia="仿宋_GB2312"/>
        </w:rPr>
        <w:t>3、信用记录及声明：投标人不得为“信用中国”网站（www.creditchina. gov.cn）中列入失信被执行人和重大税收违法失信主体的供应商，不得为中国政府采购网（www.ccgp.gov.cn）政府采购严重违法失信行为记录名单中被财政部门禁止参加政府采购活动的供应商（提供无违法失信查询结果并加盖公章）同时提供参加政府采购活动前三年内在经营活动中没有重大违法记录的书面说明。</w:t>
      </w:r>
    </w:p>
    <w:p>
      <w:pPr>
        <w:pStyle w:val="null3"/>
      </w:pPr>
      <w:r>
        <w:rPr>
          <w:rFonts w:ascii="仿宋_GB2312" w:hAnsi="仿宋_GB2312" w:cs="仿宋_GB2312" w:eastAsia="仿宋_GB2312"/>
        </w:rPr>
        <w:t>4、具有履行合同的声明：具有履行合同的声明 提供具有履行合同所必需的设备和专业技术能力的说明或承诺。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大荔县人民政府办公室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陕西省渭南市大荔县府门前12号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陆华阳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19992389006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大荔县政府采购中心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大荔县洛滨大道西段（财政局705室）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0913-3256359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大荔县财政局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大荔县人民政府办公室</w:t>
      </w:r>
      <w:r>
        <w:rPr>
          <w:rFonts w:ascii="仿宋_GB2312" w:hAnsi="仿宋_GB2312" w:cs="仿宋_GB2312" w:eastAsia="仿宋_GB2312"/>
        </w:rPr>
        <w:t>和</w:t>
      </w:r>
      <w:r>
        <w:rPr>
          <w:rFonts w:ascii="仿宋_GB2312" w:hAnsi="仿宋_GB2312" w:cs="仿宋_GB2312" w:eastAsia="仿宋_GB2312"/>
        </w:rPr>
        <w:t>大荔县政府采购中心</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大荔县人民政府办公室</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大荔县政府采购中心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大荔县人民政府办公室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大荔县政府采购中心</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各项具体工作的质量标准和作业规范，按国家标准、行业标准、有关技术规范要求及竞争性谈判文件、响应文件规定的内容执行。供应商提供的产品必须符合国家标准、行业标准以及有关技术规范要求</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大荔县人民政府办公室</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大荔县政府采购中心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大荔县政府采购中心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联系人：石女士</w:t>
      </w:r>
    </w:p>
    <w:p>
      <w:pPr>
        <w:pStyle w:val="null3"/>
      </w:pPr>
      <w:r>
        <w:rPr>
          <w:rFonts w:ascii="仿宋_GB2312" w:hAnsi="仿宋_GB2312" w:cs="仿宋_GB2312" w:eastAsia="仿宋_GB2312"/>
        </w:rPr>
        <w:t>联系电话：0913-3256359</w:t>
      </w:r>
    </w:p>
    <w:p>
      <w:pPr>
        <w:pStyle w:val="null3"/>
      </w:pPr>
      <w:r>
        <w:rPr>
          <w:rFonts w:ascii="仿宋_GB2312" w:hAnsi="仿宋_GB2312" w:cs="仿宋_GB2312" w:eastAsia="仿宋_GB2312"/>
        </w:rPr>
        <w:t>地址：大荔县洛滨大道西段（财政局705室）</w:t>
      </w:r>
    </w:p>
    <w:p>
      <w:pPr>
        <w:pStyle w:val="null3"/>
      </w:pPr>
      <w:r>
        <w:rPr>
          <w:rFonts w:ascii="仿宋_GB2312" w:hAnsi="仿宋_GB2312" w:cs="仿宋_GB2312" w:eastAsia="仿宋_GB2312"/>
        </w:rPr>
        <w:t>邮编：715100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为了保障通行，出行便利，需购置一辆大型客车。</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大型客车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辆</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标的名称：大型客车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left"/>
            </w:pPr>
            <w:r>
              <w:rPr>
                <w:rFonts w:ascii="仿宋_GB2312" w:hAnsi="仿宋_GB2312" w:cs="仿宋_GB2312" w:eastAsia="仿宋_GB2312"/>
                <w:sz w:val="32"/>
              </w:rPr>
              <w:t>车身：</w:t>
            </w:r>
            <w:r>
              <w:rPr>
                <w:rFonts w:ascii="仿宋_GB2312" w:hAnsi="仿宋_GB2312" w:cs="仿宋_GB2312" w:eastAsia="仿宋_GB2312"/>
                <w:sz w:val="32"/>
              </w:rPr>
              <w:t>大型客车</w:t>
            </w:r>
          </w:p>
          <w:p>
            <w:pPr>
              <w:pStyle w:val="null3"/>
              <w:ind w:firstLine="640"/>
              <w:jc w:val="left"/>
            </w:pPr>
            <w:r>
              <w:rPr>
                <w:rFonts w:ascii="仿宋_GB2312" w:hAnsi="仿宋_GB2312" w:cs="仿宋_GB2312" w:eastAsia="仿宋_GB2312"/>
                <w:sz w:val="32"/>
              </w:rPr>
              <w:t>车辆长度</w:t>
            </w:r>
            <w:r>
              <w:rPr>
                <w:rFonts w:ascii="仿宋_GB2312" w:hAnsi="仿宋_GB2312" w:cs="仿宋_GB2312" w:eastAsia="仿宋_GB2312"/>
                <w:sz w:val="32"/>
              </w:rPr>
              <w:t>≥7000mm</w:t>
            </w:r>
          </w:p>
          <w:p>
            <w:pPr>
              <w:pStyle w:val="null3"/>
              <w:ind w:firstLine="640"/>
              <w:jc w:val="left"/>
            </w:pPr>
            <w:r>
              <w:rPr>
                <w:rFonts w:ascii="仿宋_GB2312" w:hAnsi="仿宋_GB2312" w:cs="仿宋_GB2312" w:eastAsia="仿宋_GB2312"/>
                <w:sz w:val="32"/>
              </w:rPr>
              <w:t>车辆宽度</w:t>
            </w:r>
            <w:r>
              <w:rPr>
                <w:rFonts w:ascii="仿宋_GB2312" w:hAnsi="仿宋_GB2312" w:cs="仿宋_GB2312" w:eastAsia="仿宋_GB2312"/>
                <w:sz w:val="32"/>
              </w:rPr>
              <w:t>≥2020mm</w:t>
            </w:r>
          </w:p>
          <w:p>
            <w:pPr>
              <w:pStyle w:val="null3"/>
              <w:ind w:firstLine="640"/>
              <w:jc w:val="left"/>
            </w:pPr>
            <w:r>
              <w:rPr>
                <w:rFonts w:ascii="仿宋_GB2312" w:hAnsi="仿宋_GB2312" w:cs="仿宋_GB2312" w:eastAsia="仿宋_GB2312"/>
                <w:sz w:val="32"/>
              </w:rPr>
              <w:t>车辆高度</w:t>
            </w:r>
            <w:r>
              <w:rPr>
                <w:rFonts w:ascii="仿宋_GB2312" w:hAnsi="仿宋_GB2312" w:cs="仿宋_GB2312" w:eastAsia="仿宋_GB2312"/>
                <w:sz w:val="32"/>
              </w:rPr>
              <w:t>≥2700mm</w:t>
            </w:r>
          </w:p>
          <w:p>
            <w:pPr>
              <w:pStyle w:val="null3"/>
              <w:ind w:firstLine="640"/>
              <w:jc w:val="left"/>
            </w:pPr>
            <w:r>
              <w:rPr>
                <w:rFonts w:ascii="仿宋_GB2312" w:hAnsi="仿宋_GB2312" w:cs="仿宋_GB2312" w:eastAsia="仿宋_GB2312"/>
                <w:sz w:val="32"/>
              </w:rPr>
              <w:t>轴距：</w:t>
            </w:r>
            <w:r>
              <w:rPr>
                <w:rFonts w:ascii="仿宋_GB2312" w:hAnsi="仿宋_GB2312" w:cs="仿宋_GB2312" w:eastAsia="仿宋_GB2312"/>
                <w:sz w:val="32"/>
              </w:rPr>
              <w:t>≥</w:t>
            </w:r>
            <w:r>
              <w:rPr>
                <w:rFonts w:ascii="仿宋_GB2312" w:hAnsi="仿宋_GB2312" w:cs="仿宋_GB2312" w:eastAsia="仿宋_GB2312"/>
                <w:sz w:val="32"/>
              </w:rPr>
              <w:t>3950</w:t>
            </w:r>
            <w:r>
              <w:rPr>
                <w:rFonts w:ascii="仿宋_GB2312" w:hAnsi="仿宋_GB2312" w:cs="仿宋_GB2312" w:eastAsia="仿宋_GB2312"/>
                <w:sz w:val="32"/>
              </w:rPr>
              <w:t>mm</w:t>
            </w:r>
          </w:p>
          <w:p>
            <w:pPr>
              <w:pStyle w:val="null3"/>
              <w:ind w:firstLine="640"/>
              <w:jc w:val="left"/>
            </w:pPr>
            <w:r>
              <w:rPr>
                <w:rFonts w:ascii="仿宋_GB2312" w:hAnsi="仿宋_GB2312" w:cs="仿宋_GB2312" w:eastAsia="仿宋_GB2312"/>
                <w:sz w:val="32"/>
              </w:rPr>
              <w:t>排量：</w:t>
            </w:r>
            <w:r>
              <w:rPr>
                <w:rFonts w:ascii="仿宋_GB2312" w:hAnsi="仿宋_GB2312" w:cs="仿宋_GB2312" w:eastAsia="仿宋_GB2312"/>
                <w:sz w:val="32"/>
              </w:rPr>
              <w:t>5.0L≥L＞3.0L</w:t>
            </w:r>
          </w:p>
          <w:p>
            <w:pPr>
              <w:pStyle w:val="null3"/>
              <w:ind w:firstLine="640"/>
              <w:jc w:val="left"/>
            </w:pPr>
            <w:r>
              <w:rPr>
                <w:rFonts w:ascii="仿宋_GB2312" w:hAnsi="仿宋_GB2312" w:cs="仿宋_GB2312" w:eastAsia="仿宋_GB2312"/>
                <w:sz w:val="32"/>
              </w:rPr>
              <w:t>变速箱：</w:t>
            </w:r>
            <w:r>
              <w:rPr>
                <w:rFonts w:ascii="仿宋_GB2312" w:hAnsi="仿宋_GB2312" w:cs="仿宋_GB2312" w:eastAsia="仿宋_GB2312"/>
                <w:sz w:val="32"/>
              </w:rPr>
              <w:t>10速自动挡</w:t>
            </w:r>
          </w:p>
          <w:p>
            <w:pPr>
              <w:pStyle w:val="null3"/>
              <w:ind w:firstLine="640"/>
              <w:jc w:val="left"/>
            </w:pPr>
            <w:r>
              <w:rPr>
                <w:rFonts w:ascii="仿宋_GB2312" w:hAnsi="仿宋_GB2312" w:cs="仿宋_GB2312" w:eastAsia="仿宋_GB2312"/>
                <w:sz w:val="32"/>
              </w:rPr>
              <w:t>燃料类型：汽油</w:t>
            </w:r>
          </w:p>
          <w:p>
            <w:pPr>
              <w:pStyle w:val="null3"/>
              <w:ind w:firstLine="640"/>
              <w:jc w:val="left"/>
            </w:pPr>
            <w:r>
              <w:rPr>
                <w:rFonts w:ascii="仿宋_GB2312" w:hAnsi="仿宋_GB2312" w:cs="仿宋_GB2312" w:eastAsia="仿宋_GB2312"/>
                <w:sz w:val="32"/>
              </w:rPr>
              <w:t>座位数：</w:t>
            </w:r>
            <w:r>
              <w:rPr>
                <w:rFonts w:ascii="仿宋_GB2312" w:hAnsi="仿宋_GB2312" w:cs="仿宋_GB2312" w:eastAsia="仿宋_GB2312"/>
                <w:sz w:val="32"/>
              </w:rPr>
              <w:t>≥</w:t>
            </w:r>
            <w:r>
              <w:rPr>
                <w:rFonts w:ascii="仿宋_GB2312" w:hAnsi="仿宋_GB2312" w:cs="仿宋_GB2312" w:eastAsia="仿宋_GB2312"/>
                <w:sz w:val="32"/>
              </w:rPr>
              <w:t>17个</w:t>
            </w:r>
            <w:r>
              <w:rPr>
                <w:rFonts w:ascii="仿宋_GB2312" w:hAnsi="仿宋_GB2312" w:cs="仿宋_GB2312" w:eastAsia="仿宋_GB2312"/>
                <w:sz w:val="32"/>
              </w:rPr>
              <w:t>，</w:t>
            </w:r>
            <w:r>
              <w:rPr>
                <w:rFonts w:ascii="仿宋_GB2312" w:hAnsi="仿宋_GB2312" w:cs="仿宋_GB2312" w:eastAsia="仿宋_GB2312"/>
                <w:sz w:val="32"/>
              </w:rPr>
              <w:t>带头枕小商务座椅，座椅靠背可调</w:t>
            </w:r>
            <w:r>
              <w:rPr>
                <w:rFonts w:ascii="仿宋_GB2312" w:hAnsi="仿宋_GB2312" w:cs="仿宋_GB2312" w:eastAsia="仿宋_GB2312"/>
                <w:sz w:val="32"/>
              </w:rPr>
              <w:t>。</w:t>
            </w:r>
          </w:p>
          <w:p>
            <w:pPr>
              <w:pStyle w:val="null3"/>
              <w:ind w:firstLine="640"/>
              <w:jc w:val="left"/>
            </w:pPr>
            <w:r>
              <w:rPr>
                <w:rFonts w:ascii="仿宋_GB2312" w:hAnsi="仿宋_GB2312" w:cs="仿宋_GB2312" w:eastAsia="仿宋_GB2312"/>
                <w:sz w:val="32"/>
              </w:rPr>
              <w:t>进气方式：涡轮增压</w:t>
            </w:r>
          </w:p>
          <w:p>
            <w:pPr>
              <w:pStyle w:val="null3"/>
              <w:ind w:firstLine="640"/>
              <w:jc w:val="left"/>
            </w:pPr>
            <w:r>
              <w:rPr>
                <w:rFonts w:ascii="仿宋_GB2312" w:hAnsi="仿宋_GB2312" w:cs="仿宋_GB2312" w:eastAsia="仿宋_GB2312"/>
                <w:sz w:val="32"/>
              </w:rPr>
              <w:t>燃油箱容积：</w:t>
            </w:r>
            <w:r>
              <w:rPr>
                <w:rFonts w:ascii="仿宋_GB2312" w:hAnsi="仿宋_GB2312" w:cs="仿宋_GB2312" w:eastAsia="仿宋_GB2312"/>
                <w:sz w:val="32"/>
              </w:rPr>
              <w:t>≥100</w:t>
            </w:r>
            <w:r>
              <w:rPr>
                <w:rFonts w:ascii="仿宋_GB2312" w:hAnsi="仿宋_GB2312" w:cs="仿宋_GB2312" w:eastAsia="仿宋_GB2312"/>
                <w:sz w:val="32"/>
              </w:rPr>
              <w:t>L</w:t>
            </w:r>
          </w:p>
          <w:p>
            <w:pPr>
              <w:pStyle w:val="null3"/>
              <w:ind w:firstLine="640"/>
              <w:jc w:val="left"/>
            </w:pPr>
            <w:r>
              <w:rPr>
                <w:rFonts w:ascii="仿宋_GB2312" w:hAnsi="仿宋_GB2312" w:cs="仿宋_GB2312" w:eastAsia="仿宋_GB2312"/>
                <w:sz w:val="32"/>
              </w:rPr>
              <w:t>环保标准：国</w:t>
            </w:r>
            <w:r>
              <w:rPr>
                <w:rFonts w:ascii="仿宋_GB2312" w:hAnsi="仿宋_GB2312" w:cs="仿宋_GB2312" w:eastAsia="仿宋_GB2312"/>
                <w:sz w:val="32"/>
              </w:rPr>
              <w:t>Ⅳ</w:t>
            </w:r>
          </w:p>
          <w:p>
            <w:pPr>
              <w:pStyle w:val="null3"/>
              <w:ind w:firstLine="640"/>
              <w:jc w:val="left"/>
            </w:pPr>
            <w:r>
              <w:rPr>
                <w:rFonts w:ascii="仿宋_GB2312" w:hAnsi="仿宋_GB2312" w:cs="仿宋_GB2312" w:eastAsia="仿宋_GB2312"/>
                <w:sz w:val="32"/>
              </w:rPr>
              <w:t>底盘结构</w:t>
            </w:r>
            <w:r>
              <w:rPr>
                <w:rFonts w:ascii="仿宋_GB2312" w:hAnsi="仿宋_GB2312" w:cs="仿宋_GB2312" w:eastAsia="仿宋_GB2312"/>
                <w:sz w:val="32"/>
              </w:rPr>
              <w:t>:</w:t>
            </w:r>
            <w:r>
              <w:rPr>
                <w:rFonts w:ascii="仿宋_GB2312" w:hAnsi="仿宋_GB2312" w:cs="仿宋_GB2312" w:eastAsia="仿宋_GB2312"/>
                <w:sz w:val="32"/>
              </w:rPr>
              <w:t>半</w:t>
            </w:r>
            <w:r>
              <w:rPr>
                <w:rFonts w:ascii="仿宋_GB2312" w:hAnsi="仿宋_GB2312" w:cs="仿宋_GB2312" w:eastAsia="仿宋_GB2312"/>
                <w:sz w:val="32"/>
              </w:rPr>
              <w:t>承载式</w:t>
            </w:r>
          </w:p>
          <w:p>
            <w:pPr>
              <w:pStyle w:val="null3"/>
              <w:ind w:firstLine="640"/>
              <w:jc w:val="left"/>
            </w:pPr>
            <w:r>
              <w:rPr>
                <w:rFonts w:ascii="仿宋_GB2312" w:hAnsi="仿宋_GB2312" w:cs="仿宋_GB2312" w:eastAsia="仿宋_GB2312"/>
                <w:sz w:val="32"/>
              </w:rPr>
              <w:t>驱动方式</w:t>
            </w:r>
            <w:r>
              <w:rPr>
                <w:rFonts w:ascii="仿宋_GB2312" w:hAnsi="仿宋_GB2312" w:cs="仿宋_GB2312" w:eastAsia="仿宋_GB2312"/>
                <w:sz w:val="32"/>
              </w:rPr>
              <w:t>：前置后驱</w:t>
            </w:r>
          </w:p>
          <w:p>
            <w:pPr>
              <w:pStyle w:val="null3"/>
              <w:ind w:firstLine="640"/>
              <w:jc w:val="left"/>
            </w:pPr>
            <w:r>
              <w:rPr>
                <w:rFonts w:ascii="仿宋_GB2312" w:hAnsi="仿宋_GB2312" w:cs="仿宋_GB2312" w:eastAsia="仿宋_GB2312"/>
                <w:sz w:val="32"/>
              </w:rPr>
              <w:t>制动系统</w:t>
            </w:r>
            <w:r>
              <w:rPr>
                <w:rFonts w:ascii="仿宋_GB2312" w:hAnsi="仿宋_GB2312" w:cs="仿宋_GB2312" w:eastAsia="仿宋_GB2312"/>
                <w:sz w:val="32"/>
              </w:rPr>
              <w:t>:液压制动、前盘后盘、带缓速器</w:t>
            </w:r>
          </w:p>
          <w:p>
            <w:pPr>
              <w:pStyle w:val="null3"/>
              <w:ind w:left="660"/>
              <w:jc w:val="left"/>
            </w:pPr>
            <w:r>
              <w:rPr>
                <w:rFonts w:ascii="仿宋_GB2312" w:hAnsi="仿宋_GB2312" w:cs="仿宋_GB2312" w:eastAsia="仿宋_GB2312"/>
                <w:sz w:val="32"/>
              </w:rPr>
              <w:t>车门配置：钢化玻璃外摆自吸门</w:t>
            </w:r>
            <w:r>
              <w:rPr>
                <w:rFonts w:ascii="仿宋_GB2312" w:hAnsi="仿宋_GB2312" w:cs="仿宋_GB2312" w:eastAsia="仿宋_GB2312"/>
                <w:sz w:val="32"/>
              </w:rPr>
              <w:t>,门向前开，司机窗电动升降玻璃</w:t>
            </w:r>
          </w:p>
          <w:p>
            <w:pPr>
              <w:pStyle w:val="null3"/>
              <w:ind w:left="660"/>
              <w:jc w:val="left"/>
            </w:pPr>
            <w:r>
              <w:rPr>
                <w:rFonts w:ascii="仿宋_GB2312" w:hAnsi="仿宋_GB2312" w:cs="仿宋_GB2312" w:eastAsia="仿宋_GB2312"/>
                <w:sz w:val="32"/>
              </w:rPr>
              <w:t>侧窗配置：全封闭玻璃（副驾铝合金推拉）</w:t>
            </w:r>
          </w:p>
          <w:p>
            <w:pPr>
              <w:pStyle w:val="null3"/>
              <w:ind w:left="660"/>
              <w:jc w:val="left"/>
            </w:pPr>
            <w:r>
              <w:rPr>
                <w:rFonts w:ascii="仿宋_GB2312" w:hAnsi="仿宋_GB2312" w:cs="仿宋_GB2312" w:eastAsia="仿宋_GB2312"/>
                <w:sz w:val="32"/>
              </w:rPr>
              <w:t>车轮：铝合金轮辋、真空轮胎</w:t>
            </w:r>
          </w:p>
          <w:p>
            <w:pPr>
              <w:pStyle w:val="null3"/>
              <w:ind w:firstLine="640"/>
              <w:jc w:val="left"/>
            </w:pPr>
            <w:r>
              <w:rPr>
                <w:rFonts w:ascii="仿宋_GB2312" w:hAnsi="仿宋_GB2312" w:cs="仿宋_GB2312" w:eastAsia="仿宋_GB2312"/>
                <w:sz w:val="32"/>
              </w:rPr>
              <w:t>悬架：前独立悬架后少片簧或前后独立悬架</w:t>
            </w:r>
          </w:p>
          <w:p>
            <w:pPr>
              <w:pStyle w:val="null3"/>
              <w:ind w:firstLine="640"/>
              <w:jc w:val="left"/>
            </w:pPr>
            <w:r>
              <w:rPr>
                <w:rFonts w:ascii="仿宋_GB2312" w:hAnsi="仿宋_GB2312" w:cs="仿宋_GB2312" w:eastAsia="仿宋_GB2312"/>
                <w:sz w:val="32"/>
              </w:rPr>
              <w:t>空气调节系统：前后双区独立控制，制冷量</w:t>
            </w:r>
            <w:r>
              <w:rPr>
                <w:rFonts w:ascii="仿宋_GB2312" w:hAnsi="仿宋_GB2312" w:cs="仿宋_GB2312" w:eastAsia="仿宋_GB2312"/>
                <w:sz w:val="32"/>
              </w:rPr>
              <w:t>≥</w:t>
            </w:r>
            <w:r>
              <w:rPr>
                <w:rFonts w:ascii="仿宋_GB2312" w:hAnsi="仿宋_GB2312" w:cs="仿宋_GB2312" w:eastAsia="仿宋_GB2312"/>
                <w:sz w:val="32"/>
              </w:rPr>
              <w:t>14000大卡</w:t>
            </w:r>
          </w:p>
          <w:p>
            <w:pPr>
              <w:pStyle w:val="null3"/>
              <w:ind w:firstLine="640"/>
              <w:jc w:val="left"/>
            </w:pPr>
            <w:r>
              <w:rPr>
                <w:rFonts w:ascii="仿宋_GB2312" w:hAnsi="仿宋_GB2312" w:cs="仿宋_GB2312" w:eastAsia="仿宋_GB2312"/>
                <w:sz w:val="32"/>
              </w:rPr>
              <w:t>倒车视频影像：有</w:t>
            </w:r>
          </w:p>
          <w:p>
            <w:pPr>
              <w:pStyle w:val="null3"/>
              <w:ind w:firstLine="640"/>
              <w:jc w:val="left"/>
            </w:pPr>
            <w:r>
              <w:rPr>
                <w:rFonts w:ascii="仿宋_GB2312" w:hAnsi="仿宋_GB2312" w:cs="仿宋_GB2312" w:eastAsia="仿宋_GB2312"/>
                <w:sz w:val="32"/>
              </w:rPr>
              <w:t>随车附件：备胎、三角牌、千斤顶、灭火器、随车工具包、用户手册、保修手册。</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10个工作日</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陕西省渭南市大荔县府门前12号</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其他，验收合格，达到付款条件起1个工作日内，支付合同总金额的100.0%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1.所供产品的规格、数量符合采购文件供应商投标承诺及采购合同约定的要求。 2.所有产品均已运输至指定地点，并安装调试完毕。 3.采购文件供应商投标承诺及采购合同约定的附件、工具、技术资料等齐全；提供产品使用说明书、合格证。</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1.供应商需要提供合理的项目整体实施方案，能按照项目分解节点并可跟踪实施。 2.供应商需要提供品控管理方案，对产品品质有管理管控过程，有独立品管部门和专门品管人员，确保产品生产过程中的质量控制完善。 3.供应商需要提供安装服务实施方案，根据货物交付时间节点，落实送货安装时间和人员安排，确保按期交付使用。</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1.交付的车辆质量不符合约定的，供应商需在7个工作日内无条件更换或维修至符合要求，否则采购单位有权拒付相关款并追究其违约责任。 2.供应商逾期交车每日按合同总价0.05%计罚，超15日甲方解约退款，并处总价15%违约金； 3. 车辆参数、质量、手续与标书不符，采购方可退车，供应商承担全部费用并按单车价10%赔付； 4. 本项目严禁转包，擅自分包的，采购方立即解约，并由供应商支付合同总价20%违约金； 4. 采购方逾期付款按未付金额万分之三付息，上限总价5%； 5. 市场涨价、供应链问题不属于免责理由，总价包干风险由供应商自行承担。</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1、提供2025年度完整审计报告，成立时间至提交响应文件截止时间不足1年的提供开标前一个月内基本存款账户开户行出具的资信证明。2、提供已缴纳的2026年3月以来至少1个月的纳税证明或完税证明（任意税种），依法免税的供应商应提供相关材料。3提供2026年3月以来至少1个月的社会保障资金缴存单据或社保机构开具的社会保险参保缴费情况证明，依法不需要缴纳社会保障资金的供应商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供应商认为有必要说明的事宜.docx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在中华人民共和国境内注册，具有独立民事责任能力的法人、其他组织或自然人，具备从事本采购项目的经营范围和能力，提供合法有效的企业营业执照、法人证书或登记证书.</w:t>
            </w:r>
          </w:p>
        </w:tc>
        <w:tc>
          <w:tcPr>
            <w:tcW w:type="dxa" w:w="1661"/>
          </w:tcPr>
          <w:p>
            <w:pPr>
              <w:pStyle w:val="null3"/>
            </w:pPr>
            <w:r>
              <w:rPr>
                <w:rFonts w:ascii="仿宋_GB2312" w:hAnsi="仿宋_GB2312" w:cs="仿宋_GB2312" w:eastAsia="仿宋_GB2312"/>
              </w:rPr>
              <w:t>响应文件封面 供应商应提交的相关资格证明材料 供应商认为有必要说明的事宜.docx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提供法定代表人授权书（附法定代表人有效身份证复印件和被授权人有效身份证复印件，法定代表人直接参加只须提供法定代表人有效身份证复印件）。</w:t>
            </w:r>
          </w:p>
        </w:tc>
        <w:tc>
          <w:tcPr>
            <w:tcW w:type="dxa" w:w="1661"/>
          </w:tcPr>
          <w:p>
            <w:pPr>
              <w:pStyle w:val="null3"/>
            </w:pPr>
            <w:r>
              <w:rPr>
                <w:rFonts w:ascii="仿宋_GB2312" w:hAnsi="仿宋_GB2312" w:cs="仿宋_GB2312" w:eastAsia="仿宋_GB2312"/>
              </w:rPr>
              <w:t>响应文件封面 供应商应提交的相关资格证明材料 法定代表人证明书及法定代表人授权书.docx 供应商认为有必要说明的事宜.docx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信用记录及声明</w:t>
            </w:r>
          </w:p>
        </w:tc>
        <w:tc>
          <w:tcPr>
            <w:tcW w:type="dxa" w:w="3322"/>
          </w:tcPr>
          <w:p>
            <w:pPr>
              <w:pStyle w:val="null3"/>
            </w:pPr>
            <w:r>
              <w:rPr>
                <w:rFonts w:ascii="仿宋_GB2312" w:hAnsi="仿宋_GB2312" w:cs="仿宋_GB2312" w:eastAsia="仿宋_GB2312"/>
              </w:rPr>
              <w:t>投标人不得为“信用中国”网站（www.creditchina. gov.cn）中列入失信被执行人和重大税收违法失信主体的供应商，不得为中国政府采购网（www.ccgp.gov.cn）政府采购严重违法失信行为记录名单中被财政部门禁止参加政府采购活动的供应商（提供无违法失信查询结果并加盖公章）同时提供参加政府采购活动前三年内在经营活动中没有重大违法记录的书面说明。</w:t>
            </w:r>
          </w:p>
        </w:tc>
        <w:tc>
          <w:tcPr>
            <w:tcW w:type="dxa" w:w="1661"/>
          </w:tcPr>
          <w:p>
            <w:pPr>
              <w:pStyle w:val="null3"/>
            </w:pPr>
            <w:r>
              <w:rPr>
                <w:rFonts w:ascii="仿宋_GB2312" w:hAnsi="仿宋_GB2312" w:cs="仿宋_GB2312" w:eastAsia="仿宋_GB2312"/>
              </w:rPr>
              <w:t>响应文件封面 供应商应提交的相关资格证明材料 供应商认为有必要说明的事宜.docx 响应函 相关承诺书.docx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具有履行合同的声明 提供具有履行合同所必需的设备和专业技术能力的说明或承诺。</w:t>
            </w:r>
          </w:p>
        </w:tc>
        <w:tc>
          <w:tcPr>
            <w:tcW w:type="dxa" w:w="1661"/>
          </w:tcPr>
          <w:p>
            <w:pPr>
              <w:pStyle w:val="null3"/>
            </w:pPr>
            <w:r>
              <w:rPr>
                <w:rFonts w:ascii="仿宋_GB2312" w:hAnsi="仿宋_GB2312" w:cs="仿宋_GB2312" w:eastAsia="仿宋_GB2312"/>
              </w:rPr>
              <w:t>响应文件封面 供应商应提交的相关资格证明材料 供应商认为有必要说明的事宜.docx 响应函 相关承诺书.docx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售后服务方案.docx 中小企业声明函 商务应答表 供应商应提交的相关资格证明材料 报价表 相关承诺书.docx 响应文件封面 产品技术参数表 分项报价表.docx 选配件报价表.docx 残疾人福利性单位声明函 关于符合本国产品标准的声明函 产品的技术文件.docx 标的清单 法定代表人证明书及法定代表人授权书.docx 响应实施方案.docx 供应商认为有必要说明的事宜.docx 响应函 监狱企业的证明文件 货物说明一览表.docx 组成人员简历表.docx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响应文件语言及有效期符合谈判文件要求。</w:t>
            </w:r>
          </w:p>
        </w:tc>
        <w:tc>
          <w:tcPr>
            <w:tcW w:type="dxa" w:w="1661"/>
          </w:tcPr>
          <w:p>
            <w:pPr>
              <w:pStyle w:val="null3"/>
            </w:pPr>
            <w:r>
              <w:rPr>
                <w:rFonts w:ascii="仿宋_GB2312" w:hAnsi="仿宋_GB2312" w:cs="仿宋_GB2312" w:eastAsia="仿宋_GB2312"/>
              </w:rPr>
              <w:t>售后服务方案.docx 中小企业声明函 商务应答表 供应商应提交的相关资格证明材料 报价表 相关承诺书.docx 响应文件封面 产品技术参数表 分项报价表.docx 选配件报价表.docx 残疾人福利性单位声明函 标的清单 关于符合本国产品标准的声明函 产品的技术文件.docx 法定代表人证明书及法定代表人授权书.docx 响应实施方案.docx 供应商认为有必要说明的事宜.docx 响应函 监狱企业的证明文件 货物说明一览表.docx 组成人员简历表.docx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均按谈判文件要求签字、盖章。</w:t>
            </w:r>
          </w:p>
        </w:tc>
        <w:tc>
          <w:tcPr>
            <w:tcW w:type="dxa" w:w="1661"/>
          </w:tcPr>
          <w:p>
            <w:pPr>
              <w:pStyle w:val="null3"/>
            </w:pPr>
            <w:r>
              <w:rPr>
                <w:rFonts w:ascii="仿宋_GB2312" w:hAnsi="仿宋_GB2312" w:cs="仿宋_GB2312" w:eastAsia="仿宋_GB2312"/>
              </w:rPr>
              <w:t>售后服务方案.docx 中小企业声明函 商务应答表 供应商应提交的相关资格证明材料 报价表 相关承诺书.docx 响应文件封面 产品技术参数表 分项报价表.docx 选配件报价表.docx 残疾人福利性单位声明函 标的清单 关于符合本国产品标准的声明函 产品的技术文件.docx 法定代表人证明书及法定代表人授权书.docx 响应实施方案.docx 供应商认为有必要说明的事宜.docx 响应函 监狱企业的证明文件 货物说明一览表.docx 组成人员简历表.docx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第一次谈判报价</w:t>
            </w:r>
          </w:p>
        </w:tc>
        <w:tc>
          <w:tcPr>
            <w:tcW w:type="dxa" w:w="3322"/>
          </w:tcPr>
          <w:p>
            <w:pPr>
              <w:pStyle w:val="null3"/>
            </w:pPr>
            <w:r>
              <w:rPr>
                <w:rFonts w:ascii="仿宋_GB2312" w:hAnsi="仿宋_GB2312" w:cs="仿宋_GB2312" w:eastAsia="仿宋_GB2312"/>
              </w:rPr>
              <w:t>（1）只能有一个有效报价，不接受选择性报价； （2）第一次谈判报价表填写符合要求； （3）计量单位、报价货币均符合谈判文件要求； （4）第一次谈判报价未超出采购预算或谈判文件规定的最高限价； （5）第一次谈判报价没有与市场价偏差较大、低于成本、可能影响货物质量或不能诚信履约</w:t>
            </w:r>
          </w:p>
        </w:tc>
        <w:tc>
          <w:tcPr>
            <w:tcW w:type="dxa" w:w="1661"/>
          </w:tcPr>
          <w:p>
            <w:pPr>
              <w:pStyle w:val="null3"/>
            </w:pPr>
            <w:r>
              <w:rPr>
                <w:rFonts w:ascii="仿宋_GB2312" w:hAnsi="仿宋_GB2312" w:cs="仿宋_GB2312" w:eastAsia="仿宋_GB2312"/>
              </w:rPr>
              <w:t>响应文件封面 分项报价表.docx 选配件报价表.docx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商务响应要求</w:t>
            </w:r>
          </w:p>
        </w:tc>
        <w:tc>
          <w:tcPr>
            <w:tcW w:type="dxa" w:w="3322"/>
          </w:tcPr>
          <w:p>
            <w:pPr>
              <w:pStyle w:val="null3"/>
            </w:pPr>
            <w:r>
              <w:rPr>
                <w:rFonts w:ascii="仿宋_GB2312" w:hAnsi="仿宋_GB2312" w:cs="仿宋_GB2312" w:eastAsia="仿宋_GB2312"/>
              </w:rPr>
              <w:t>供货期、质保期、交货地点、付款方式等。</w:t>
            </w:r>
          </w:p>
        </w:tc>
        <w:tc>
          <w:tcPr>
            <w:tcW w:type="dxa" w:w="1661"/>
          </w:tcPr>
          <w:p>
            <w:pPr>
              <w:pStyle w:val="null3"/>
            </w:pPr>
            <w:r>
              <w:rPr>
                <w:rFonts w:ascii="仿宋_GB2312" w:hAnsi="仿宋_GB2312" w:cs="仿宋_GB2312" w:eastAsia="仿宋_GB2312"/>
              </w:rPr>
              <w:t>响应文件封面 售后服务方案.docx 产品技术参数表 商务应答表 产品的技术文件.docx 响应实施方案.docx 响应函 货物说明一览表.docx 相关承诺书.docx 组成人员简历表.docx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合同草案条款响应</w:t>
            </w:r>
          </w:p>
        </w:tc>
        <w:tc>
          <w:tcPr>
            <w:tcW w:type="dxa" w:w="3322"/>
          </w:tcPr>
          <w:p>
            <w:pPr>
              <w:pStyle w:val="null3"/>
            </w:pPr>
            <w:r>
              <w:rPr>
                <w:rFonts w:ascii="仿宋_GB2312" w:hAnsi="仿宋_GB2312" w:cs="仿宋_GB2312" w:eastAsia="仿宋_GB2312"/>
              </w:rPr>
              <w:t>有完全理解并接受谈判文件合同草案条款要求的描述。</w:t>
            </w:r>
          </w:p>
        </w:tc>
        <w:tc>
          <w:tcPr>
            <w:tcW w:type="dxa" w:w="1661"/>
          </w:tcPr>
          <w:p>
            <w:pPr>
              <w:pStyle w:val="null3"/>
            </w:pPr>
            <w:r>
              <w:rPr>
                <w:rFonts w:ascii="仿宋_GB2312" w:hAnsi="仿宋_GB2312" w:cs="仿宋_GB2312" w:eastAsia="仿宋_GB2312"/>
              </w:rPr>
              <w:t>响应文件封面 商务应答表 供应商认为有必要说明的事宜.docx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无其他谈判文件或法规明确规定响应无效的事项</w:t>
            </w:r>
          </w:p>
        </w:tc>
        <w:tc>
          <w:tcPr>
            <w:tcW w:type="dxa" w:w="3322"/>
          </w:tcPr>
          <w:p>
            <w:pPr>
              <w:pStyle w:val="null3"/>
            </w:pPr>
            <w:r>
              <w:rPr>
                <w:rFonts w:ascii="仿宋_GB2312" w:hAnsi="仿宋_GB2312" w:cs="仿宋_GB2312" w:eastAsia="仿宋_GB2312"/>
              </w:rPr>
              <w:t>响应文件中如含有采购人不接受的附加条件，或存在不符合谈判文件规定的其他条款则被视为无效响应。</w:t>
            </w:r>
          </w:p>
        </w:tc>
        <w:tc>
          <w:tcPr>
            <w:tcW w:type="dxa" w:w="1661"/>
          </w:tcPr>
          <w:p>
            <w:pPr>
              <w:pStyle w:val="null3"/>
            </w:pPr>
            <w:r>
              <w:rPr>
                <w:rFonts w:ascii="仿宋_GB2312" w:hAnsi="仿宋_GB2312" w:cs="仿宋_GB2312" w:eastAsia="仿宋_GB2312"/>
              </w:rPr>
              <w:t>售后服务方案.docx 商务应答表 报价表 相关承诺书.docx 响应文件封面 产品技术参数表 分项报价表.docx 选配件报价表.docx 标的清单 关于符合本国产品标准的声明函 产品的技术文件.docx 响应实施方案.docx 供应商认为有必要说明的事宜.docx 响应函 货物说明一览表.docx 组成人员简历表.docx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详见附件：产品的技术文件.docx</w:t>
      </w:r>
    </w:p>
    <w:p>
      <w:pPr>
        <w:pStyle w:val="null3"/>
        <w:ind w:firstLine="960"/>
      </w:pPr>
      <w:r>
        <w:rPr>
          <w:rFonts w:ascii="仿宋_GB2312" w:hAnsi="仿宋_GB2312" w:cs="仿宋_GB2312" w:eastAsia="仿宋_GB2312"/>
        </w:rPr>
        <w:t>详见附件：法定代表人证明书及法定代表人授权书.docx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详见附件：供应商认为有必要说明的事宜.docx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详见附件：货物说明一览表.docx</w:t>
      </w:r>
    </w:p>
    <w:p>
      <w:pPr>
        <w:pStyle w:val="null3"/>
        <w:ind w:firstLine="960"/>
      </w:pPr>
      <w:r>
        <w:rPr>
          <w:rFonts w:ascii="仿宋_GB2312" w:hAnsi="仿宋_GB2312" w:cs="仿宋_GB2312" w:eastAsia="仿宋_GB2312"/>
        </w:rPr>
        <w:t>详见附件：相关承诺书.docx</w:t>
      </w:r>
    </w:p>
    <w:p>
      <w:pPr>
        <w:pStyle w:val="null3"/>
        <w:ind w:firstLine="960"/>
      </w:pPr>
      <w:r>
        <w:rPr>
          <w:rFonts w:ascii="仿宋_GB2312" w:hAnsi="仿宋_GB2312" w:cs="仿宋_GB2312" w:eastAsia="仿宋_GB2312"/>
        </w:rPr>
        <w:t>详见附件：响应实施方案.docx</w:t>
      </w:r>
    </w:p>
    <w:p>
      <w:pPr>
        <w:pStyle w:val="null3"/>
        <w:ind w:firstLine="960"/>
      </w:pPr>
      <w:r>
        <w:rPr>
          <w:rFonts w:ascii="仿宋_GB2312" w:hAnsi="仿宋_GB2312" w:cs="仿宋_GB2312" w:eastAsia="仿宋_GB2312"/>
        </w:rPr>
        <w:t>详见附件：选配件报价表.docx</w:t>
      </w:r>
    </w:p>
    <w:p>
      <w:pPr>
        <w:pStyle w:val="null3"/>
        <w:ind w:firstLine="960"/>
      </w:pPr>
      <w:r>
        <w:rPr>
          <w:rFonts w:ascii="仿宋_GB2312" w:hAnsi="仿宋_GB2312" w:cs="仿宋_GB2312" w:eastAsia="仿宋_GB2312"/>
        </w:rPr>
        <w:t>详见附件：组成人员简历表.docx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