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版本号：HXCG2026-08-1620260818002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王峰寨古建筑群--玉皇庙段寨墙抢险加固工程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HXCG2026-08-16</w:t>
      </w:r>
      <w:r>
        <w:br/>
      </w:r>
      <w:r>
        <w:br/>
      </w:r>
      <w:r>
        <w:br/>
      </w:r>
    </w:p>
    <w:p>
      <w:pPr>
        <w:pStyle w:val="null3"/>
        <w:jc w:val="center"/>
        <w:outlineLvl w:val="2"/>
      </w:pPr>
      <w:r>
        <w:rPr>
          <w:rFonts w:ascii="仿宋_GB2312" w:hAnsi="仿宋_GB2312" w:cs="仿宋_GB2312" w:eastAsia="仿宋_GB2312"/>
          <w:sz w:val="28"/>
          <w:b/>
        </w:rPr>
        <w:t>韩城市文化和旅游局</w:t>
      </w:r>
    </w:p>
    <w:p>
      <w:pPr>
        <w:pStyle w:val="null3"/>
        <w:jc w:val="center"/>
        <w:outlineLvl w:val="2"/>
      </w:pPr>
      <w:r>
        <w:rPr>
          <w:rFonts w:ascii="仿宋_GB2312" w:hAnsi="仿宋_GB2312" w:cs="仿宋_GB2312" w:eastAsia="仿宋_GB2312"/>
          <w:sz w:val="28"/>
          <w:b/>
        </w:rPr>
        <w:t>横信项目管理有限公司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横信项目管理有限公司</w:t>
      </w:r>
      <w:r>
        <w:rPr>
          <w:rFonts w:ascii="仿宋_GB2312" w:hAnsi="仿宋_GB2312" w:cs="仿宋_GB2312" w:eastAsia="仿宋_GB2312"/>
        </w:rPr>
        <w:t>（以下简称“代理机构”）受</w:t>
      </w:r>
      <w:r>
        <w:rPr>
          <w:rFonts w:ascii="仿宋_GB2312" w:hAnsi="仿宋_GB2312" w:cs="仿宋_GB2312" w:eastAsia="仿宋_GB2312"/>
        </w:rPr>
        <w:t>韩城市文化和旅游局</w:t>
      </w:r>
      <w:r>
        <w:rPr>
          <w:rFonts w:ascii="仿宋_GB2312" w:hAnsi="仿宋_GB2312" w:cs="仿宋_GB2312" w:eastAsia="仿宋_GB2312"/>
        </w:rPr>
        <w:t>委托，拟对</w:t>
      </w:r>
      <w:r>
        <w:rPr>
          <w:rFonts w:ascii="仿宋_GB2312" w:hAnsi="仿宋_GB2312" w:cs="仿宋_GB2312" w:eastAsia="仿宋_GB2312"/>
        </w:rPr>
        <w:t>王峰寨古建筑群--玉皇庙段寨墙抢险加固工程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HXCG2026-08-16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王峰寨古建筑群--玉皇庙段寨墙抢险加固工程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王峰寨古建筑群--玉皇庙段寨墙抢险加固工程，包括补砌坍塌墙段，保养东墙渗雨处；完善排水，疏通两孔，增设排水沟门及挑头沟嘴子。（具体详见竞争性磋商文件、图纸及工程量清单）。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采购包1（王峰寨古建筑群--玉皇庙段寨墙抢险加固工程）：属于专门面向中小企业采购。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企业法人提供营业执照、组织机构代码证、税务登记证（或统一社会信用代码的营业执照）；事业法人应提供事业单位法人证；其他组织应提供合法证明文件；自然人提供身份证；</w:t>
      </w:r>
    </w:p>
    <w:p>
      <w:pPr>
        <w:pStyle w:val="null3"/>
      </w:pPr>
      <w:r>
        <w:rPr>
          <w:rFonts w:ascii="仿宋_GB2312" w:hAnsi="仿宋_GB2312" w:cs="仿宋_GB2312" w:eastAsia="仿宋_GB2312"/>
        </w:rPr>
        <w:t>2、供应商授权合法的人员参加投标全过程：法定代表人直接参加磋商的，须出具法定代表人身份证明及法定代表人身份证；法定代表人授权代表参加磋商的，须出具法定代表人授权书及授权代表身份证；</w:t>
      </w:r>
    </w:p>
    <w:p>
      <w:pPr>
        <w:pStyle w:val="null3"/>
      </w:pPr>
      <w:r>
        <w:rPr>
          <w:rFonts w:ascii="仿宋_GB2312" w:hAnsi="仿宋_GB2312" w:cs="仿宋_GB2312" w:eastAsia="仿宋_GB2312"/>
        </w:rPr>
        <w:t>3、企业资质：供应商须具备文物保护工程施工二级及以上资质且具备有效的安全生产许可证；</w:t>
      </w:r>
    </w:p>
    <w:p>
      <w:pPr>
        <w:pStyle w:val="null3"/>
      </w:pPr>
      <w:r>
        <w:rPr>
          <w:rFonts w:ascii="仿宋_GB2312" w:hAnsi="仿宋_GB2312" w:cs="仿宋_GB2312" w:eastAsia="仿宋_GB2312"/>
        </w:rPr>
        <w:t>4、项目经理资质和专业要求：委派项目经理须具备文物保护工程责任工程师证书，且无在建项目（提供承诺书）；</w:t>
      </w:r>
    </w:p>
    <w:p>
      <w:pPr>
        <w:pStyle w:val="null3"/>
      </w:pPr>
      <w:r>
        <w:rPr>
          <w:rFonts w:ascii="仿宋_GB2312" w:hAnsi="仿宋_GB2312" w:cs="仿宋_GB2312" w:eastAsia="仿宋_GB2312"/>
        </w:rPr>
        <w:t>5、财务状况报告：提供2025年度的财务会计报告（至少包括资产负债表和利润表，成立时间至提交首次响应文件截止时间不足一年的可提供成立后任意时段的资产负债表），或开标前三个月内基本开户银行出具的资信证明（附基本存款账户信息）；</w:t>
      </w:r>
    </w:p>
    <w:p>
      <w:pPr>
        <w:pStyle w:val="null3"/>
      </w:pPr>
      <w:r>
        <w:rPr>
          <w:rFonts w:ascii="仿宋_GB2312" w:hAnsi="仿宋_GB2312" w:cs="仿宋_GB2312" w:eastAsia="仿宋_GB2312"/>
        </w:rPr>
        <w:t>6、税收缴纳证明：提供2026年1月1日至今已缴纳的至少一个月的纳税证明或完税证明（增值税或企业所得税），依法免税的单位应提供相关证明材料；</w:t>
      </w:r>
    </w:p>
    <w:p>
      <w:pPr>
        <w:pStyle w:val="null3"/>
      </w:pPr>
      <w:r>
        <w:rPr>
          <w:rFonts w:ascii="仿宋_GB2312" w:hAnsi="仿宋_GB2312" w:cs="仿宋_GB2312" w:eastAsia="仿宋_GB2312"/>
        </w:rPr>
        <w:t>7、社会保障资金缴纳证明：提供2026年1月1日至今已缴存的至少一个月的社会保障资金缴存单据或社保机构开具的社会保险参保缴费情况证明或其他缴费凭证，依法不需要缴纳社会保障资金的单位应提供相关证明材料；</w:t>
      </w:r>
    </w:p>
    <w:p>
      <w:pPr>
        <w:pStyle w:val="null3"/>
      </w:pPr>
      <w:r>
        <w:rPr>
          <w:rFonts w:ascii="仿宋_GB2312" w:hAnsi="仿宋_GB2312" w:cs="仿宋_GB2312" w:eastAsia="仿宋_GB2312"/>
        </w:rPr>
        <w:t>8、信用记录：供应商不得为“信用中国”网站（www.creditchina.gov.cn）中列入失信被执行人和重大税收违法案件当事人名单，不得为中国政府采购网（www.ccgp.gov.cn）政府采购严重违法失信行为记录名单；</w:t>
      </w:r>
    </w:p>
    <w:p>
      <w:pPr>
        <w:pStyle w:val="null3"/>
      </w:pPr>
      <w:r>
        <w:rPr>
          <w:rFonts w:ascii="仿宋_GB2312" w:hAnsi="仿宋_GB2312" w:cs="仿宋_GB2312" w:eastAsia="仿宋_GB2312"/>
        </w:rPr>
        <w:t>9、参加政府采购活动前3年内，在经营活动中没有重大违法记录：供应商参加政府采购活动前三年内在经营活动中没有重大违法记录的书面承诺；</w:t>
      </w:r>
    </w:p>
    <w:p>
      <w:pPr>
        <w:pStyle w:val="null3"/>
      </w:pPr>
      <w:r>
        <w:rPr>
          <w:rFonts w:ascii="仿宋_GB2312" w:hAnsi="仿宋_GB2312" w:cs="仿宋_GB2312" w:eastAsia="仿宋_GB2312"/>
        </w:rPr>
        <w:t>10、承诺：供应商须提供具有履行合同所必需的设备和专业技术能力的承诺；</w:t>
      </w:r>
    </w:p>
    <w:p>
      <w:pPr>
        <w:pStyle w:val="null3"/>
      </w:pPr>
      <w:r>
        <w:rPr>
          <w:rFonts w:ascii="仿宋_GB2312" w:hAnsi="仿宋_GB2312" w:cs="仿宋_GB2312" w:eastAsia="仿宋_GB2312"/>
        </w:rPr>
        <w:t>11、本项目不接受联合体磋商：本项目不接受联合体磋商（提供书面声明材料）。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陕西省渭南市韩城市黄河大街和五纬路十字孵化基地3楼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0913-5308580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横信项目管理有限公司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西安市经济技术开发区凤城十二路与文景路交汇处首创国际城八期64栋楼307室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18091783671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采购包1：1,075,235.42元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代理服务费收费标准：代理服务费金额按照“ 国家计委关于印发《招标代理服务收费管理暂行办法的通知》（计价格【2002】1980号）”文中规定的收费标准向采购代理机构一次性全额支付。 代理服务费账号信息如下： 公司名称：横信项目管理有限公司 开户行：中国农业银行股份有限公司西安市长安区航开路支行 账号：26156801040003827</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韩城市文化和旅游局</w:t>
      </w:r>
      <w:r>
        <w:rPr>
          <w:rFonts w:ascii="仿宋_GB2312" w:hAnsi="仿宋_GB2312" w:cs="仿宋_GB2312" w:eastAsia="仿宋_GB2312"/>
        </w:rPr>
        <w:t>和</w:t>
      </w:r>
      <w:r>
        <w:rPr>
          <w:rFonts w:ascii="仿宋_GB2312" w:hAnsi="仿宋_GB2312" w:cs="仿宋_GB2312" w:eastAsia="仿宋_GB2312"/>
        </w:rPr>
        <w:t>横信项目管理有限公司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横信项目管理有限公司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横信项目管理有限公司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符合国家及行业规定的“合格”标准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联系人：于工</w:t>
      </w:r>
    </w:p>
    <w:p>
      <w:pPr>
        <w:pStyle w:val="null3"/>
      </w:pPr>
      <w:r>
        <w:rPr>
          <w:rFonts w:ascii="仿宋_GB2312" w:hAnsi="仿宋_GB2312" w:cs="仿宋_GB2312" w:eastAsia="仿宋_GB2312"/>
        </w:rPr>
        <w:t>联系电话：18091783671</w:t>
      </w:r>
    </w:p>
    <w:p>
      <w:pPr>
        <w:pStyle w:val="null3"/>
      </w:pPr>
      <w:r>
        <w:rPr>
          <w:rFonts w:ascii="仿宋_GB2312" w:hAnsi="仿宋_GB2312" w:cs="仿宋_GB2312" w:eastAsia="仿宋_GB2312"/>
        </w:rPr>
        <w:t>地址：西安市经济技术开发区凤城十二路与文景路交汇处首创国际城八期64栋楼307室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1,075,235.42</w:t>
      </w:r>
    </w:p>
    <w:p>
      <w:pPr>
        <w:pStyle w:val="null3"/>
      </w:pPr>
      <w:r>
        <w:rPr>
          <w:rFonts w:ascii="仿宋_GB2312" w:hAnsi="仿宋_GB2312" w:cs="仿宋_GB2312" w:eastAsia="仿宋_GB2312"/>
        </w:rPr>
        <w:t>采购包最高限价（元）: 1,071,555.00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王峰寨古建筑群--玉皇庙段寨墙抢险加固工程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1,075,235.42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标的名称：王峰寨古建筑群--玉皇庙段寨墙抢险加固工程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详见附件</w:t>
            </w:r>
            <w:r>
              <w:rPr>
                <w:rFonts w:ascii="仿宋_GB2312" w:hAnsi="仿宋_GB2312" w:cs="仿宋_GB2312" w:eastAsia="仿宋_GB2312"/>
                <w:sz w:val="21"/>
              </w:rPr>
              <w:t>“工程量清单”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符合国家及行业规定的“合格”标准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1.本项目工期：3个月。 2.磋商最后报价，采购内容无实质性变更的情况，不得超过第一次磋商报价，各供应商最后报价中所有报价 (与最后磋商报价比例一致) 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企业法人提供营业执照、组织机构代码证、税务登记证（或统一社会信用代码的营业执照）；事业法人应提供事业单位法人证；其他组织应提供合法证明文件；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法定代表人直接参加磋商的，须出具法定代表人身份证明及法定代表人身份证；法定代表人授权代表参加磋商的，须出具法定代表人授权书及授权代表身份证；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授权委托书.docx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供应商须具备文物保护工程施工二级及以上资质且具备有效的安全生产许可证；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项目经理资质和专业要求</w:t>
            </w:r>
          </w:p>
        </w:tc>
        <w:tc>
          <w:tcPr>
            <w:tcW w:type="dxa" w:w="3322"/>
          </w:tcPr>
          <w:p>
            <w:pPr>
              <w:pStyle w:val="null3"/>
            </w:pPr>
            <w:r>
              <w:rPr>
                <w:rFonts w:ascii="仿宋_GB2312" w:hAnsi="仿宋_GB2312" w:cs="仿宋_GB2312" w:eastAsia="仿宋_GB2312"/>
              </w:rPr>
              <w:t>委派项目经理须具备文物保护工程责任工程师证书，且无在建项目（提供承诺书）；</w:t>
            </w:r>
          </w:p>
        </w:tc>
        <w:tc>
          <w:tcPr>
            <w:tcW w:type="dxa" w:w="1661"/>
          </w:tcPr>
          <w:p>
            <w:pPr>
              <w:pStyle w:val="null3"/>
            </w:pPr>
            <w:r>
              <w:rPr>
                <w:rFonts w:ascii="仿宋_GB2312" w:hAnsi="仿宋_GB2312" w:cs="仿宋_GB2312" w:eastAsia="仿宋_GB2312"/>
              </w:rPr>
              <w:t>供应商应提交的相关资格证明材料 无在建承诺书.docx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会计报告（至少包括资产负债表和利润表，成立时间至提交首次响应文件截止时间不足一年的可提供成立后任意时段的资产负债表），或开标前三个月内基本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提供2026年1月1日至今已缴纳的至少一个月的纳税证明或完税证明（增值税或企业所得税），依法免税的单位应提供相关证明材料；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提供2026年1月1日至今已缴存的至少一个月的社会保障资金缴存单据或社保机构开具的社会保险参保缴费情况证明或其他缴费凭证，依法不需要缴纳社会保障资金的单位应提供相关证明材料；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供应商不得为“信用中国”网站（www.creditchina.gov.cn）中列入失信被执行人和重大税收违法案件当事人名单，不得为中国政府采购网（www.ccgp.gov.cn）政府采购严重违法失信行为记录名单；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供应商参加政府采购活动前三年内在经营活动中没有重大违法记录的书面承诺；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 完全一致： （1）竞争性磋商响应文件封面 （2）响应函 （3）授权委托书\身份证明</w:t>
            </w:r>
          </w:p>
        </w:tc>
        <w:tc>
          <w:tcPr>
            <w:tcW w:type="dxa" w:w="1661"/>
          </w:tcPr>
          <w:p>
            <w:pPr>
              <w:pStyle w:val="null3"/>
            </w:pPr>
            <w:r>
              <w:rPr>
                <w:rFonts w:ascii="仿宋_GB2312" w:hAnsi="仿宋_GB2312" w:cs="仿宋_GB2312" w:eastAsia="仿宋_GB2312"/>
              </w:rPr>
              <w:t>响应文件封面 授权委托书.docx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工期、质量标准</w:t>
            </w:r>
          </w:p>
        </w:tc>
        <w:tc>
          <w:tcPr>
            <w:tcW w:type="dxa" w:w="3322"/>
          </w:tcPr>
          <w:p>
            <w:pPr>
              <w:pStyle w:val="null3"/>
            </w:pPr>
            <w:r>
              <w:rPr>
                <w:rFonts w:ascii="仿宋_GB2312" w:hAnsi="仿宋_GB2312" w:cs="仿宋_GB2312" w:eastAsia="仿宋_GB2312"/>
              </w:rPr>
              <w:t>应满足磋商文件中要求的工期、质量标准</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 磋商文件要求 （2）报价符合唯一性要求 （3）未超出采购预算或最高限价</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已标价工程量清单 供应商类似项目业绩一览表.docx 中小企业声明函 授权委托书.docx 技术服务合同条款及其他商务要求应答表 供应商应提交的相关资格证明材料 施工组织设计.docx 强制优先采购产品承诺函 响应文件封面 项目管理机构组成表 供应商认为有必要补充说明的事项.docx 残疾人福利性单位声明函 报价函 标的清单 供应商类似项目业绩一览表 无在建承诺书.docx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文物保护施工方案与技术措施</w:t>
            </w:r>
          </w:p>
        </w:tc>
        <w:tc>
          <w:tcPr>
            <w:tcW w:type="dxa" w:w="2492"/>
          </w:tcPr>
          <w:p>
            <w:pPr>
              <w:pStyle w:val="null3"/>
            </w:pPr>
            <w:r>
              <w:rPr>
                <w:rFonts w:ascii="仿宋_GB2312" w:hAnsi="仿宋_GB2312" w:cs="仿宋_GB2312" w:eastAsia="仿宋_GB2312"/>
              </w:rPr>
              <w:t>1、评审内容：①文物保护施工方案及准备；②文物保护施工次序及相关技术措施；③工程重难点分析及解决措施；④工程进度安排及保障措施；⑤文物保护质量通病防治措施等。 2、评审标准： ①完善性：方案全面，对评审内容中的各项要求有详细阐述； ②可实施性：切合本项目实际情况，提出步骤清晰、合理的方案；③针对性：方案能够紧扣项目实际情况，内容科学合理。 上述评审内容全部满足评审标准得15分，评审内容缺项每项扣3分，每有一项评审内容存在缺陷，扣1分，扣完为止。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施工部署及总平面布置</w:t>
            </w:r>
          </w:p>
        </w:tc>
        <w:tc>
          <w:tcPr>
            <w:tcW w:type="dxa" w:w="2492"/>
          </w:tcPr>
          <w:p>
            <w:pPr>
              <w:pStyle w:val="null3"/>
            </w:pPr>
            <w:r>
              <w:rPr>
                <w:rFonts w:ascii="仿宋_GB2312" w:hAnsi="仿宋_GB2312" w:cs="仿宋_GB2312" w:eastAsia="仿宋_GB2312"/>
              </w:rPr>
              <w:t>1、评审内容：①施工总平面布置；②施工分区与分段；③施工总体思路与顺序等。 2、评审标准： ①完善性：方案全面，对评审内容中的各项要求有详细阐述； ②可实施性：切合本项目实际情况，提出步骤清晰、合理的方案；③针对性：方案能够紧扣项目实际情况，内容科学合理。 上述评审内容全部满足评审标准得9分，评审内容缺项每项扣3分，每有一项评审内容存在缺陷，扣1分，扣完为止。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确保工程质量安全的技术组织措施</w:t>
            </w:r>
          </w:p>
        </w:tc>
        <w:tc>
          <w:tcPr>
            <w:tcW w:type="dxa" w:w="2492"/>
          </w:tcPr>
          <w:p>
            <w:pPr>
              <w:pStyle w:val="null3"/>
            </w:pPr>
            <w:r>
              <w:rPr>
                <w:rFonts w:ascii="仿宋_GB2312" w:hAnsi="仿宋_GB2312" w:cs="仿宋_GB2312" w:eastAsia="仿宋_GB2312"/>
              </w:rPr>
              <w:t>1、评审内容： ①安全质量管理目标；②安全管理体系及应急预案；③施工质量保障措施；④施工检测及工序交验方案；⑤安全施工保证措施等。2、评审标准： ①完善性：方案全面，对评审内容中的各项要求有详细阐述； ②可实施性：切合本项目实际情况，提出步骤清晰、合理的方案；③针对性：方案能够紧扣项目实际情况，内容科学合理。 上述评审内容全部满足评审标准得10分，评审内容缺项每项扣2分，每有一项评审内容存在缺陷，扣1分，扣完为止。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1、评审内容：①环境保护管理体系；②环保控制措施，包括污染物及废弃物处理的排放、噪音控制、防尘及扬尘的控制措施；③文明施工，包括施工现场管理、材料及机具堆放、检查措施等。2、评审标准： ①完善性：方案全面，对评审内容中的各项要求有详细阐述；②可实施性：切合本项目实际情况，提出步骤清晰、合理的方案；③针对性：方案能够紧扣项目实际情况，内容科学合理。 上述评审内容全部满足评审标准得9分，评审内容缺项每项扣3分，每有一项评审内容存在缺陷，扣1分，扣完为止。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项目人员配备情况</w:t>
            </w:r>
          </w:p>
        </w:tc>
        <w:tc>
          <w:tcPr>
            <w:tcW w:type="dxa" w:w="2492"/>
          </w:tcPr>
          <w:p>
            <w:pPr>
              <w:pStyle w:val="null3"/>
            </w:pPr>
            <w:r>
              <w:rPr>
                <w:rFonts w:ascii="仿宋_GB2312" w:hAnsi="仿宋_GB2312" w:cs="仿宋_GB2312" w:eastAsia="仿宋_GB2312"/>
              </w:rPr>
              <w:t>项目组织机构健全，所配备项目经理有1项类似项目业绩（近三年2023 年8月1日至今）的得 2 分；1.以合同协议书复印件或扫描件为准。 2.时间以合同协议书签订时间为准），最高得2分； 除项目经理外，提供施工员、材料员、资料员的职业培训合格证书（提供有效证书复印件及身份证复印件并加盖供应商公章），每提供 1人得 1 分，最高得3分。 注：企业业绩与项目经理业绩可同时赋分，未提供者不得分，本项共5分。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提供2021年08月01日以来承担过类似项目业绩。每有1项得2分，最多得 10分。 注：1.以合同协议书复印件或扫描件为准。 2.时间以合同协议书签订时间为准。3.未提供或不清晰导致无法识别的不予以认可。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1、评审内容：①文物保护维修服务承诺；②保修措施和响应时限；③紧急情况应急维护；④发生质量问题后的补救措施等。 2、评审标准： ①完善性：方案全面，对评审内容中的各项要求有详细阐述； ②可实施性：切合本项目实际情况，提出步骤清晰、合理的方案；③针对性：方案能够紧扣项目实际情况，内容科学合理。 上述评审内容全部满足评审标准得12分，评审内容缺项每项扣3分，每有一项评审内容存在缺陷，扣1分，扣完为止。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 的供应商的价格为磋商基准价，其价格得分为满分。其他供应商的价 格得分统一按照下列公式计算： 磋商报价得分=（磋商基准价/最终磋商报价） ×价格权值（30%）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详见附件：无在建承诺书.docx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