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56DE2D">
      <w:pPr>
        <w:autoSpaceDE w:val="0"/>
        <w:autoSpaceDN w:val="0"/>
        <w:adjustRightInd w:val="0"/>
        <w:snapToGrid w:val="0"/>
        <w:spacing w:line="360" w:lineRule="auto"/>
        <w:jc w:val="left"/>
        <w:rPr>
          <w:rFonts w:hint="eastAsia" w:ascii="宋体" w:hAnsi="宋体" w:cs="宋体"/>
          <w:b/>
          <w:bCs/>
          <w:sz w:val="30"/>
          <w:szCs w:val="30"/>
          <w:lang w:val="zh-CN"/>
        </w:rPr>
      </w:pPr>
      <w:r>
        <w:rPr>
          <w:rFonts w:hint="eastAsia" w:ascii="宋体" w:hAnsi="宋体" w:cs="宋体"/>
          <w:b/>
          <w:bCs/>
          <w:sz w:val="30"/>
          <w:szCs w:val="30"/>
          <w:lang w:val="zh-CN"/>
        </w:rPr>
        <w:t>政府采购项目</w:t>
      </w:r>
    </w:p>
    <w:p w14:paraId="45964D52">
      <w:pPr>
        <w:tabs>
          <w:tab w:val="left" w:pos="5670"/>
        </w:tabs>
        <w:autoSpaceDE w:val="0"/>
        <w:autoSpaceDN w:val="0"/>
        <w:adjustRightInd w:val="0"/>
        <w:snapToGrid w:val="0"/>
        <w:spacing w:line="480" w:lineRule="auto"/>
        <w:rPr>
          <w:rFonts w:hint="eastAsia" w:ascii="宋体" w:hAnsi="宋体" w:cs="宋体"/>
          <w:b/>
          <w:sz w:val="48"/>
          <w:szCs w:val="36"/>
        </w:rPr>
      </w:pPr>
      <w:r>
        <w:rPr>
          <w:rFonts w:hint="eastAsia" w:ascii="宋体" w:hAnsi="宋体" w:cs="宋体"/>
          <w:b/>
          <w:bCs/>
          <w:sz w:val="30"/>
          <w:szCs w:val="30"/>
          <w:lang w:val="zh-CN"/>
        </w:rPr>
        <w:t>采购项目编号：SXZH2026-HW-046</w:t>
      </w:r>
    </w:p>
    <w:p w14:paraId="32212EFD">
      <w:pPr>
        <w:tabs>
          <w:tab w:val="left" w:pos="5670"/>
        </w:tabs>
        <w:autoSpaceDE w:val="0"/>
        <w:autoSpaceDN w:val="0"/>
        <w:adjustRightInd w:val="0"/>
        <w:snapToGrid w:val="0"/>
        <w:spacing w:line="480" w:lineRule="auto"/>
        <w:jc w:val="center"/>
        <w:rPr>
          <w:rFonts w:hint="eastAsia" w:ascii="宋体" w:hAnsi="宋体" w:cs="宋体"/>
          <w:b/>
          <w:bCs/>
          <w:szCs w:val="21"/>
          <w:lang w:val="zh-CN"/>
        </w:rPr>
      </w:pPr>
      <w:r>
        <w:rPr>
          <w:rFonts w:hint="eastAsia" w:ascii="宋体" w:hAnsi="宋体" w:cs="宋体"/>
          <w:b/>
          <w:sz w:val="48"/>
          <w:szCs w:val="36"/>
        </w:rPr>
        <w:t>女子监狱机房不间断电源电池组更换项目</w:t>
      </w:r>
    </w:p>
    <w:p w14:paraId="3E145E7A">
      <w:pPr>
        <w:tabs>
          <w:tab w:val="left" w:pos="5670"/>
        </w:tabs>
        <w:autoSpaceDE w:val="0"/>
        <w:autoSpaceDN w:val="0"/>
        <w:adjustRightInd w:val="0"/>
        <w:snapToGrid w:val="0"/>
        <w:spacing w:line="480" w:lineRule="auto"/>
        <w:jc w:val="center"/>
        <w:rPr>
          <w:rFonts w:hint="eastAsia" w:ascii="宋体" w:hAnsi="宋体" w:cs="宋体"/>
          <w:b/>
          <w:bCs/>
          <w:sz w:val="72"/>
          <w:szCs w:val="72"/>
          <w:lang w:val="zh-CN"/>
        </w:rPr>
      </w:pPr>
    </w:p>
    <w:p w14:paraId="2E793B7F">
      <w:pPr>
        <w:tabs>
          <w:tab w:val="left" w:pos="5670"/>
        </w:tabs>
        <w:autoSpaceDE w:val="0"/>
        <w:autoSpaceDN w:val="0"/>
        <w:adjustRightInd w:val="0"/>
        <w:snapToGrid w:val="0"/>
        <w:spacing w:line="480" w:lineRule="auto"/>
        <w:jc w:val="center"/>
        <w:rPr>
          <w:rFonts w:hint="eastAsia" w:ascii="宋体" w:hAnsi="宋体" w:cs="宋体"/>
          <w:b/>
          <w:bCs/>
          <w:sz w:val="72"/>
          <w:szCs w:val="72"/>
        </w:rPr>
      </w:pPr>
      <w:r>
        <w:rPr>
          <w:rFonts w:hint="eastAsia" w:ascii="宋体" w:hAnsi="宋体" w:cs="宋体"/>
          <w:b/>
          <w:bCs/>
          <w:sz w:val="72"/>
          <w:szCs w:val="72"/>
          <w:lang w:val="zh-CN"/>
        </w:rPr>
        <w:t>竞争性谈判文</w:t>
      </w:r>
      <w:r>
        <w:rPr>
          <w:rFonts w:hint="eastAsia" w:ascii="宋体" w:hAnsi="宋体" w:cs="宋体"/>
          <w:b/>
          <w:bCs/>
          <w:sz w:val="72"/>
          <w:szCs w:val="72"/>
        </w:rPr>
        <w:t>件</w:t>
      </w:r>
    </w:p>
    <w:p w14:paraId="7BEC546B">
      <w:pPr>
        <w:pStyle w:val="10"/>
        <w:rPr>
          <w:rFonts w:hint="eastAsia" w:ascii="宋体" w:hAnsi="宋体" w:cs="宋体"/>
        </w:rPr>
      </w:pPr>
    </w:p>
    <w:p w14:paraId="346F928B">
      <w:pPr>
        <w:tabs>
          <w:tab w:val="left" w:pos="5670"/>
        </w:tabs>
        <w:autoSpaceDE w:val="0"/>
        <w:autoSpaceDN w:val="0"/>
        <w:adjustRightInd w:val="0"/>
        <w:snapToGrid w:val="0"/>
        <w:spacing w:line="480" w:lineRule="auto"/>
        <w:jc w:val="center"/>
        <w:rPr>
          <w:rFonts w:hint="eastAsia" w:ascii="宋体" w:hAnsi="宋体" w:cs="宋体"/>
        </w:rPr>
      </w:pPr>
    </w:p>
    <w:p w14:paraId="3755BA22">
      <w:pPr>
        <w:tabs>
          <w:tab w:val="left" w:pos="5670"/>
        </w:tabs>
        <w:autoSpaceDE w:val="0"/>
        <w:autoSpaceDN w:val="0"/>
        <w:adjustRightInd w:val="0"/>
        <w:snapToGrid w:val="0"/>
        <w:spacing w:line="480" w:lineRule="auto"/>
        <w:ind w:firstLine="602" w:firstLineChars="200"/>
        <w:rPr>
          <w:rFonts w:hint="eastAsia" w:ascii="宋体" w:hAnsi="宋体" w:cs="宋体"/>
          <w:b/>
          <w:bCs/>
          <w:sz w:val="30"/>
          <w:szCs w:val="30"/>
        </w:rPr>
      </w:pPr>
    </w:p>
    <w:p w14:paraId="6ED289CF">
      <w:pPr>
        <w:tabs>
          <w:tab w:val="left" w:pos="5670"/>
        </w:tabs>
        <w:autoSpaceDE w:val="0"/>
        <w:autoSpaceDN w:val="0"/>
        <w:adjustRightInd w:val="0"/>
        <w:snapToGrid w:val="0"/>
        <w:spacing w:line="480" w:lineRule="auto"/>
        <w:rPr>
          <w:rFonts w:hint="eastAsia" w:ascii="宋体" w:hAnsi="宋体" w:cs="宋体"/>
          <w:b/>
          <w:bCs/>
          <w:sz w:val="30"/>
          <w:szCs w:val="30"/>
        </w:rPr>
      </w:pPr>
    </w:p>
    <w:p w14:paraId="1DFDB3C7">
      <w:pPr>
        <w:tabs>
          <w:tab w:val="left" w:pos="5670"/>
        </w:tabs>
        <w:autoSpaceDE w:val="0"/>
        <w:autoSpaceDN w:val="0"/>
        <w:adjustRightInd w:val="0"/>
        <w:snapToGrid w:val="0"/>
        <w:spacing w:line="480" w:lineRule="auto"/>
        <w:ind w:firstLine="1506" w:firstLineChars="500"/>
        <w:rPr>
          <w:rFonts w:hint="eastAsia" w:ascii="宋体" w:hAnsi="宋体" w:cs="宋体"/>
          <w:b/>
          <w:bCs/>
          <w:sz w:val="30"/>
          <w:szCs w:val="30"/>
        </w:rPr>
      </w:pPr>
      <w:r>
        <w:rPr>
          <w:rFonts w:hint="eastAsia" w:ascii="宋体" w:hAnsi="宋体" w:cs="宋体"/>
          <w:b/>
          <w:bCs/>
          <w:sz w:val="30"/>
          <w:szCs w:val="30"/>
        </w:rPr>
        <w:t>采   购   人：陕西省女子监狱</w:t>
      </w:r>
    </w:p>
    <w:p w14:paraId="28E68A39">
      <w:pPr>
        <w:tabs>
          <w:tab w:val="left" w:pos="5670"/>
        </w:tabs>
        <w:autoSpaceDE w:val="0"/>
        <w:autoSpaceDN w:val="0"/>
        <w:adjustRightInd w:val="0"/>
        <w:snapToGrid w:val="0"/>
        <w:spacing w:line="480" w:lineRule="auto"/>
        <w:ind w:firstLine="1506" w:firstLineChars="500"/>
        <w:rPr>
          <w:rFonts w:hint="eastAsia" w:ascii="宋体" w:hAnsi="宋体" w:cs="宋体"/>
          <w:b/>
          <w:bCs/>
          <w:sz w:val="30"/>
          <w:szCs w:val="30"/>
          <w:lang w:val="zh-CN"/>
        </w:rPr>
      </w:pPr>
      <w:r>
        <w:rPr>
          <w:rFonts w:hint="eastAsia" w:ascii="宋体" w:hAnsi="宋体" w:cs="宋体"/>
          <w:b/>
          <w:bCs/>
          <w:sz w:val="30"/>
          <w:szCs w:val="30"/>
        </w:rPr>
        <w:t>采购代理机构</w:t>
      </w:r>
      <w:r>
        <w:rPr>
          <w:rFonts w:hint="eastAsia" w:ascii="宋体" w:hAnsi="宋体" w:cs="宋体"/>
          <w:b/>
          <w:bCs/>
          <w:sz w:val="30"/>
          <w:szCs w:val="30"/>
          <w:lang w:val="zh-CN"/>
        </w:rPr>
        <w:t>：陕西中辉招标造价咨询有限公司</w:t>
      </w:r>
    </w:p>
    <w:p w14:paraId="2F5177A3">
      <w:pPr>
        <w:ind w:firstLine="1506" w:firstLineChars="500"/>
        <w:rPr>
          <w:rFonts w:hint="eastAsia" w:ascii="宋体" w:hAnsi="宋体" w:cs="宋体"/>
          <w:b/>
          <w:bCs/>
          <w:sz w:val="32"/>
          <w:szCs w:val="32"/>
        </w:rPr>
      </w:pPr>
      <w:r>
        <w:rPr>
          <w:rFonts w:hint="eastAsia" w:ascii="宋体" w:hAnsi="宋体" w:cs="宋体"/>
          <w:b/>
          <w:bCs/>
          <w:sz w:val="30"/>
          <w:szCs w:val="30"/>
        </w:rPr>
        <w:t>日        期</w:t>
      </w:r>
      <w:r>
        <w:rPr>
          <w:rFonts w:hint="eastAsia" w:ascii="宋体" w:hAnsi="宋体" w:cs="宋体"/>
          <w:b/>
          <w:bCs/>
          <w:sz w:val="30"/>
          <w:szCs w:val="30"/>
          <w:lang w:val="zh-CN"/>
        </w:rPr>
        <w:t>：二〇二</w:t>
      </w:r>
      <w:r>
        <w:rPr>
          <w:rFonts w:hint="eastAsia" w:ascii="宋体" w:hAnsi="宋体" w:cs="宋体"/>
          <w:b/>
          <w:bCs/>
          <w:sz w:val="30"/>
          <w:szCs w:val="30"/>
        </w:rPr>
        <w:t>六</w:t>
      </w:r>
      <w:r>
        <w:rPr>
          <w:rFonts w:hint="eastAsia" w:ascii="宋体" w:hAnsi="宋体" w:cs="宋体"/>
          <w:b/>
          <w:bCs/>
          <w:sz w:val="30"/>
          <w:szCs w:val="30"/>
          <w:lang w:val="zh-CN"/>
        </w:rPr>
        <w:t>年</w:t>
      </w:r>
      <w:r>
        <w:rPr>
          <w:rFonts w:hint="eastAsia" w:ascii="宋体" w:hAnsi="宋体" w:cs="宋体"/>
          <w:b/>
          <w:bCs/>
          <w:sz w:val="30"/>
          <w:szCs w:val="30"/>
        </w:rPr>
        <w:t>八</w:t>
      </w:r>
      <w:r>
        <w:rPr>
          <w:rFonts w:hint="eastAsia" w:ascii="宋体" w:hAnsi="宋体" w:cs="宋体"/>
          <w:b/>
          <w:bCs/>
          <w:sz w:val="30"/>
          <w:szCs w:val="30"/>
          <w:lang w:val="zh-CN"/>
        </w:rPr>
        <w:t>月</w:t>
      </w:r>
    </w:p>
    <w:p w14:paraId="63677444">
      <w:pPr>
        <w:adjustRightInd w:val="0"/>
        <w:snapToGrid w:val="0"/>
        <w:spacing w:line="480" w:lineRule="auto"/>
        <w:jc w:val="center"/>
        <w:rPr>
          <w:rFonts w:hint="eastAsia" w:ascii="宋体" w:hAnsi="宋体" w:cs="宋体"/>
          <w:b/>
          <w:bCs/>
          <w:sz w:val="28"/>
          <w:szCs w:val="28"/>
        </w:rPr>
      </w:pPr>
    </w:p>
    <w:p w14:paraId="12E43C8F">
      <w:pPr>
        <w:rPr>
          <w:b/>
          <w:bCs/>
          <w:sz w:val="28"/>
          <w:szCs w:val="24"/>
        </w:rPr>
      </w:pPr>
      <w:r>
        <w:rPr>
          <w:rFonts w:hint="eastAsia"/>
          <w:b/>
          <w:bCs/>
          <w:sz w:val="28"/>
          <w:szCs w:val="24"/>
        </w:rPr>
        <w:br w:type="page"/>
      </w:r>
    </w:p>
    <w:p w14:paraId="58F3E3FC">
      <w:pPr>
        <w:jc w:val="center"/>
        <w:rPr>
          <w:b/>
          <w:bCs/>
          <w:sz w:val="28"/>
          <w:szCs w:val="24"/>
        </w:rPr>
      </w:pPr>
      <w:r>
        <w:rPr>
          <w:rFonts w:hint="eastAsia"/>
          <w:b/>
          <w:bCs/>
          <w:sz w:val="28"/>
          <w:szCs w:val="24"/>
        </w:rPr>
        <w:t>目 录</w:t>
      </w:r>
    </w:p>
    <w:p w14:paraId="1F7E1091">
      <w:pPr>
        <w:pStyle w:val="19"/>
        <w:tabs>
          <w:tab w:val="right" w:leader="dot" w:pos="9071"/>
        </w:tabs>
        <w:spacing w:line="360" w:lineRule="auto"/>
        <w:rPr>
          <w:rFonts w:hint="eastAsia" w:ascii="宋体" w:hAnsi="宋体" w:cs="宋体"/>
          <w:sz w:val="24"/>
          <w:szCs w:val="24"/>
        </w:rPr>
      </w:pPr>
      <w:r>
        <w:rPr>
          <w:rFonts w:hint="eastAsia"/>
        </w:rPr>
        <w:fldChar w:fldCharType="begin"/>
      </w:r>
      <w:r>
        <w:rPr>
          <w:rFonts w:hint="eastAsia"/>
        </w:rPr>
        <w:instrText xml:space="preserve">TOC \o "1-1" \h \u </w:instrText>
      </w:r>
      <w:r>
        <w:rPr>
          <w:rFonts w:hint="eastAsia"/>
        </w:rPr>
        <w:fldChar w:fldCharType="separate"/>
      </w:r>
      <w:r>
        <w:fldChar w:fldCharType="begin"/>
      </w:r>
      <w:r>
        <w:instrText xml:space="preserve"> HYPERLINK \l "_Toc16475" </w:instrText>
      </w:r>
      <w:r>
        <w:fldChar w:fldCharType="separate"/>
      </w:r>
      <w:r>
        <w:rPr>
          <w:rFonts w:hint="eastAsia" w:ascii="宋体" w:hAnsi="宋体" w:cs="宋体"/>
          <w:sz w:val="24"/>
          <w:szCs w:val="24"/>
          <w:lang w:val="zh-CN"/>
        </w:rPr>
        <w:t>第一</w:t>
      </w:r>
      <w:r>
        <w:rPr>
          <w:rFonts w:hint="eastAsia" w:ascii="宋体" w:hAnsi="宋体" w:cs="宋体"/>
          <w:sz w:val="24"/>
          <w:szCs w:val="24"/>
        </w:rPr>
        <w:t>章</w:t>
      </w:r>
      <w:r>
        <w:rPr>
          <w:rFonts w:hint="eastAsia" w:ascii="宋体" w:hAnsi="宋体" w:cs="宋体"/>
          <w:sz w:val="24"/>
          <w:szCs w:val="24"/>
          <w:lang w:val="zh-CN"/>
        </w:rPr>
        <w:t xml:space="preserve"> 竞争性谈判公告</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_Toc16475 \h </w:instrText>
      </w:r>
      <w:r>
        <w:rPr>
          <w:rFonts w:hint="eastAsia" w:ascii="宋体" w:hAnsi="宋体" w:cs="宋体"/>
          <w:sz w:val="24"/>
          <w:szCs w:val="24"/>
        </w:rPr>
        <w:fldChar w:fldCharType="separate"/>
      </w:r>
      <w:r>
        <w:rPr>
          <w:rFonts w:hint="eastAsia" w:ascii="宋体" w:hAnsi="宋体" w:cs="宋体"/>
          <w:sz w:val="24"/>
          <w:szCs w:val="24"/>
        </w:rPr>
        <w:t>1</w:t>
      </w:r>
      <w:r>
        <w:rPr>
          <w:rFonts w:hint="eastAsia" w:ascii="宋体" w:hAnsi="宋体" w:cs="宋体"/>
          <w:sz w:val="24"/>
          <w:szCs w:val="24"/>
        </w:rPr>
        <w:fldChar w:fldCharType="end"/>
      </w:r>
      <w:r>
        <w:rPr>
          <w:rFonts w:hint="eastAsia" w:ascii="宋体" w:hAnsi="宋体" w:cs="宋体"/>
          <w:sz w:val="24"/>
          <w:szCs w:val="24"/>
        </w:rPr>
        <w:fldChar w:fldCharType="end"/>
      </w:r>
    </w:p>
    <w:p w14:paraId="424E523C">
      <w:pPr>
        <w:pStyle w:val="19"/>
        <w:tabs>
          <w:tab w:val="right" w:leader="dot" w:pos="9071"/>
        </w:tabs>
        <w:spacing w:line="360" w:lineRule="auto"/>
        <w:rPr>
          <w:rFonts w:hint="eastAsia" w:ascii="宋体" w:hAnsi="宋体" w:cs="宋体"/>
          <w:sz w:val="24"/>
          <w:szCs w:val="24"/>
        </w:rPr>
      </w:pPr>
      <w:r>
        <w:fldChar w:fldCharType="begin"/>
      </w:r>
      <w:r>
        <w:instrText xml:space="preserve"> HYPERLINK \l "_Toc22199" </w:instrText>
      </w:r>
      <w:r>
        <w:fldChar w:fldCharType="separate"/>
      </w:r>
      <w:r>
        <w:rPr>
          <w:rFonts w:hint="eastAsia" w:ascii="宋体" w:hAnsi="宋体" w:cs="宋体"/>
          <w:sz w:val="24"/>
          <w:szCs w:val="24"/>
          <w:lang w:val="zh-CN"/>
        </w:rPr>
        <w:t>第二</w:t>
      </w:r>
      <w:r>
        <w:rPr>
          <w:rFonts w:hint="eastAsia" w:ascii="宋体" w:hAnsi="宋体" w:cs="宋体"/>
          <w:sz w:val="24"/>
          <w:szCs w:val="24"/>
        </w:rPr>
        <w:t>章</w:t>
      </w:r>
      <w:r>
        <w:rPr>
          <w:rFonts w:hint="eastAsia" w:ascii="宋体" w:hAnsi="宋体" w:cs="宋体"/>
          <w:sz w:val="24"/>
          <w:szCs w:val="24"/>
          <w:lang w:val="zh-CN"/>
        </w:rPr>
        <w:t xml:space="preserve"> 供应商须知</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_Toc22199 \h </w:instrText>
      </w:r>
      <w:r>
        <w:rPr>
          <w:rFonts w:hint="eastAsia" w:ascii="宋体" w:hAnsi="宋体" w:cs="宋体"/>
          <w:sz w:val="24"/>
          <w:szCs w:val="24"/>
        </w:rPr>
        <w:fldChar w:fldCharType="separate"/>
      </w:r>
      <w:r>
        <w:rPr>
          <w:rFonts w:hint="eastAsia" w:ascii="宋体" w:hAnsi="宋体" w:cs="宋体"/>
          <w:sz w:val="24"/>
          <w:szCs w:val="24"/>
        </w:rPr>
        <w:t>5</w:t>
      </w:r>
      <w:r>
        <w:rPr>
          <w:rFonts w:hint="eastAsia" w:ascii="宋体" w:hAnsi="宋体" w:cs="宋体"/>
          <w:sz w:val="24"/>
          <w:szCs w:val="24"/>
        </w:rPr>
        <w:fldChar w:fldCharType="end"/>
      </w:r>
      <w:r>
        <w:rPr>
          <w:rFonts w:hint="eastAsia" w:ascii="宋体" w:hAnsi="宋体" w:cs="宋体"/>
          <w:sz w:val="24"/>
          <w:szCs w:val="24"/>
        </w:rPr>
        <w:fldChar w:fldCharType="end"/>
      </w:r>
    </w:p>
    <w:p w14:paraId="51B58D2E">
      <w:pPr>
        <w:pStyle w:val="19"/>
        <w:tabs>
          <w:tab w:val="right" w:leader="dot" w:pos="9071"/>
        </w:tabs>
        <w:spacing w:line="360" w:lineRule="auto"/>
        <w:rPr>
          <w:rFonts w:hint="eastAsia" w:ascii="宋体" w:hAnsi="宋体" w:cs="宋体"/>
          <w:sz w:val="24"/>
          <w:szCs w:val="24"/>
        </w:rPr>
      </w:pPr>
      <w:r>
        <w:fldChar w:fldCharType="begin"/>
      </w:r>
      <w:r>
        <w:instrText xml:space="preserve"> HYPERLINK \l "_Toc26125" </w:instrText>
      </w:r>
      <w:r>
        <w:fldChar w:fldCharType="separate"/>
      </w:r>
      <w:r>
        <w:rPr>
          <w:rFonts w:hint="eastAsia" w:ascii="宋体" w:hAnsi="宋体" w:cs="宋体"/>
          <w:sz w:val="24"/>
          <w:szCs w:val="24"/>
        </w:rPr>
        <w:t>第三章 评审办法</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_Toc26125 \h </w:instrText>
      </w:r>
      <w:r>
        <w:rPr>
          <w:rFonts w:hint="eastAsia" w:ascii="宋体" w:hAnsi="宋体" w:cs="宋体"/>
          <w:sz w:val="24"/>
          <w:szCs w:val="24"/>
        </w:rPr>
        <w:fldChar w:fldCharType="separate"/>
      </w:r>
      <w:r>
        <w:rPr>
          <w:rFonts w:hint="eastAsia" w:ascii="宋体" w:hAnsi="宋体" w:cs="宋体"/>
          <w:sz w:val="24"/>
          <w:szCs w:val="24"/>
        </w:rPr>
        <w:t>32</w:t>
      </w:r>
      <w:r>
        <w:rPr>
          <w:rFonts w:hint="eastAsia" w:ascii="宋体" w:hAnsi="宋体" w:cs="宋体"/>
          <w:sz w:val="24"/>
          <w:szCs w:val="24"/>
        </w:rPr>
        <w:fldChar w:fldCharType="end"/>
      </w:r>
      <w:r>
        <w:rPr>
          <w:rFonts w:hint="eastAsia" w:ascii="宋体" w:hAnsi="宋体" w:cs="宋体"/>
          <w:sz w:val="24"/>
          <w:szCs w:val="24"/>
        </w:rPr>
        <w:fldChar w:fldCharType="end"/>
      </w:r>
    </w:p>
    <w:p w14:paraId="3CF5FF31">
      <w:pPr>
        <w:pStyle w:val="19"/>
        <w:tabs>
          <w:tab w:val="right" w:leader="dot" w:pos="9071"/>
        </w:tabs>
        <w:spacing w:line="360" w:lineRule="auto"/>
        <w:rPr>
          <w:rFonts w:hint="eastAsia" w:ascii="宋体" w:hAnsi="宋体" w:cs="宋体"/>
          <w:sz w:val="24"/>
          <w:szCs w:val="24"/>
        </w:rPr>
      </w:pPr>
      <w:r>
        <w:fldChar w:fldCharType="begin"/>
      </w:r>
      <w:r>
        <w:instrText xml:space="preserve"> HYPERLINK \l "_Toc24828" </w:instrText>
      </w:r>
      <w:r>
        <w:fldChar w:fldCharType="separate"/>
      </w:r>
      <w:r>
        <w:rPr>
          <w:rFonts w:hint="eastAsia" w:ascii="宋体" w:hAnsi="宋体" w:cs="宋体"/>
          <w:sz w:val="24"/>
          <w:szCs w:val="24"/>
        </w:rPr>
        <w:t>第四章 采购内容及要求</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_Toc24828 \h </w:instrText>
      </w:r>
      <w:r>
        <w:rPr>
          <w:rFonts w:hint="eastAsia" w:ascii="宋体" w:hAnsi="宋体" w:cs="宋体"/>
          <w:sz w:val="24"/>
          <w:szCs w:val="24"/>
        </w:rPr>
        <w:fldChar w:fldCharType="separate"/>
      </w:r>
      <w:r>
        <w:rPr>
          <w:rFonts w:hint="eastAsia" w:ascii="宋体" w:hAnsi="宋体" w:cs="宋体"/>
          <w:sz w:val="24"/>
          <w:szCs w:val="24"/>
        </w:rPr>
        <w:t>38</w:t>
      </w:r>
      <w:r>
        <w:rPr>
          <w:rFonts w:hint="eastAsia" w:ascii="宋体" w:hAnsi="宋体" w:cs="宋体"/>
          <w:sz w:val="24"/>
          <w:szCs w:val="24"/>
        </w:rPr>
        <w:fldChar w:fldCharType="end"/>
      </w:r>
      <w:r>
        <w:rPr>
          <w:rFonts w:hint="eastAsia" w:ascii="宋体" w:hAnsi="宋体" w:cs="宋体"/>
          <w:sz w:val="24"/>
          <w:szCs w:val="24"/>
        </w:rPr>
        <w:fldChar w:fldCharType="end"/>
      </w:r>
    </w:p>
    <w:p w14:paraId="444BE0B4">
      <w:pPr>
        <w:pStyle w:val="19"/>
        <w:tabs>
          <w:tab w:val="right" w:leader="dot" w:pos="9071"/>
        </w:tabs>
        <w:spacing w:line="360" w:lineRule="auto"/>
        <w:rPr>
          <w:rFonts w:hint="eastAsia" w:ascii="宋体" w:hAnsi="宋体" w:cs="宋体"/>
          <w:sz w:val="24"/>
          <w:szCs w:val="24"/>
        </w:rPr>
      </w:pPr>
      <w:r>
        <w:fldChar w:fldCharType="begin"/>
      </w:r>
      <w:r>
        <w:instrText xml:space="preserve"> HYPERLINK \l "_Toc21707" </w:instrText>
      </w:r>
      <w:r>
        <w:fldChar w:fldCharType="separate"/>
      </w:r>
      <w:r>
        <w:rPr>
          <w:rFonts w:hint="eastAsia" w:ascii="宋体" w:hAnsi="宋体" w:cs="宋体"/>
          <w:sz w:val="24"/>
          <w:szCs w:val="24"/>
        </w:rPr>
        <w:t xml:space="preserve">第五章 </w:t>
      </w:r>
      <w:r>
        <w:rPr>
          <w:rFonts w:hint="eastAsia" w:ascii="宋体" w:hAnsi="宋体" w:cs="宋体"/>
          <w:sz w:val="24"/>
          <w:szCs w:val="24"/>
          <w:lang w:val="zh-CN"/>
        </w:rPr>
        <w:t>合同条款及格式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_Toc21707 \h </w:instrText>
      </w:r>
      <w:r>
        <w:rPr>
          <w:rFonts w:hint="eastAsia" w:ascii="宋体" w:hAnsi="宋体" w:cs="宋体"/>
          <w:sz w:val="24"/>
          <w:szCs w:val="24"/>
        </w:rPr>
        <w:fldChar w:fldCharType="separate"/>
      </w:r>
      <w:r>
        <w:rPr>
          <w:rFonts w:hint="eastAsia" w:ascii="宋体" w:hAnsi="宋体" w:cs="宋体"/>
          <w:sz w:val="24"/>
          <w:szCs w:val="24"/>
        </w:rPr>
        <w:t>43</w:t>
      </w:r>
      <w:r>
        <w:rPr>
          <w:rFonts w:hint="eastAsia" w:ascii="宋体" w:hAnsi="宋体" w:cs="宋体"/>
          <w:sz w:val="24"/>
          <w:szCs w:val="24"/>
        </w:rPr>
        <w:fldChar w:fldCharType="end"/>
      </w:r>
      <w:r>
        <w:rPr>
          <w:rFonts w:hint="eastAsia" w:ascii="宋体" w:hAnsi="宋体" w:cs="宋体"/>
          <w:sz w:val="24"/>
          <w:szCs w:val="24"/>
        </w:rPr>
        <w:fldChar w:fldCharType="end"/>
      </w:r>
    </w:p>
    <w:p w14:paraId="2DF8346E">
      <w:pPr>
        <w:pStyle w:val="19"/>
        <w:tabs>
          <w:tab w:val="right" w:leader="dot" w:pos="9071"/>
        </w:tabs>
        <w:spacing w:line="360" w:lineRule="auto"/>
      </w:pPr>
      <w:r>
        <w:fldChar w:fldCharType="begin"/>
      </w:r>
      <w:r>
        <w:instrText xml:space="preserve"> HYPERLINK \l "_Toc27960" </w:instrText>
      </w:r>
      <w:r>
        <w:fldChar w:fldCharType="separate"/>
      </w:r>
      <w:r>
        <w:rPr>
          <w:rFonts w:hint="eastAsia" w:ascii="宋体" w:hAnsi="宋体" w:cs="宋体"/>
          <w:sz w:val="24"/>
          <w:szCs w:val="24"/>
          <w:lang w:val="zh-CN"/>
        </w:rPr>
        <w:t>第</w:t>
      </w:r>
      <w:r>
        <w:rPr>
          <w:rFonts w:hint="eastAsia" w:ascii="宋体" w:hAnsi="宋体" w:cs="宋体"/>
          <w:sz w:val="24"/>
          <w:szCs w:val="24"/>
        </w:rPr>
        <w:t>六章</w:t>
      </w:r>
      <w:r>
        <w:rPr>
          <w:rFonts w:hint="eastAsia" w:ascii="宋体" w:hAnsi="宋体" w:cs="宋体"/>
          <w:sz w:val="24"/>
          <w:szCs w:val="24"/>
          <w:lang w:val="zh-CN"/>
        </w:rPr>
        <w:t xml:space="preserve"> 竞争性谈判响应文件格式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_Toc27960 \h </w:instrText>
      </w:r>
      <w:r>
        <w:rPr>
          <w:rFonts w:hint="eastAsia" w:ascii="宋体" w:hAnsi="宋体" w:cs="宋体"/>
          <w:sz w:val="24"/>
          <w:szCs w:val="24"/>
        </w:rPr>
        <w:fldChar w:fldCharType="separate"/>
      </w:r>
      <w:r>
        <w:rPr>
          <w:rFonts w:hint="eastAsia" w:ascii="宋体" w:hAnsi="宋体" w:cs="宋体"/>
          <w:sz w:val="24"/>
          <w:szCs w:val="24"/>
        </w:rPr>
        <w:t>46</w:t>
      </w:r>
      <w:r>
        <w:rPr>
          <w:rFonts w:hint="eastAsia" w:ascii="宋体" w:hAnsi="宋体" w:cs="宋体"/>
          <w:sz w:val="24"/>
          <w:szCs w:val="24"/>
        </w:rPr>
        <w:fldChar w:fldCharType="end"/>
      </w:r>
      <w:r>
        <w:rPr>
          <w:rFonts w:hint="eastAsia" w:ascii="宋体" w:hAnsi="宋体" w:cs="宋体"/>
          <w:sz w:val="24"/>
          <w:szCs w:val="24"/>
        </w:rPr>
        <w:fldChar w:fldCharType="end"/>
      </w:r>
    </w:p>
    <w:p w14:paraId="26002E0A">
      <w:pPr>
        <w:pStyle w:val="10"/>
        <w:spacing w:line="360" w:lineRule="auto"/>
        <w:jc w:val="center"/>
      </w:pPr>
      <w:r>
        <w:rPr>
          <w:rFonts w:hint="eastAsia"/>
        </w:rPr>
        <w:fldChar w:fldCharType="end"/>
      </w:r>
    </w:p>
    <w:p w14:paraId="6FF2F372"/>
    <w:p w14:paraId="567256FF"/>
    <w:p w14:paraId="7B8054C4">
      <w:pPr>
        <w:tabs>
          <w:tab w:val="left" w:pos="3910"/>
        </w:tabs>
        <w:jc w:val="left"/>
        <w:sectPr>
          <w:footerReference r:id="rId3" w:type="first"/>
          <w:pgSz w:w="11905" w:h="16838"/>
          <w:pgMar w:top="1417" w:right="1417" w:bottom="1417" w:left="1417" w:header="850" w:footer="992" w:gutter="0"/>
          <w:cols w:space="0" w:num="1"/>
          <w:docGrid w:type="lines" w:linePitch="318" w:charSpace="0"/>
        </w:sectPr>
      </w:pPr>
      <w:r>
        <w:rPr>
          <w:rFonts w:hint="eastAsia"/>
        </w:rPr>
        <w:tab/>
      </w:r>
    </w:p>
    <w:p w14:paraId="0540E522">
      <w:pPr>
        <w:rPr>
          <w:rFonts w:hint="eastAsia" w:ascii="宋体" w:hAnsi="宋体" w:cs="宋体"/>
        </w:rPr>
      </w:pPr>
    </w:p>
    <w:p w14:paraId="25A2FBA1">
      <w:pPr>
        <w:pStyle w:val="2"/>
        <w:rPr>
          <w:rFonts w:hint="eastAsia"/>
        </w:rPr>
      </w:pPr>
      <w:bookmarkStart w:id="0" w:name="_Toc12381"/>
      <w:bookmarkStart w:id="1" w:name="_Toc18711"/>
      <w:bookmarkStart w:id="2" w:name="_Toc9639"/>
      <w:bookmarkStart w:id="3" w:name="_Toc3693"/>
      <w:bookmarkStart w:id="4" w:name="_Toc16475"/>
      <w:bookmarkStart w:id="5" w:name="_Toc7669"/>
      <w:bookmarkStart w:id="6" w:name="_Toc27863"/>
      <w:bookmarkStart w:id="7" w:name="_Toc25046_WPSOffice_Level1"/>
      <w:bookmarkStart w:id="8" w:name="_Toc32199_WPSOffice_Level1"/>
      <w:r>
        <w:rPr>
          <w:rFonts w:hint="eastAsia"/>
        </w:rPr>
        <w:t>第一</w:t>
      </w:r>
      <w:r>
        <w:rPr>
          <w:rFonts w:hint="eastAsia"/>
          <w:lang w:val="en-US"/>
        </w:rPr>
        <w:t>章</w:t>
      </w:r>
      <w:r>
        <w:rPr>
          <w:rFonts w:hint="eastAsia"/>
        </w:rPr>
        <w:t xml:space="preserve"> 竞争性谈判公告</w:t>
      </w:r>
      <w:bookmarkEnd w:id="0"/>
      <w:bookmarkEnd w:id="1"/>
      <w:bookmarkEnd w:id="2"/>
      <w:bookmarkEnd w:id="3"/>
      <w:bookmarkEnd w:id="4"/>
      <w:bookmarkEnd w:id="5"/>
      <w:bookmarkEnd w:id="6"/>
    </w:p>
    <w:bookmarkEnd w:id="7"/>
    <w:bookmarkEnd w:id="8"/>
    <w:p w14:paraId="789C24C1">
      <w:pPr>
        <w:pStyle w:val="80"/>
        <w:spacing w:line="360" w:lineRule="auto"/>
        <w:outlineLvl w:val="5"/>
        <w:rPr>
          <w:rFonts w:ascii="仿宋" w:hAnsi="仿宋" w:eastAsia="仿宋" w:cs="仿宋"/>
          <w:sz w:val="24"/>
          <w:szCs w:val="24"/>
        </w:rPr>
      </w:pPr>
      <w:bookmarkStart w:id="9" w:name="_Toc520468904"/>
      <w:bookmarkStart w:id="10" w:name="_Toc4287"/>
      <w:r>
        <w:rPr>
          <w:rFonts w:ascii="仿宋" w:hAnsi="仿宋" w:eastAsia="仿宋" w:cs="仿宋"/>
          <w:b/>
          <w:sz w:val="24"/>
          <w:szCs w:val="24"/>
        </w:rPr>
        <w:t xml:space="preserve"> 项目概况</w:t>
      </w:r>
    </w:p>
    <w:p w14:paraId="193AF514">
      <w:pPr>
        <w:pStyle w:val="80"/>
        <w:spacing w:line="360" w:lineRule="auto"/>
        <w:ind w:firstLine="240" w:firstLineChars="100"/>
        <w:rPr>
          <w:rFonts w:ascii="仿宋" w:hAnsi="仿宋" w:eastAsia="仿宋" w:cs="仿宋"/>
          <w:sz w:val="24"/>
          <w:szCs w:val="24"/>
        </w:rPr>
      </w:pPr>
      <w:r>
        <w:rPr>
          <w:rFonts w:ascii="仿宋" w:hAnsi="仿宋" w:eastAsia="仿宋" w:cs="仿宋"/>
          <w:sz w:val="24"/>
          <w:szCs w:val="24"/>
        </w:rPr>
        <w:t>女子监狱机房不间断电源电池组更换项目采购项目的潜在供应商应在陕西省西安市雁塔区雁展路1111号莱安中心T7-1907室获取采购文件，并于 2026年09月08日 09时30分 （北京时间）前提交响应文件。</w:t>
      </w:r>
    </w:p>
    <w:p w14:paraId="05D8C893">
      <w:pPr>
        <w:pStyle w:val="80"/>
        <w:spacing w:line="360" w:lineRule="auto"/>
        <w:outlineLvl w:val="3"/>
        <w:rPr>
          <w:rFonts w:ascii="仿宋" w:hAnsi="仿宋" w:eastAsia="仿宋" w:cs="仿宋"/>
          <w:sz w:val="24"/>
          <w:szCs w:val="24"/>
        </w:rPr>
      </w:pPr>
      <w:r>
        <w:rPr>
          <w:rFonts w:ascii="仿宋" w:hAnsi="仿宋" w:eastAsia="仿宋" w:cs="仿宋"/>
          <w:b/>
          <w:sz w:val="24"/>
          <w:szCs w:val="24"/>
        </w:rPr>
        <w:t>一、项目基本情况</w:t>
      </w:r>
    </w:p>
    <w:p w14:paraId="68936DBE">
      <w:pPr>
        <w:pStyle w:val="80"/>
        <w:spacing w:line="360" w:lineRule="auto"/>
        <w:rPr>
          <w:rFonts w:ascii="仿宋" w:hAnsi="仿宋" w:eastAsia="仿宋" w:cs="仿宋"/>
          <w:sz w:val="24"/>
          <w:szCs w:val="24"/>
        </w:rPr>
      </w:pPr>
      <w:r>
        <w:rPr>
          <w:rFonts w:ascii="仿宋" w:hAnsi="仿宋" w:eastAsia="仿宋" w:cs="仿宋"/>
          <w:sz w:val="24"/>
          <w:szCs w:val="24"/>
        </w:rPr>
        <w:t>项目编号：SXZH2026-HW-046</w:t>
      </w:r>
    </w:p>
    <w:p w14:paraId="7AE5F0A8">
      <w:pPr>
        <w:pStyle w:val="80"/>
        <w:spacing w:line="360" w:lineRule="auto"/>
        <w:rPr>
          <w:rFonts w:ascii="仿宋" w:hAnsi="仿宋" w:eastAsia="仿宋" w:cs="仿宋"/>
          <w:sz w:val="24"/>
          <w:szCs w:val="24"/>
        </w:rPr>
      </w:pPr>
      <w:r>
        <w:rPr>
          <w:rFonts w:ascii="仿宋" w:hAnsi="仿宋" w:eastAsia="仿宋" w:cs="仿宋"/>
          <w:sz w:val="24"/>
          <w:szCs w:val="24"/>
        </w:rPr>
        <w:t>项目名称：女子监狱机房不间断电源电池组更换项目</w:t>
      </w:r>
    </w:p>
    <w:p w14:paraId="624E46AE">
      <w:pPr>
        <w:pStyle w:val="80"/>
        <w:spacing w:line="360" w:lineRule="auto"/>
        <w:rPr>
          <w:rFonts w:ascii="仿宋" w:hAnsi="仿宋" w:eastAsia="仿宋" w:cs="仿宋"/>
          <w:sz w:val="24"/>
          <w:szCs w:val="24"/>
        </w:rPr>
      </w:pPr>
      <w:r>
        <w:rPr>
          <w:rFonts w:ascii="仿宋" w:hAnsi="仿宋" w:eastAsia="仿宋" w:cs="仿宋"/>
          <w:sz w:val="24"/>
          <w:szCs w:val="24"/>
        </w:rPr>
        <w:t>采购方式：竞争性谈判</w:t>
      </w:r>
    </w:p>
    <w:p w14:paraId="6FFA5F8B">
      <w:pPr>
        <w:pStyle w:val="80"/>
        <w:spacing w:line="360" w:lineRule="auto"/>
        <w:rPr>
          <w:rFonts w:ascii="仿宋" w:hAnsi="仿宋" w:eastAsia="仿宋" w:cs="仿宋"/>
          <w:sz w:val="24"/>
          <w:szCs w:val="24"/>
        </w:rPr>
      </w:pPr>
      <w:r>
        <w:rPr>
          <w:rFonts w:ascii="仿宋" w:hAnsi="仿宋" w:eastAsia="仿宋" w:cs="仿宋"/>
          <w:sz w:val="24"/>
          <w:szCs w:val="24"/>
        </w:rPr>
        <w:t>预算金额：300,000.00元</w:t>
      </w:r>
    </w:p>
    <w:p w14:paraId="73304BA2">
      <w:pPr>
        <w:pStyle w:val="80"/>
        <w:spacing w:line="360" w:lineRule="auto"/>
        <w:rPr>
          <w:rFonts w:ascii="仿宋" w:hAnsi="仿宋" w:eastAsia="仿宋" w:cs="仿宋"/>
          <w:sz w:val="24"/>
          <w:szCs w:val="24"/>
        </w:rPr>
      </w:pPr>
      <w:r>
        <w:rPr>
          <w:rFonts w:ascii="仿宋" w:hAnsi="仿宋" w:eastAsia="仿宋" w:cs="仿宋"/>
          <w:sz w:val="24"/>
          <w:szCs w:val="24"/>
        </w:rPr>
        <w:t>采购需求：</w:t>
      </w:r>
    </w:p>
    <w:p w14:paraId="1ED274AC">
      <w:pPr>
        <w:pStyle w:val="80"/>
        <w:spacing w:line="360" w:lineRule="auto"/>
        <w:rPr>
          <w:rFonts w:ascii="仿宋" w:hAnsi="仿宋" w:eastAsia="仿宋" w:cs="仿宋"/>
          <w:sz w:val="24"/>
          <w:szCs w:val="24"/>
        </w:rPr>
      </w:pPr>
      <w:r>
        <w:rPr>
          <w:rFonts w:ascii="仿宋" w:hAnsi="仿宋" w:eastAsia="仿宋" w:cs="仿宋"/>
          <w:sz w:val="24"/>
          <w:szCs w:val="24"/>
        </w:rPr>
        <w:t>合同包1(女子监狱机房不间断电源电池组更换项目):</w:t>
      </w:r>
    </w:p>
    <w:p w14:paraId="0AD2B6D7">
      <w:pPr>
        <w:pStyle w:val="80"/>
        <w:spacing w:line="360" w:lineRule="auto"/>
        <w:ind w:firstLine="630"/>
        <w:rPr>
          <w:rFonts w:ascii="仿宋" w:hAnsi="仿宋" w:eastAsia="仿宋" w:cs="仿宋"/>
          <w:sz w:val="24"/>
          <w:szCs w:val="24"/>
        </w:rPr>
      </w:pPr>
      <w:r>
        <w:rPr>
          <w:rFonts w:ascii="仿宋" w:hAnsi="仿宋" w:eastAsia="仿宋" w:cs="仿宋"/>
          <w:sz w:val="24"/>
          <w:szCs w:val="24"/>
        </w:rPr>
        <w:t>合同包预算金额：300,000.00元</w:t>
      </w:r>
    </w:p>
    <w:p w14:paraId="50BD0D1A">
      <w:pPr>
        <w:pStyle w:val="80"/>
        <w:spacing w:line="360" w:lineRule="auto"/>
        <w:ind w:firstLine="630"/>
        <w:rPr>
          <w:rFonts w:ascii="仿宋" w:hAnsi="仿宋" w:eastAsia="仿宋" w:cs="仿宋"/>
          <w:sz w:val="24"/>
          <w:szCs w:val="24"/>
        </w:rPr>
      </w:pPr>
      <w:r>
        <w:rPr>
          <w:rFonts w:ascii="仿宋" w:hAnsi="仿宋" w:eastAsia="仿宋" w:cs="仿宋"/>
          <w:sz w:val="24"/>
          <w:szCs w:val="24"/>
        </w:rPr>
        <w:t>合同包最高限价：300,000.00元</w:t>
      </w:r>
    </w:p>
    <w:tbl>
      <w:tblPr>
        <w:tblStyle w:val="2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3EC7B1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FAC84B8">
            <w:pPr>
              <w:pStyle w:val="80"/>
              <w:rPr>
                <w:rFonts w:ascii="仿宋" w:hAnsi="仿宋" w:eastAsia="仿宋" w:cs="仿宋"/>
                <w:sz w:val="24"/>
                <w:szCs w:val="24"/>
              </w:rPr>
            </w:pPr>
            <w:r>
              <w:rPr>
                <w:rFonts w:ascii="仿宋" w:hAnsi="仿宋" w:eastAsia="仿宋" w:cs="仿宋"/>
                <w:sz w:val="24"/>
                <w:szCs w:val="24"/>
              </w:rPr>
              <w:t>品目号</w:t>
            </w:r>
          </w:p>
        </w:tc>
        <w:tc>
          <w:tcPr>
            <w:tcW w:w="1384" w:type="dxa"/>
          </w:tcPr>
          <w:p w14:paraId="186C84BA">
            <w:pPr>
              <w:pStyle w:val="80"/>
              <w:rPr>
                <w:rFonts w:ascii="仿宋" w:hAnsi="仿宋" w:eastAsia="仿宋" w:cs="仿宋"/>
                <w:sz w:val="24"/>
                <w:szCs w:val="24"/>
              </w:rPr>
            </w:pPr>
            <w:r>
              <w:rPr>
                <w:rFonts w:ascii="仿宋" w:hAnsi="仿宋" w:eastAsia="仿宋" w:cs="仿宋"/>
                <w:sz w:val="24"/>
                <w:szCs w:val="24"/>
              </w:rPr>
              <w:t>品目名称</w:t>
            </w:r>
          </w:p>
        </w:tc>
        <w:tc>
          <w:tcPr>
            <w:tcW w:w="1384" w:type="dxa"/>
          </w:tcPr>
          <w:p w14:paraId="162C8D0B">
            <w:pPr>
              <w:pStyle w:val="80"/>
              <w:rPr>
                <w:rFonts w:ascii="仿宋" w:hAnsi="仿宋" w:eastAsia="仿宋" w:cs="仿宋"/>
                <w:sz w:val="24"/>
                <w:szCs w:val="24"/>
              </w:rPr>
            </w:pPr>
            <w:r>
              <w:rPr>
                <w:rFonts w:ascii="仿宋" w:hAnsi="仿宋" w:eastAsia="仿宋" w:cs="仿宋"/>
                <w:sz w:val="24"/>
                <w:szCs w:val="24"/>
              </w:rPr>
              <w:t>采购标的</w:t>
            </w:r>
          </w:p>
        </w:tc>
        <w:tc>
          <w:tcPr>
            <w:tcW w:w="1384" w:type="dxa"/>
          </w:tcPr>
          <w:p w14:paraId="462B9EAF">
            <w:pPr>
              <w:pStyle w:val="80"/>
              <w:rPr>
                <w:rFonts w:ascii="仿宋" w:hAnsi="仿宋" w:eastAsia="仿宋" w:cs="仿宋"/>
                <w:sz w:val="24"/>
                <w:szCs w:val="24"/>
              </w:rPr>
            </w:pPr>
            <w:r>
              <w:rPr>
                <w:rFonts w:ascii="仿宋" w:hAnsi="仿宋" w:eastAsia="仿宋" w:cs="仿宋"/>
                <w:sz w:val="24"/>
                <w:szCs w:val="24"/>
              </w:rPr>
              <w:t>数量（单位）</w:t>
            </w:r>
          </w:p>
        </w:tc>
        <w:tc>
          <w:tcPr>
            <w:tcW w:w="1384" w:type="dxa"/>
          </w:tcPr>
          <w:p w14:paraId="1273888D">
            <w:pPr>
              <w:pStyle w:val="80"/>
              <w:rPr>
                <w:rFonts w:ascii="仿宋" w:hAnsi="仿宋" w:eastAsia="仿宋" w:cs="仿宋"/>
                <w:sz w:val="24"/>
                <w:szCs w:val="24"/>
              </w:rPr>
            </w:pPr>
            <w:r>
              <w:rPr>
                <w:rFonts w:ascii="仿宋" w:hAnsi="仿宋" w:eastAsia="仿宋" w:cs="仿宋"/>
                <w:sz w:val="24"/>
                <w:szCs w:val="24"/>
              </w:rPr>
              <w:t>技术规格、参数及要求</w:t>
            </w:r>
          </w:p>
        </w:tc>
        <w:tc>
          <w:tcPr>
            <w:tcW w:w="1384" w:type="dxa"/>
          </w:tcPr>
          <w:p w14:paraId="754A4F0E">
            <w:pPr>
              <w:pStyle w:val="80"/>
              <w:rPr>
                <w:rFonts w:ascii="仿宋" w:hAnsi="仿宋" w:eastAsia="仿宋" w:cs="仿宋"/>
                <w:sz w:val="24"/>
                <w:szCs w:val="24"/>
              </w:rPr>
            </w:pPr>
            <w:r>
              <w:rPr>
                <w:rFonts w:ascii="仿宋" w:hAnsi="仿宋" w:eastAsia="仿宋" w:cs="仿宋"/>
                <w:sz w:val="24"/>
                <w:szCs w:val="24"/>
              </w:rPr>
              <w:t>品目预算(元)</w:t>
            </w:r>
          </w:p>
        </w:tc>
      </w:tr>
      <w:tr w14:paraId="682C85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DDEB3B5">
            <w:pPr>
              <w:pStyle w:val="80"/>
              <w:rPr>
                <w:rFonts w:ascii="仿宋" w:hAnsi="仿宋" w:eastAsia="仿宋" w:cs="仿宋"/>
                <w:sz w:val="24"/>
                <w:szCs w:val="24"/>
              </w:rPr>
            </w:pPr>
            <w:r>
              <w:rPr>
                <w:rFonts w:ascii="仿宋" w:hAnsi="仿宋" w:eastAsia="仿宋" w:cs="仿宋"/>
                <w:sz w:val="24"/>
                <w:szCs w:val="24"/>
              </w:rPr>
              <w:t>1-1</w:t>
            </w:r>
          </w:p>
        </w:tc>
        <w:tc>
          <w:tcPr>
            <w:tcW w:w="1384" w:type="dxa"/>
          </w:tcPr>
          <w:p w14:paraId="33A0E4A5">
            <w:pPr>
              <w:pStyle w:val="80"/>
              <w:rPr>
                <w:rFonts w:ascii="仿宋" w:hAnsi="仿宋" w:eastAsia="仿宋" w:cs="仿宋"/>
                <w:sz w:val="24"/>
                <w:szCs w:val="24"/>
              </w:rPr>
            </w:pPr>
            <w:r>
              <w:rPr>
                <w:rFonts w:ascii="仿宋" w:hAnsi="仿宋" w:eastAsia="仿宋" w:cs="仿宋"/>
                <w:sz w:val="24"/>
                <w:szCs w:val="24"/>
              </w:rPr>
              <w:t>信息化设备零部件</w:t>
            </w:r>
          </w:p>
        </w:tc>
        <w:tc>
          <w:tcPr>
            <w:tcW w:w="1384" w:type="dxa"/>
          </w:tcPr>
          <w:p w14:paraId="3E706921">
            <w:pPr>
              <w:pStyle w:val="80"/>
              <w:rPr>
                <w:rFonts w:ascii="仿宋" w:hAnsi="仿宋" w:eastAsia="仿宋" w:cs="仿宋"/>
                <w:sz w:val="24"/>
                <w:szCs w:val="24"/>
              </w:rPr>
            </w:pPr>
            <w:r>
              <w:rPr>
                <w:rFonts w:ascii="仿宋" w:hAnsi="仿宋" w:eastAsia="仿宋" w:cs="仿宋"/>
                <w:sz w:val="24"/>
                <w:szCs w:val="24"/>
              </w:rPr>
              <w:t>核心机房及弱电间配套不间断电源系统全套设备及安装调试服务</w:t>
            </w:r>
          </w:p>
        </w:tc>
        <w:tc>
          <w:tcPr>
            <w:tcW w:w="1384" w:type="dxa"/>
          </w:tcPr>
          <w:p w14:paraId="797DF2FF">
            <w:pPr>
              <w:pStyle w:val="80"/>
              <w:rPr>
                <w:rFonts w:ascii="仿宋" w:hAnsi="仿宋" w:eastAsia="仿宋" w:cs="仿宋"/>
                <w:sz w:val="24"/>
                <w:szCs w:val="24"/>
              </w:rPr>
            </w:pPr>
            <w:r>
              <w:rPr>
                <w:rFonts w:ascii="仿宋" w:hAnsi="仿宋" w:eastAsia="仿宋" w:cs="仿宋"/>
                <w:sz w:val="24"/>
                <w:szCs w:val="24"/>
              </w:rPr>
              <w:t>1(项)</w:t>
            </w:r>
          </w:p>
        </w:tc>
        <w:tc>
          <w:tcPr>
            <w:tcW w:w="1384" w:type="dxa"/>
          </w:tcPr>
          <w:p w14:paraId="6FE022EF">
            <w:pPr>
              <w:pStyle w:val="80"/>
              <w:rPr>
                <w:rFonts w:ascii="仿宋" w:hAnsi="仿宋" w:eastAsia="仿宋" w:cs="仿宋"/>
                <w:sz w:val="24"/>
                <w:szCs w:val="24"/>
              </w:rPr>
            </w:pPr>
            <w:r>
              <w:rPr>
                <w:rFonts w:ascii="仿宋" w:hAnsi="仿宋" w:eastAsia="仿宋" w:cs="仿宋"/>
                <w:sz w:val="24"/>
                <w:szCs w:val="24"/>
              </w:rPr>
              <w:t>详见采购文件</w:t>
            </w:r>
          </w:p>
        </w:tc>
        <w:tc>
          <w:tcPr>
            <w:tcW w:w="1384" w:type="dxa"/>
          </w:tcPr>
          <w:p w14:paraId="04A9263C">
            <w:pPr>
              <w:pStyle w:val="80"/>
              <w:rPr>
                <w:rFonts w:ascii="仿宋" w:hAnsi="仿宋" w:eastAsia="仿宋" w:cs="仿宋"/>
                <w:sz w:val="24"/>
                <w:szCs w:val="24"/>
              </w:rPr>
            </w:pPr>
            <w:r>
              <w:rPr>
                <w:rFonts w:ascii="仿宋" w:hAnsi="仿宋" w:eastAsia="仿宋" w:cs="仿宋"/>
                <w:sz w:val="24"/>
                <w:szCs w:val="24"/>
              </w:rPr>
              <w:t>300,000.00</w:t>
            </w:r>
          </w:p>
        </w:tc>
      </w:tr>
    </w:tbl>
    <w:p w14:paraId="0F0CE73E">
      <w:pPr>
        <w:pStyle w:val="80"/>
        <w:spacing w:line="360" w:lineRule="auto"/>
        <w:rPr>
          <w:rFonts w:ascii="仿宋" w:hAnsi="仿宋" w:eastAsia="仿宋" w:cs="仿宋"/>
          <w:sz w:val="24"/>
          <w:szCs w:val="24"/>
        </w:rPr>
      </w:pPr>
      <w:r>
        <w:rPr>
          <w:rFonts w:ascii="仿宋" w:hAnsi="仿宋" w:eastAsia="仿宋" w:cs="仿宋"/>
          <w:sz w:val="24"/>
          <w:szCs w:val="24"/>
        </w:rPr>
        <w:t xml:space="preserve"> 本合同包不接受联合体投标</w:t>
      </w:r>
    </w:p>
    <w:p w14:paraId="7D0FE7A6">
      <w:pPr>
        <w:pStyle w:val="80"/>
        <w:spacing w:line="360" w:lineRule="auto"/>
        <w:rPr>
          <w:rFonts w:ascii="仿宋" w:hAnsi="仿宋" w:eastAsia="仿宋" w:cs="仿宋"/>
          <w:sz w:val="24"/>
          <w:szCs w:val="24"/>
        </w:rPr>
      </w:pPr>
      <w:r>
        <w:rPr>
          <w:rFonts w:ascii="仿宋" w:hAnsi="仿宋" w:eastAsia="仿宋" w:cs="仿宋"/>
          <w:sz w:val="24"/>
          <w:szCs w:val="24"/>
        </w:rPr>
        <w:t xml:space="preserve"> 合同履行期限：自合同签订之日20日历天</w:t>
      </w:r>
    </w:p>
    <w:p w14:paraId="6636B8FF">
      <w:pPr>
        <w:pStyle w:val="80"/>
        <w:spacing w:line="360" w:lineRule="auto"/>
        <w:outlineLvl w:val="3"/>
        <w:rPr>
          <w:rFonts w:ascii="仿宋" w:hAnsi="仿宋" w:eastAsia="仿宋" w:cs="仿宋"/>
          <w:sz w:val="24"/>
          <w:szCs w:val="24"/>
        </w:rPr>
      </w:pPr>
      <w:r>
        <w:rPr>
          <w:rFonts w:ascii="仿宋" w:hAnsi="仿宋" w:eastAsia="仿宋" w:cs="仿宋"/>
          <w:b/>
          <w:sz w:val="24"/>
          <w:szCs w:val="24"/>
        </w:rPr>
        <w:t>二、申请人的资格要求：</w:t>
      </w:r>
    </w:p>
    <w:p w14:paraId="5C640BD7">
      <w:pPr>
        <w:pStyle w:val="80"/>
        <w:spacing w:line="360" w:lineRule="auto"/>
        <w:rPr>
          <w:rFonts w:ascii="仿宋" w:hAnsi="仿宋" w:eastAsia="仿宋" w:cs="仿宋"/>
          <w:sz w:val="24"/>
          <w:szCs w:val="24"/>
        </w:rPr>
      </w:pPr>
      <w:r>
        <w:rPr>
          <w:rFonts w:ascii="仿宋" w:hAnsi="仿宋" w:eastAsia="仿宋" w:cs="仿宋"/>
          <w:sz w:val="24"/>
          <w:szCs w:val="24"/>
        </w:rPr>
        <w:t>1.满足《中华人民共和国政府采购法》第二十二条规定;</w:t>
      </w:r>
    </w:p>
    <w:p w14:paraId="052724F4">
      <w:pPr>
        <w:pStyle w:val="80"/>
        <w:spacing w:line="360" w:lineRule="auto"/>
        <w:rPr>
          <w:rFonts w:ascii="仿宋" w:hAnsi="仿宋" w:eastAsia="仿宋" w:cs="仿宋"/>
          <w:sz w:val="24"/>
          <w:szCs w:val="24"/>
        </w:rPr>
      </w:pPr>
      <w:r>
        <w:rPr>
          <w:rFonts w:ascii="仿宋" w:hAnsi="仿宋" w:eastAsia="仿宋" w:cs="仿宋"/>
          <w:sz w:val="24"/>
          <w:szCs w:val="24"/>
        </w:rPr>
        <w:t>2.落实政府采购政策需满足的资格要求：</w:t>
      </w:r>
    </w:p>
    <w:p w14:paraId="49C1630E">
      <w:pPr>
        <w:pStyle w:val="80"/>
        <w:spacing w:line="360" w:lineRule="auto"/>
        <w:rPr>
          <w:rFonts w:ascii="仿宋" w:hAnsi="仿宋" w:eastAsia="仿宋" w:cs="仿宋"/>
          <w:sz w:val="24"/>
          <w:szCs w:val="24"/>
        </w:rPr>
      </w:pPr>
      <w:r>
        <w:rPr>
          <w:rFonts w:ascii="仿宋" w:hAnsi="仿宋" w:eastAsia="仿宋" w:cs="仿宋"/>
          <w:sz w:val="24"/>
          <w:szCs w:val="24"/>
        </w:rPr>
        <w:t>合同包1(女子监狱机房不间断电源电池组更换项目)落实政府采购政策需满足的资格要求如下:</w:t>
      </w:r>
    </w:p>
    <w:p w14:paraId="1B01F5B1">
      <w:pPr>
        <w:pStyle w:val="80"/>
        <w:spacing w:line="360" w:lineRule="auto"/>
        <w:ind w:left="480"/>
        <w:rPr>
          <w:rFonts w:ascii="仿宋" w:hAnsi="仿宋" w:eastAsia="仿宋" w:cs="仿宋"/>
          <w:sz w:val="24"/>
          <w:szCs w:val="24"/>
        </w:rPr>
      </w:pPr>
      <w:r>
        <w:rPr>
          <w:rFonts w:ascii="仿宋" w:hAnsi="仿宋" w:eastAsia="仿宋" w:cs="仿宋"/>
          <w:sz w:val="24"/>
          <w:szCs w:val="24"/>
        </w:rPr>
        <w:t>本项目非专门面向中小企业</w:t>
      </w:r>
    </w:p>
    <w:p w14:paraId="353B4677">
      <w:pPr>
        <w:pStyle w:val="80"/>
        <w:spacing w:line="360" w:lineRule="auto"/>
        <w:rPr>
          <w:rFonts w:ascii="仿宋" w:hAnsi="仿宋" w:eastAsia="仿宋" w:cs="仿宋"/>
          <w:sz w:val="24"/>
          <w:szCs w:val="24"/>
        </w:rPr>
      </w:pPr>
      <w:r>
        <w:rPr>
          <w:rFonts w:ascii="仿宋" w:hAnsi="仿宋" w:eastAsia="仿宋" w:cs="仿宋"/>
          <w:sz w:val="24"/>
          <w:szCs w:val="24"/>
        </w:rPr>
        <w:t>3.本项目的特定资格要求：</w:t>
      </w:r>
    </w:p>
    <w:p w14:paraId="3E0B21CA">
      <w:pPr>
        <w:pStyle w:val="80"/>
        <w:spacing w:line="360" w:lineRule="auto"/>
        <w:rPr>
          <w:rFonts w:ascii="仿宋" w:hAnsi="仿宋" w:eastAsia="仿宋" w:cs="仿宋"/>
          <w:sz w:val="24"/>
          <w:szCs w:val="24"/>
        </w:rPr>
      </w:pPr>
      <w:r>
        <w:rPr>
          <w:rFonts w:ascii="仿宋" w:hAnsi="仿宋" w:eastAsia="仿宋" w:cs="仿宋"/>
          <w:sz w:val="24"/>
          <w:szCs w:val="24"/>
        </w:rPr>
        <w:t>合同包1(女子监狱机房不间断电源电池组更换项目)特定资格要求如下:</w:t>
      </w:r>
    </w:p>
    <w:p w14:paraId="4C1C2510">
      <w:pPr>
        <w:pStyle w:val="80"/>
        <w:spacing w:line="360" w:lineRule="auto"/>
        <w:ind w:firstLine="480" w:firstLineChars="200"/>
        <w:rPr>
          <w:rFonts w:ascii="仿宋" w:hAnsi="仿宋" w:eastAsia="仿宋" w:cs="仿宋"/>
          <w:sz w:val="24"/>
          <w:szCs w:val="24"/>
        </w:rPr>
      </w:pPr>
      <w:r>
        <w:rPr>
          <w:rFonts w:ascii="仿宋" w:hAnsi="仿宋" w:eastAsia="仿宋" w:cs="仿宋"/>
          <w:sz w:val="24"/>
          <w:szCs w:val="24"/>
        </w:rPr>
        <w:t>1.供应商须是在中华人民共和国境内正式注册并具有独立法人资格的企业或其他组织，提供有效的营业执照或其他证明资料；</w:t>
      </w:r>
      <w:r>
        <w:rPr>
          <w:rFonts w:ascii="仿宋" w:hAnsi="仿宋" w:eastAsia="仿宋" w:cs="仿宋"/>
          <w:sz w:val="24"/>
          <w:szCs w:val="24"/>
        </w:rPr>
        <w:br w:type="textWrapping"/>
      </w:r>
      <w:r>
        <w:rPr>
          <w:rFonts w:ascii="仿宋" w:hAnsi="仿宋" w:eastAsia="仿宋" w:cs="仿宋"/>
          <w:sz w:val="24"/>
          <w:szCs w:val="24"/>
        </w:rPr>
        <w:t>2.供应商提供法定代表人授权书及被授权人身份证，法定代表人直接参加磋商的须提交其法人身份证明；</w:t>
      </w:r>
      <w:r>
        <w:rPr>
          <w:rFonts w:ascii="仿宋" w:hAnsi="仿宋" w:eastAsia="仿宋" w:cs="仿宋"/>
          <w:sz w:val="24"/>
          <w:szCs w:val="24"/>
        </w:rPr>
        <w:br w:type="textWrapping"/>
      </w:r>
      <w:r>
        <w:rPr>
          <w:rFonts w:ascii="仿宋" w:hAnsi="仿宋" w:eastAsia="仿宋" w:cs="仿宋"/>
          <w:sz w:val="24"/>
          <w:szCs w:val="24"/>
        </w:rPr>
        <w:t xml:space="preserve">3.税收缴纳证明：提供响应文件截止时间前一年内至少一个月的纳税证明或完税证明（任意税种），纳税证明或完税证明上应有代收机构或税务机关的公章或业务专用章；依法免税的供应商应提供相关文件证明； </w:t>
      </w:r>
      <w:r>
        <w:rPr>
          <w:rFonts w:ascii="仿宋" w:hAnsi="仿宋" w:eastAsia="仿宋" w:cs="仿宋"/>
          <w:sz w:val="24"/>
          <w:szCs w:val="24"/>
        </w:rPr>
        <w:br w:type="textWrapping"/>
      </w:r>
      <w:r>
        <w:rPr>
          <w:rFonts w:ascii="仿宋" w:hAnsi="仿宋" w:eastAsia="仿宋" w:cs="仿宋"/>
          <w:sz w:val="24"/>
          <w:szCs w:val="24"/>
        </w:rPr>
        <w:t xml:space="preserve">4.社会保障资金缴纳证明：提供响应文件截止时间前一年内至少一个月已缴纳的社会保障资金的证明（社会保障资金缴存单据或社保机构开具的社会保险参保缴费情况证明或完税证明等）；依法不需要缴纳社会保障资金的供应商应提供相关文件证明； </w:t>
      </w:r>
      <w:r>
        <w:rPr>
          <w:rFonts w:ascii="仿宋" w:hAnsi="仿宋" w:eastAsia="仿宋" w:cs="仿宋"/>
          <w:sz w:val="24"/>
          <w:szCs w:val="24"/>
        </w:rPr>
        <w:br w:type="textWrapping"/>
      </w:r>
      <w:r>
        <w:rPr>
          <w:rFonts w:ascii="仿宋" w:hAnsi="仿宋" w:eastAsia="仿宋" w:cs="仿宋"/>
          <w:sz w:val="24"/>
          <w:szCs w:val="24"/>
        </w:rPr>
        <w:t xml:space="preserve">5.财务状况报告：提供经会计师事务审计的完整的2024年度审计报告或2025年度审计报告（报告至少包含三表一注），或提交响应文件截止时间前六个月内基本账户开户银行出具的资信证明；（附开户许可证或开户备案证明或基本账户信息） </w:t>
      </w:r>
      <w:r>
        <w:rPr>
          <w:rFonts w:ascii="仿宋" w:hAnsi="仿宋" w:eastAsia="仿宋" w:cs="仿宋"/>
          <w:sz w:val="24"/>
          <w:szCs w:val="24"/>
        </w:rPr>
        <w:br w:type="textWrapping"/>
      </w:r>
      <w:r>
        <w:rPr>
          <w:rFonts w:ascii="仿宋" w:hAnsi="仿宋" w:eastAsia="仿宋" w:cs="仿宋"/>
          <w:sz w:val="24"/>
          <w:szCs w:val="24"/>
        </w:rPr>
        <w:t xml:space="preserve"> 6.提供具有履行本合同所必需的设备和专业技术能力的声明； </w:t>
      </w:r>
      <w:r>
        <w:rPr>
          <w:rFonts w:ascii="仿宋" w:hAnsi="仿宋" w:eastAsia="仿宋" w:cs="仿宋"/>
          <w:sz w:val="24"/>
          <w:szCs w:val="24"/>
        </w:rPr>
        <w:br w:type="textWrapping"/>
      </w:r>
      <w:r>
        <w:rPr>
          <w:rFonts w:ascii="仿宋" w:hAnsi="仿宋" w:eastAsia="仿宋" w:cs="仿宋"/>
          <w:sz w:val="24"/>
          <w:szCs w:val="24"/>
        </w:rPr>
        <w:t xml:space="preserve"> 7.参加本次政府采购活动前3年内在经营活动中没有重大违纪，以及未被列入失信被执行人、重大税收违法失信主体、政府采购严重违法失信行为记录名单的书面声明；</w:t>
      </w:r>
      <w:r>
        <w:rPr>
          <w:rFonts w:ascii="仿宋" w:hAnsi="仿宋" w:eastAsia="仿宋" w:cs="仿宋"/>
          <w:sz w:val="24"/>
          <w:szCs w:val="24"/>
        </w:rPr>
        <w:br w:type="textWrapping"/>
      </w:r>
      <w:r>
        <w:rPr>
          <w:rFonts w:ascii="仿宋" w:hAnsi="仿宋" w:eastAsia="仿宋" w:cs="仿宋"/>
          <w:sz w:val="24"/>
          <w:szCs w:val="24"/>
        </w:rPr>
        <w:t xml:space="preserve"> 8.供应商不得列入国家企业信用信息公示系统（http://www.gsxt.gov.cn/index.html）严重违法失信企业名单（黑名单）、不得列入信用中国网站（www.creditchina.gov.cn）重大税收违法案件当事人名单的供应商，须提供网站相关内容查询结果截图并加盖公章；</w:t>
      </w:r>
      <w:r>
        <w:rPr>
          <w:rFonts w:ascii="仿宋" w:hAnsi="仿宋" w:eastAsia="仿宋" w:cs="仿宋"/>
          <w:sz w:val="24"/>
          <w:szCs w:val="24"/>
        </w:rPr>
        <w:br w:type="textWrapping"/>
      </w:r>
      <w:r>
        <w:rPr>
          <w:rFonts w:ascii="仿宋" w:hAnsi="仿宋" w:eastAsia="仿宋" w:cs="仿宋"/>
          <w:sz w:val="24"/>
          <w:szCs w:val="24"/>
        </w:rPr>
        <w:t>本项目不接受联合体谈判。</w:t>
      </w:r>
    </w:p>
    <w:p w14:paraId="6EC6B91E">
      <w:pPr>
        <w:pStyle w:val="80"/>
        <w:spacing w:line="360" w:lineRule="auto"/>
        <w:outlineLvl w:val="3"/>
        <w:rPr>
          <w:rFonts w:ascii="仿宋" w:hAnsi="仿宋" w:eastAsia="仿宋" w:cs="仿宋"/>
          <w:sz w:val="24"/>
          <w:szCs w:val="24"/>
        </w:rPr>
      </w:pPr>
      <w:r>
        <w:rPr>
          <w:rFonts w:ascii="仿宋" w:hAnsi="仿宋" w:eastAsia="仿宋" w:cs="仿宋"/>
          <w:b/>
          <w:sz w:val="24"/>
          <w:szCs w:val="24"/>
        </w:rPr>
        <w:t>三、获取采购文件</w:t>
      </w:r>
    </w:p>
    <w:p w14:paraId="58B899BA">
      <w:pPr>
        <w:pStyle w:val="80"/>
        <w:spacing w:line="360" w:lineRule="auto"/>
        <w:rPr>
          <w:rFonts w:ascii="仿宋" w:hAnsi="仿宋" w:eastAsia="仿宋" w:cs="仿宋"/>
          <w:sz w:val="24"/>
          <w:szCs w:val="24"/>
        </w:rPr>
      </w:pPr>
      <w:r>
        <w:rPr>
          <w:rFonts w:ascii="仿宋" w:hAnsi="仿宋" w:eastAsia="仿宋" w:cs="仿宋"/>
          <w:sz w:val="24"/>
          <w:szCs w:val="24"/>
        </w:rPr>
        <w:t>时间： 2026年08月25日 至 2026年08月27日 ，每天上午 09:00:00 至 12:00:00 ，下午 14:00:00 至 17:00:00 （北京时间）</w:t>
      </w:r>
    </w:p>
    <w:p w14:paraId="3CEE48B7">
      <w:pPr>
        <w:pStyle w:val="80"/>
        <w:spacing w:line="360" w:lineRule="auto"/>
        <w:rPr>
          <w:rFonts w:ascii="仿宋" w:hAnsi="仿宋" w:eastAsia="仿宋" w:cs="仿宋"/>
          <w:sz w:val="24"/>
          <w:szCs w:val="24"/>
        </w:rPr>
      </w:pPr>
      <w:r>
        <w:rPr>
          <w:rFonts w:ascii="仿宋" w:hAnsi="仿宋" w:eastAsia="仿宋" w:cs="仿宋"/>
          <w:sz w:val="24"/>
          <w:szCs w:val="24"/>
        </w:rPr>
        <w:t>途径：陕西省西安市雁塔区雁展路1111号莱安中心T7-1907室</w:t>
      </w:r>
    </w:p>
    <w:p w14:paraId="1C686DA6">
      <w:pPr>
        <w:pStyle w:val="80"/>
        <w:spacing w:line="360" w:lineRule="auto"/>
        <w:rPr>
          <w:rFonts w:ascii="仿宋" w:hAnsi="仿宋" w:eastAsia="仿宋" w:cs="仿宋"/>
          <w:sz w:val="24"/>
          <w:szCs w:val="24"/>
        </w:rPr>
      </w:pPr>
      <w:r>
        <w:rPr>
          <w:rFonts w:ascii="仿宋" w:hAnsi="仿宋" w:eastAsia="仿宋" w:cs="仿宋"/>
          <w:sz w:val="24"/>
          <w:szCs w:val="24"/>
        </w:rPr>
        <w:t>方式：现场获取</w:t>
      </w:r>
    </w:p>
    <w:p w14:paraId="6D43329F">
      <w:pPr>
        <w:pStyle w:val="80"/>
        <w:spacing w:line="360" w:lineRule="auto"/>
        <w:rPr>
          <w:rFonts w:ascii="仿宋" w:hAnsi="仿宋" w:eastAsia="仿宋" w:cs="仿宋"/>
          <w:sz w:val="24"/>
          <w:szCs w:val="24"/>
        </w:rPr>
      </w:pPr>
      <w:r>
        <w:rPr>
          <w:rFonts w:ascii="仿宋" w:hAnsi="仿宋" w:eastAsia="仿宋" w:cs="仿宋"/>
          <w:sz w:val="24"/>
          <w:szCs w:val="24"/>
        </w:rPr>
        <w:t>售价： 500元</w:t>
      </w:r>
    </w:p>
    <w:p w14:paraId="45F9FC3E">
      <w:pPr>
        <w:pStyle w:val="80"/>
        <w:spacing w:line="360" w:lineRule="auto"/>
        <w:outlineLvl w:val="3"/>
        <w:rPr>
          <w:rFonts w:ascii="仿宋" w:hAnsi="仿宋" w:eastAsia="仿宋" w:cs="仿宋"/>
          <w:sz w:val="24"/>
          <w:szCs w:val="24"/>
        </w:rPr>
      </w:pPr>
      <w:r>
        <w:rPr>
          <w:rFonts w:ascii="仿宋" w:hAnsi="仿宋" w:eastAsia="仿宋" w:cs="仿宋"/>
          <w:b/>
          <w:sz w:val="24"/>
          <w:szCs w:val="24"/>
        </w:rPr>
        <w:t>四、响应文件提交</w:t>
      </w:r>
    </w:p>
    <w:p w14:paraId="224EA161">
      <w:pPr>
        <w:pStyle w:val="80"/>
        <w:spacing w:line="360" w:lineRule="auto"/>
        <w:rPr>
          <w:rFonts w:ascii="仿宋" w:hAnsi="仿宋" w:eastAsia="仿宋" w:cs="仿宋"/>
          <w:sz w:val="24"/>
          <w:szCs w:val="24"/>
        </w:rPr>
      </w:pPr>
      <w:r>
        <w:rPr>
          <w:rFonts w:ascii="仿宋" w:hAnsi="仿宋" w:eastAsia="仿宋" w:cs="仿宋"/>
          <w:sz w:val="24"/>
          <w:szCs w:val="24"/>
        </w:rPr>
        <w:t>截止时间： 2026年09月08日 09时30分00秒 （北京时间）</w:t>
      </w:r>
    </w:p>
    <w:p w14:paraId="3D91CB53">
      <w:pPr>
        <w:pStyle w:val="80"/>
        <w:spacing w:line="360" w:lineRule="auto"/>
        <w:rPr>
          <w:rFonts w:ascii="仿宋" w:hAnsi="仿宋" w:eastAsia="仿宋" w:cs="仿宋"/>
          <w:sz w:val="24"/>
          <w:szCs w:val="24"/>
        </w:rPr>
      </w:pPr>
      <w:r>
        <w:rPr>
          <w:rFonts w:ascii="仿宋" w:hAnsi="仿宋" w:eastAsia="仿宋" w:cs="仿宋"/>
          <w:sz w:val="24"/>
          <w:szCs w:val="24"/>
        </w:rPr>
        <w:t>地点：陕西省西安市雁塔区雁展路1111号莱安中心T7-1907室</w:t>
      </w:r>
    </w:p>
    <w:p w14:paraId="1D31F4C3">
      <w:pPr>
        <w:pStyle w:val="80"/>
        <w:spacing w:line="360" w:lineRule="auto"/>
        <w:outlineLvl w:val="3"/>
        <w:rPr>
          <w:rFonts w:ascii="仿宋" w:hAnsi="仿宋" w:eastAsia="仿宋" w:cs="仿宋"/>
          <w:sz w:val="24"/>
          <w:szCs w:val="24"/>
        </w:rPr>
      </w:pPr>
      <w:r>
        <w:rPr>
          <w:rFonts w:ascii="仿宋" w:hAnsi="仿宋" w:eastAsia="仿宋" w:cs="仿宋"/>
          <w:b/>
          <w:sz w:val="24"/>
          <w:szCs w:val="24"/>
        </w:rPr>
        <w:t>五、开启</w:t>
      </w:r>
    </w:p>
    <w:p w14:paraId="2087ACDE">
      <w:pPr>
        <w:pStyle w:val="80"/>
        <w:spacing w:line="360" w:lineRule="auto"/>
        <w:rPr>
          <w:rFonts w:ascii="仿宋" w:hAnsi="仿宋" w:eastAsia="仿宋" w:cs="仿宋"/>
          <w:sz w:val="24"/>
          <w:szCs w:val="24"/>
        </w:rPr>
      </w:pPr>
      <w:r>
        <w:rPr>
          <w:rFonts w:ascii="仿宋" w:hAnsi="仿宋" w:eastAsia="仿宋" w:cs="仿宋"/>
          <w:sz w:val="24"/>
          <w:szCs w:val="24"/>
        </w:rPr>
        <w:t>时间： 2026年09月08日 09时30分00秒 （北京时间）</w:t>
      </w:r>
    </w:p>
    <w:p w14:paraId="0FFF73D4">
      <w:pPr>
        <w:pStyle w:val="80"/>
        <w:spacing w:line="360" w:lineRule="auto"/>
        <w:rPr>
          <w:rFonts w:ascii="仿宋" w:hAnsi="仿宋" w:eastAsia="仿宋" w:cs="仿宋"/>
          <w:sz w:val="24"/>
          <w:szCs w:val="24"/>
        </w:rPr>
      </w:pPr>
      <w:r>
        <w:rPr>
          <w:rFonts w:ascii="仿宋" w:hAnsi="仿宋" w:eastAsia="仿宋" w:cs="仿宋"/>
          <w:sz w:val="24"/>
          <w:szCs w:val="24"/>
        </w:rPr>
        <w:t>地点：陕西省西安市雁塔区雁展路1111号莱安中心T7-1907室</w:t>
      </w:r>
    </w:p>
    <w:p w14:paraId="560B41D0">
      <w:pPr>
        <w:pStyle w:val="80"/>
        <w:spacing w:line="360" w:lineRule="auto"/>
        <w:outlineLvl w:val="3"/>
        <w:rPr>
          <w:rFonts w:ascii="仿宋" w:hAnsi="仿宋" w:eastAsia="仿宋" w:cs="仿宋"/>
          <w:sz w:val="24"/>
          <w:szCs w:val="24"/>
        </w:rPr>
      </w:pPr>
      <w:r>
        <w:rPr>
          <w:rFonts w:ascii="仿宋" w:hAnsi="仿宋" w:eastAsia="仿宋" w:cs="仿宋"/>
          <w:b/>
          <w:sz w:val="24"/>
          <w:szCs w:val="24"/>
        </w:rPr>
        <w:t>六、公告期限</w:t>
      </w:r>
    </w:p>
    <w:p w14:paraId="08E8B271">
      <w:pPr>
        <w:pStyle w:val="80"/>
        <w:spacing w:line="360" w:lineRule="auto"/>
        <w:rPr>
          <w:rFonts w:ascii="仿宋" w:hAnsi="仿宋" w:eastAsia="仿宋" w:cs="仿宋"/>
          <w:sz w:val="24"/>
          <w:szCs w:val="24"/>
        </w:rPr>
      </w:pPr>
      <w:r>
        <w:rPr>
          <w:rFonts w:ascii="仿宋" w:hAnsi="仿宋" w:eastAsia="仿宋" w:cs="仿宋"/>
          <w:sz w:val="24"/>
          <w:szCs w:val="24"/>
        </w:rPr>
        <w:t>自本公告发布之日起3个工作日。</w:t>
      </w:r>
    </w:p>
    <w:p w14:paraId="62123F6A">
      <w:pPr>
        <w:pStyle w:val="80"/>
        <w:spacing w:line="360" w:lineRule="auto"/>
        <w:outlineLvl w:val="3"/>
        <w:rPr>
          <w:rFonts w:ascii="仿宋" w:hAnsi="仿宋" w:eastAsia="仿宋" w:cs="仿宋"/>
          <w:sz w:val="24"/>
          <w:szCs w:val="24"/>
        </w:rPr>
      </w:pPr>
      <w:r>
        <w:rPr>
          <w:rFonts w:ascii="仿宋" w:hAnsi="仿宋" w:eastAsia="仿宋" w:cs="仿宋"/>
          <w:b/>
          <w:sz w:val="24"/>
          <w:szCs w:val="24"/>
        </w:rPr>
        <w:t>七、其他补充事宜</w:t>
      </w:r>
    </w:p>
    <w:p w14:paraId="71179F58">
      <w:pPr>
        <w:pStyle w:val="80"/>
        <w:spacing w:line="360" w:lineRule="auto"/>
        <w:rPr>
          <w:rFonts w:ascii="仿宋" w:hAnsi="仿宋" w:eastAsia="仿宋" w:cs="仿宋"/>
          <w:sz w:val="24"/>
          <w:szCs w:val="24"/>
        </w:rPr>
      </w:pPr>
      <w:r>
        <w:rPr>
          <w:rFonts w:ascii="仿宋" w:hAnsi="仿宋" w:eastAsia="仿宋" w:cs="仿宋"/>
          <w:sz w:val="24"/>
          <w:szCs w:val="24"/>
        </w:rPr>
        <w:t xml:space="preserve"> 1、落实政府采购政策：</w:t>
      </w:r>
    </w:p>
    <w:p w14:paraId="3248EB01">
      <w:pPr>
        <w:pStyle w:val="80"/>
        <w:spacing w:line="360" w:lineRule="auto"/>
        <w:ind w:firstLine="480"/>
        <w:jc w:val="both"/>
        <w:rPr>
          <w:rFonts w:ascii="仿宋" w:hAnsi="仿宋" w:eastAsia="仿宋" w:cs="仿宋"/>
          <w:sz w:val="24"/>
          <w:szCs w:val="24"/>
        </w:rPr>
      </w:pPr>
      <w:r>
        <w:rPr>
          <w:rFonts w:ascii="仿宋" w:hAnsi="仿宋" w:eastAsia="仿宋" w:cs="仿宋"/>
          <w:sz w:val="24"/>
          <w:szCs w:val="24"/>
        </w:rPr>
        <w:t>1.1《关于进一步加大政府采购支持中小企业力度的通知》（财库〔2022〕19号）、《政府采购促进中小企业发展管理办法》（财库〔2020〕46号）、《财政部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326C5EE7">
      <w:pPr>
        <w:pStyle w:val="80"/>
        <w:spacing w:line="360" w:lineRule="auto"/>
        <w:ind w:firstLine="480"/>
        <w:jc w:val="both"/>
        <w:rPr>
          <w:rFonts w:ascii="仿宋" w:hAnsi="仿宋" w:eastAsia="仿宋" w:cs="仿宋"/>
          <w:sz w:val="24"/>
          <w:szCs w:val="24"/>
        </w:rPr>
      </w:pPr>
      <w:r>
        <w:rPr>
          <w:rFonts w:ascii="仿宋" w:hAnsi="仿宋" w:eastAsia="仿宋" w:cs="仿宋"/>
          <w:sz w:val="24"/>
          <w:szCs w:val="24"/>
        </w:rPr>
        <w:t>1.2《国务院办公厅关于建立政府强制采购节能产品制度的通知》（国办发〔2007〕51号）、《财政部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0281A015">
      <w:pPr>
        <w:pStyle w:val="80"/>
        <w:spacing w:line="360" w:lineRule="auto"/>
        <w:ind w:firstLine="480"/>
        <w:jc w:val="both"/>
        <w:rPr>
          <w:rFonts w:ascii="仿宋" w:hAnsi="仿宋" w:eastAsia="仿宋" w:cs="仿宋"/>
          <w:sz w:val="24"/>
          <w:szCs w:val="24"/>
        </w:rPr>
      </w:pPr>
      <w:r>
        <w:rPr>
          <w:rFonts w:ascii="仿宋" w:hAnsi="仿宋" w:eastAsia="仿宋" w:cs="仿宋"/>
          <w:sz w:val="24"/>
          <w:szCs w:val="24"/>
        </w:rPr>
        <w:t>1.3《关于运用政府采购政策支持乡村产业振兴的通知》（财库〔2021〕19 号）、《关于印发&lt;关于深入开展政府采购脱贫地区农副产品工作推进乡村产业振兴的实施意见&gt;的通知》（财库〔2021〕20 号）。</w:t>
      </w:r>
    </w:p>
    <w:p w14:paraId="41E70924">
      <w:pPr>
        <w:pStyle w:val="80"/>
        <w:spacing w:line="360" w:lineRule="auto"/>
        <w:ind w:firstLine="480"/>
        <w:jc w:val="both"/>
        <w:rPr>
          <w:rFonts w:ascii="仿宋" w:hAnsi="仿宋" w:eastAsia="仿宋" w:cs="仿宋"/>
          <w:sz w:val="24"/>
          <w:szCs w:val="24"/>
        </w:rPr>
      </w:pPr>
      <w:r>
        <w:rPr>
          <w:rFonts w:ascii="仿宋" w:hAnsi="仿宋" w:eastAsia="仿宋" w:cs="仿宋"/>
          <w:sz w:val="24"/>
          <w:szCs w:val="24"/>
        </w:rPr>
        <w:t>1.4《国家互联网信息办公室 工业和信息化部 公安部 财政部 国家认证认可监督管理委员会关于调整网络安全专用产品安全管理有关事项的公告》（2023年第1号）。</w:t>
      </w:r>
    </w:p>
    <w:p w14:paraId="575676CE">
      <w:pPr>
        <w:pStyle w:val="80"/>
        <w:spacing w:line="360" w:lineRule="auto"/>
        <w:ind w:firstLine="480"/>
        <w:jc w:val="both"/>
        <w:rPr>
          <w:rFonts w:ascii="仿宋" w:hAnsi="仿宋" w:eastAsia="仿宋" w:cs="仿宋"/>
          <w:sz w:val="24"/>
          <w:szCs w:val="24"/>
        </w:rPr>
      </w:pPr>
      <w:r>
        <w:rPr>
          <w:rFonts w:ascii="仿宋" w:hAnsi="仿宋" w:eastAsia="仿宋" w:cs="仿宋"/>
          <w:sz w:val="24"/>
          <w:szCs w:val="24"/>
        </w:rPr>
        <w:t>1.5《陕西省财政厅关于加快推进我省中小企业政府采购信用融资工作的通知》（陕财办采〔2020〕15 号）、《陕西省财政厅关于印发&lt;陕西省中小企业政府采购信用融资办法&gt;的通知》（陕财办采〔2018〕23 号）。</w:t>
      </w:r>
    </w:p>
    <w:p w14:paraId="2B18ADAE">
      <w:pPr>
        <w:pStyle w:val="80"/>
        <w:spacing w:line="360" w:lineRule="auto"/>
        <w:ind w:firstLine="480"/>
        <w:jc w:val="both"/>
        <w:rPr>
          <w:rFonts w:ascii="仿宋" w:hAnsi="仿宋" w:eastAsia="仿宋" w:cs="仿宋"/>
          <w:sz w:val="24"/>
          <w:szCs w:val="24"/>
        </w:rPr>
      </w:pPr>
      <w:r>
        <w:rPr>
          <w:rFonts w:ascii="仿宋" w:hAnsi="仿宋" w:eastAsia="仿宋" w:cs="仿宋"/>
          <w:sz w:val="24"/>
          <w:szCs w:val="24"/>
        </w:rPr>
        <w:t>1.6《关于扩大政府采购支持绿色建材促进建筑品质提升政策实施范围的通知》（财库〔2022〕35号）、《财政部办公厅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w:t>
      </w:r>
    </w:p>
    <w:p w14:paraId="6CCBB4D0">
      <w:pPr>
        <w:pStyle w:val="80"/>
        <w:spacing w:line="360" w:lineRule="auto"/>
        <w:ind w:firstLine="480"/>
        <w:jc w:val="both"/>
        <w:rPr>
          <w:rFonts w:ascii="仿宋" w:hAnsi="仿宋" w:eastAsia="仿宋" w:cs="仿宋"/>
          <w:sz w:val="24"/>
          <w:szCs w:val="24"/>
        </w:rPr>
      </w:pPr>
      <w:r>
        <w:rPr>
          <w:rFonts w:ascii="仿宋" w:hAnsi="仿宋" w:eastAsia="仿宋" w:cs="仿宋"/>
          <w:sz w:val="24"/>
          <w:szCs w:val="24"/>
        </w:rPr>
        <w:t>1.7《国务院办公厅关于在政府采购中实施本国产品标准及相关政策的通知》（国办发〔2025〕34号）。</w:t>
      </w:r>
    </w:p>
    <w:p w14:paraId="5DE49023">
      <w:pPr>
        <w:pStyle w:val="80"/>
        <w:spacing w:line="360" w:lineRule="auto"/>
        <w:rPr>
          <w:rFonts w:ascii="仿宋" w:hAnsi="仿宋" w:eastAsia="仿宋" w:cs="仿宋"/>
          <w:sz w:val="24"/>
          <w:szCs w:val="24"/>
        </w:rPr>
      </w:pPr>
      <w:r>
        <w:rPr>
          <w:rFonts w:ascii="仿宋" w:hAnsi="仿宋" w:eastAsia="仿宋" w:cs="仿宋"/>
          <w:sz w:val="24"/>
          <w:szCs w:val="24"/>
        </w:rPr>
        <w:t>若享受以上政策优惠的企业，提供相应声明函或品目清单范围内产品的有效认证证书或相关证明。</w:t>
      </w:r>
    </w:p>
    <w:p w14:paraId="247A833B">
      <w:pPr>
        <w:pStyle w:val="80"/>
        <w:spacing w:line="360" w:lineRule="auto"/>
        <w:rPr>
          <w:rFonts w:ascii="仿宋" w:hAnsi="仿宋" w:eastAsia="仿宋" w:cs="仿宋"/>
          <w:sz w:val="24"/>
          <w:szCs w:val="24"/>
        </w:rPr>
      </w:pPr>
      <w:r>
        <w:rPr>
          <w:rFonts w:ascii="仿宋" w:hAnsi="仿宋" w:eastAsia="仿宋" w:cs="仿宋"/>
          <w:sz w:val="24"/>
          <w:szCs w:val="24"/>
        </w:rPr>
        <w:t>2、招标文件获取：</w:t>
      </w:r>
    </w:p>
    <w:p w14:paraId="0B093339">
      <w:pPr>
        <w:pStyle w:val="80"/>
        <w:spacing w:line="360" w:lineRule="auto"/>
        <w:rPr>
          <w:rFonts w:ascii="仿宋" w:hAnsi="仿宋" w:eastAsia="仿宋" w:cs="仿宋"/>
          <w:sz w:val="24"/>
          <w:szCs w:val="24"/>
        </w:rPr>
      </w:pPr>
      <w:r>
        <w:rPr>
          <w:rFonts w:ascii="仿宋" w:hAnsi="仿宋" w:eastAsia="仿宋" w:cs="仿宋"/>
          <w:sz w:val="24"/>
          <w:szCs w:val="24"/>
        </w:rPr>
        <w:t xml:space="preserve">     现场获取文件须携带法定代表人授权书、经办人身份证及身份证复印件加盖公章。</w:t>
      </w:r>
    </w:p>
    <w:p w14:paraId="7AFEBB70">
      <w:pPr>
        <w:pStyle w:val="80"/>
        <w:spacing w:line="360" w:lineRule="auto"/>
        <w:outlineLvl w:val="3"/>
        <w:rPr>
          <w:rFonts w:ascii="仿宋" w:hAnsi="仿宋" w:eastAsia="仿宋" w:cs="仿宋"/>
          <w:sz w:val="24"/>
          <w:szCs w:val="24"/>
        </w:rPr>
      </w:pPr>
      <w:r>
        <w:rPr>
          <w:rFonts w:ascii="仿宋" w:hAnsi="仿宋" w:eastAsia="仿宋" w:cs="仿宋"/>
          <w:b/>
          <w:sz w:val="24"/>
          <w:szCs w:val="24"/>
        </w:rPr>
        <w:t>八、对本次招标提出询问，请按以下方式联系。</w:t>
      </w:r>
    </w:p>
    <w:p w14:paraId="1969BE90">
      <w:pPr>
        <w:pStyle w:val="80"/>
        <w:spacing w:line="360" w:lineRule="auto"/>
        <w:outlineLvl w:val="5"/>
        <w:rPr>
          <w:rFonts w:ascii="仿宋" w:hAnsi="仿宋" w:eastAsia="仿宋" w:cs="仿宋"/>
          <w:sz w:val="24"/>
          <w:szCs w:val="24"/>
        </w:rPr>
      </w:pPr>
      <w:r>
        <w:rPr>
          <w:rFonts w:ascii="仿宋" w:hAnsi="仿宋" w:eastAsia="仿宋" w:cs="仿宋"/>
          <w:b/>
          <w:sz w:val="24"/>
          <w:szCs w:val="24"/>
        </w:rPr>
        <w:t>1.采购人信息</w:t>
      </w:r>
    </w:p>
    <w:p w14:paraId="08C04BFE">
      <w:pPr>
        <w:pStyle w:val="80"/>
        <w:spacing w:line="360" w:lineRule="auto"/>
        <w:rPr>
          <w:rFonts w:ascii="仿宋" w:hAnsi="仿宋" w:eastAsia="仿宋" w:cs="仿宋"/>
          <w:sz w:val="24"/>
          <w:szCs w:val="24"/>
        </w:rPr>
      </w:pPr>
      <w:r>
        <w:rPr>
          <w:rFonts w:ascii="仿宋" w:hAnsi="仿宋" w:eastAsia="仿宋" w:cs="仿宋"/>
          <w:sz w:val="24"/>
          <w:szCs w:val="24"/>
        </w:rPr>
        <w:t>名称：陕西省女子监狱</w:t>
      </w:r>
    </w:p>
    <w:p w14:paraId="54301328">
      <w:pPr>
        <w:pStyle w:val="80"/>
        <w:spacing w:line="360" w:lineRule="auto"/>
        <w:rPr>
          <w:rFonts w:ascii="仿宋" w:hAnsi="仿宋" w:eastAsia="仿宋" w:cs="仿宋"/>
          <w:sz w:val="24"/>
          <w:szCs w:val="24"/>
        </w:rPr>
      </w:pPr>
      <w:r>
        <w:rPr>
          <w:rFonts w:ascii="仿宋" w:hAnsi="仿宋" w:eastAsia="仿宋" w:cs="仿宋"/>
          <w:sz w:val="24"/>
          <w:szCs w:val="24"/>
        </w:rPr>
        <w:t>地址：陕西省西安市长安区王莽街道</w:t>
      </w:r>
    </w:p>
    <w:p w14:paraId="535BD519">
      <w:pPr>
        <w:pStyle w:val="80"/>
        <w:spacing w:line="360" w:lineRule="auto"/>
        <w:rPr>
          <w:rFonts w:ascii="仿宋" w:hAnsi="仿宋" w:eastAsia="仿宋" w:cs="仿宋"/>
          <w:sz w:val="24"/>
          <w:szCs w:val="24"/>
        </w:rPr>
      </w:pPr>
      <w:r>
        <w:rPr>
          <w:rFonts w:ascii="仿宋" w:hAnsi="仿宋" w:eastAsia="仿宋" w:cs="仿宋"/>
          <w:sz w:val="24"/>
          <w:szCs w:val="24"/>
        </w:rPr>
        <w:t>联系方式：029-85881052</w:t>
      </w:r>
    </w:p>
    <w:p w14:paraId="050B0BAF">
      <w:pPr>
        <w:pStyle w:val="80"/>
        <w:spacing w:line="360" w:lineRule="auto"/>
        <w:outlineLvl w:val="5"/>
        <w:rPr>
          <w:rFonts w:ascii="仿宋" w:hAnsi="仿宋" w:eastAsia="仿宋" w:cs="仿宋"/>
          <w:sz w:val="24"/>
          <w:szCs w:val="24"/>
        </w:rPr>
      </w:pPr>
      <w:r>
        <w:rPr>
          <w:rFonts w:ascii="仿宋" w:hAnsi="仿宋" w:eastAsia="仿宋" w:cs="仿宋"/>
          <w:b/>
          <w:sz w:val="24"/>
          <w:szCs w:val="24"/>
        </w:rPr>
        <w:t>2.采购代理机构信息</w:t>
      </w:r>
    </w:p>
    <w:p w14:paraId="13CBE5C2">
      <w:pPr>
        <w:pStyle w:val="80"/>
        <w:spacing w:line="360" w:lineRule="auto"/>
        <w:rPr>
          <w:rFonts w:ascii="仿宋" w:hAnsi="仿宋" w:eastAsia="仿宋" w:cs="仿宋"/>
          <w:sz w:val="24"/>
          <w:szCs w:val="24"/>
        </w:rPr>
      </w:pPr>
      <w:r>
        <w:rPr>
          <w:rFonts w:ascii="仿宋" w:hAnsi="仿宋" w:eastAsia="仿宋" w:cs="仿宋"/>
          <w:sz w:val="24"/>
          <w:szCs w:val="24"/>
        </w:rPr>
        <w:t>名称：陕西中辉招标造价咨询有限公司</w:t>
      </w:r>
    </w:p>
    <w:p w14:paraId="103A0B43">
      <w:pPr>
        <w:pStyle w:val="80"/>
        <w:spacing w:line="360" w:lineRule="auto"/>
        <w:rPr>
          <w:rFonts w:ascii="仿宋" w:hAnsi="仿宋" w:eastAsia="仿宋" w:cs="仿宋"/>
          <w:sz w:val="24"/>
          <w:szCs w:val="24"/>
        </w:rPr>
      </w:pPr>
      <w:r>
        <w:rPr>
          <w:rFonts w:ascii="仿宋" w:hAnsi="仿宋" w:eastAsia="仿宋" w:cs="仿宋"/>
          <w:sz w:val="24"/>
          <w:szCs w:val="24"/>
        </w:rPr>
        <w:t>地址：陕西省西安市莱安中心T7-1907室</w:t>
      </w:r>
    </w:p>
    <w:p w14:paraId="1DCEBD44">
      <w:pPr>
        <w:pStyle w:val="80"/>
        <w:spacing w:line="360" w:lineRule="auto"/>
        <w:rPr>
          <w:rFonts w:ascii="仿宋" w:hAnsi="仿宋" w:eastAsia="仿宋" w:cs="仿宋"/>
          <w:sz w:val="24"/>
          <w:szCs w:val="24"/>
        </w:rPr>
      </w:pPr>
      <w:r>
        <w:rPr>
          <w:rFonts w:ascii="仿宋" w:hAnsi="仿宋" w:eastAsia="仿宋" w:cs="仿宋"/>
          <w:sz w:val="24"/>
          <w:szCs w:val="24"/>
        </w:rPr>
        <w:t>联系方式：029-87935188</w:t>
      </w:r>
    </w:p>
    <w:p w14:paraId="1F3FAED3">
      <w:pPr>
        <w:pStyle w:val="80"/>
        <w:spacing w:line="360" w:lineRule="auto"/>
        <w:outlineLvl w:val="5"/>
        <w:rPr>
          <w:rFonts w:ascii="仿宋" w:hAnsi="仿宋" w:eastAsia="仿宋" w:cs="仿宋"/>
          <w:sz w:val="24"/>
          <w:szCs w:val="24"/>
        </w:rPr>
      </w:pPr>
      <w:r>
        <w:rPr>
          <w:rFonts w:ascii="仿宋" w:hAnsi="仿宋" w:eastAsia="仿宋" w:cs="仿宋"/>
          <w:b/>
          <w:sz w:val="24"/>
          <w:szCs w:val="24"/>
        </w:rPr>
        <w:t>3.项目联系方式</w:t>
      </w:r>
    </w:p>
    <w:p w14:paraId="69229550">
      <w:pPr>
        <w:pStyle w:val="80"/>
        <w:spacing w:line="360" w:lineRule="auto"/>
        <w:rPr>
          <w:rFonts w:ascii="仿宋" w:hAnsi="仿宋" w:eastAsia="仿宋" w:cs="仿宋"/>
          <w:sz w:val="24"/>
          <w:szCs w:val="24"/>
          <w:lang w:eastAsia="zh-CN"/>
        </w:rPr>
      </w:pPr>
      <w:r>
        <w:rPr>
          <w:rFonts w:ascii="仿宋" w:hAnsi="仿宋" w:eastAsia="仿宋" w:cs="仿宋"/>
          <w:sz w:val="24"/>
          <w:szCs w:val="24"/>
        </w:rPr>
        <w:t>项目联系人：张</w:t>
      </w:r>
      <w:r>
        <w:rPr>
          <w:rFonts w:ascii="仿宋" w:hAnsi="仿宋" w:eastAsia="仿宋" w:cs="仿宋"/>
          <w:sz w:val="24"/>
          <w:szCs w:val="24"/>
          <w:lang w:eastAsia="zh-CN"/>
        </w:rPr>
        <w:t>工</w:t>
      </w:r>
    </w:p>
    <w:p w14:paraId="6EC714E5">
      <w:pPr>
        <w:pStyle w:val="80"/>
        <w:spacing w:line="360" w:lineRule="auto"/>
        <w:rPr>
          <w:rFonts w:ascii="仿宋" w:hAnsi="仿宋" w:eastAsia="仿宋" w:cs="仿宋"/>
          <w:sz w:val="24"/>
          <w:szCs w:val="24"/>
        </w:rPr>
      </w:pPr>
      <w:r>
        <w:rPr>
          <w:rFonts w:ascii="仿宋" w:hAnsi="仿宋" w:eastAsia="仿宋" w:cs="仿宋"/>
          <w:sz w:val="24"/>
          <w:szCs w:val="24"/>
        </w:rPr>
        <w:t>电话：029-87935188</w:t>
      </w:r>
    </w:p>
    <w:p w14:paraId="6679988A">
      <w:r>
        <w:rPr>
          <w:rFonts w:hint="eastAsia"/>
        </w:rPr>
        <w:br w:type="page"/>
      </w:r>
    </w:p>
    <w:p w14:paraId="61DDD001">
      <w:pPr>
        <w:rPr>
          <w:rFonts w:hint="eastAsia" w:ascii="宋体" w:hAnsi="宋体" w:cs="宋体"/>
          <w:b/>
          <w:bCs/>
          <w:sz w:val="32"/>
          <w:szCs w:val="32"/>
        </w:rPr>
      </w:pPr>
    </w:p>
    <w:p w14:paraId="1581A975">
      <w:pPr>
        <w:pStyle w:val="2"/>
        <w:rPr>
          <w:rFonts w:hint="eastAsia"/>
        </w:rPr>
      </w:pPr>
      <w:bookmarkStart w:id="11" w:name="_Toc15245"/>
      <w:bookmarkStart w:id="12" w:name="_Toc22199"/>
      <w:bookmarkStart w:id="13" w:name="_Toc20697"/>
      <w:bookmarkStart w:id="14" w:name="_Toc13141"/>
      <w:bookmarkStart w:id="15" w:name="_Toc18932"/>
      <w:bookmarkStart w:id="16" w:name="_Toc29326"/>
      <w:r>
        <w:rPr>
          <w:rFonts w:hint="eastAsia"/>
        </w:rPr>
        <w:t>第二</w:t>
      </w:r>
      <w:r>
        <w:rPr>
          <w:rFonts w:hint="eastAsia"/>
          <w:lang w:val="en-US"/>
        </w:rPr>
        <w:t>章</w:t>
      </w:r>
      <w:r>
        <w:rPr>
          <w:rFonts w:hint="eastAsia"/>
        </w:rPr>
        <w:t xml:space="preserve"> 供应商须知</w:t>
      </w:r>
      <w:bookmarkEnd w:id="9"/>
      <w:bookmarkEnd w:id="10"/>
      <w:bookmarkEnd w:id="11"/>
      <w:bookmarkEnd w:id="12"/>
      <w:bookmarkEnd w:id="13"/>
      <w:bookmarkEnd w:id="14"/>
      <w:bookmarkEnd w:id="15"/>
      <w:bookmarkEnd w:id="16"/>
    </w:p>
    <w:p w14:paraId="2A4EA0FB">
      <w:pPr>
        <w:spacing w:line="360" w:lineRule="auto"/>
        <w:jc w:val="center"/>
        <w:rPr>
          <w:rFonts w:hint="eastAsia" w:ascii="宋体" w:hAnsi="宋体" w:cs="宋体"/>
          <w:b/>
          <w:sz w:val="24"/>
        </w:rPr>
      </w:pPr>
      <w:bookmarkStart w:id="17" w:name="_Toc25106"/>
      <w:bookmarkStart w:id="18" w:name="_Toc10454"/>
      <w:bookmarkStart w:id="19" w:name="_Toc29294"/>
      <w:bookmarkStart w:id="20" w:name="_Toc15068"/>
      <w:bookmarkStart w:id="21" w:name="_Toc520468905"/>
      <w:r>
        <w:rPr>
          <w:rFonts w:hint="eastAsia" w:ascii="宋体" w:hAnsi="宋体" w:cs="宋体"/>
          <w:b/>
          <w:sz w:val="24"/>
        </w:rPr>
        <w:t>供应商须知前附表</w:t>
      </w:r>
    </w:p>
    <w:tbl>
      <w:tblPr>
        <w:tblStyle w:val="28"/>
        <w:tblW w:w="929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2551"/>
        <w:gridCol w:w="5670"/>
      </w:tblGrid>
      <w:tr w14:paraId="722AB89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072" w:type="dxa"/>
            <w:vAlign w:val="center"/>
          </w:tcPr>
          <w:p w14:paraId="25828EDB">
            <w:pPr>
              <w:spacing w:line="360" w:lineRule="auto"/>
              <w:jc w:val="center"/>
              <w:rPr>
                <w:rFonts w:hint="eastAsia" w:ascii="宋体" w:hAnsi="宋体" w:cs="宋体"/>
                <w:b/>
              </w:rPr>
            </w:pPr>
            <w:r>
              <w:rPr>
                <w:rFonts w:hint="eastAsia" w:ascii="宋体" w:hAnsi="宋体" w:cs="宋体"/>
                <w:b/>
              </w:rPr>
              <w:t>条款号</w:t>
            </w:r>
          </w:p>
        </w:tc>
        <w:tc>
          <w:tcPr>
            <w:tcW w:w="2551" w:type="dxa"/>
            <w:vAlign w:val="center"/>
          </w:tcPr>
          <w:p w14:paraId="1CAF40F3">
            <w:pPr>
              <w:spacing w:line="360" w:lineRule="auto"/>
              <w:jc w:val="center"/>
              <w:rPr>
                <w:rFonts w:hint="eastAsia" w:ascii="宋体" w:hAnsi="宋体" w:cs="宋体"/>
                <w:b/>
              </w:rPr>
            </w:pPr>
            <w:r>
              <w:rPr>
                <w:rFonts w:hint="eastAsia" w:ascii="宋体" w:hAnsi="宋体" w:cs="宋体"/>
                <w:b/>
              </w:rPr>
              <w:t>条款名称</w:t>
            </w:r>
          </w:p>
        </w:tc>
        <w:tc>
          <w:tcPr>
            <w:tcW w:w="5670" w:type="dxa"/>
            <w:vAlign w:val="center"/>
          </w:tcPr>
          <w:p w14:paraId="0A5B7882">
            <w:pPr>
              <w:spacing w:line="360" w:lineRule="auto"/>
              <w:jc w:val="center"/>
              <w:rPr>
                <w:rFonts w:hint="eastAsia" w:ascii="宋体" w:hAnsi="宋体" w:cs="宋体"/>
                <w:b/>
              </w:rPr>
            </w:pPr>
            <w:r>
              <w:rPr>
                <w:rFonts w:hint="eastAsia" w:ascii="宋体" w:hAnsi="宋体" w:cs="宋体"/>
                <w:b/>
              </w:rPr>
              <w:t>编列内容</w:t>
            </w:r>
          </w:p>
        </w:tc>
      </w:tr>
      <w:tr w14:paraId="6C4791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1072" w:type="dxa"/>
            <w:vAlign w:val="center"/>
          </w:tcPr>
          <w:p w14:paraId="6BF95160">
            <w:pPr>
              <w:spacing w:line="360" w:lineRule="auto"/>
              <w:jc w:val="center"/>
              <w:rPr>
                <w:rFonts w:hint="eastAsia" w:ascii="宋体" w:hAnsi="宋体" w:cs="宋体"/>
              </w:rPr>
            </w:pPr>
            <w:r>
              <w:rPr>
                <w:rFonts w:hint="eastAsia" w:ascii="宋体" w:hAnsi="宋体" w:cs="宋体"/>
              </w:rPr>
              <w:t>1.1.2</w:t>
            </w:r>
          </w:p>
        </w:tc>
        <w:tc>
          <w:tcPr>
            <w:tcW w:w="2551" w:type="dxa"/>
            <w:vAlign w:val="center"/>
          </w:tcPr>
          <w:p w14:paraId="56B3B0E8">
            <w:pPr>
              <w:spacing w:line="360" w:lineRule="auto"/>
              <w:jc w:val="center"/>
              <w:rPr>
                <w:rFonts w:hint="eastAsia" w:ascii="宋体" w:hAnsi="宋体" w:cs="宋体"/>
              </w:rPr>
            </w:pPr>
            <w:r>
              <w:rPr>
                <w:rFonts w:hint="eastAsia" w:ascii="宋体" w:hAnsi="宋体" w:cs="宋体"/>
              </w:rPr>
              <w:t>采购人</w:t>
            </w:r>
          </w:p>
        </w:tc>
        <w:tc>
          <w:tcPr>
            <w:tcW w:w="5670" w:type="dxa"/>
            <w:vAlign w:val="center"/>
          </w:tcPr>
          <w:p w14:paraId="469696D0">
            <w:pPr>
              <w:spacing w:line="360" w:lineRule="auto"/>
              <w:rPr>
                <w:rFonts w:hint="eastAsia" w:ascii="宋体" w:hAnsi="宋体" w:cs="宋体"/>
              </w:rPr>
            </w:pPr>
            <w:r>
              <w:rPr>
                <w:rFonts w:hint="eastAsia" w:ascii="宋体" w:hAnsi="宋体" w:cs="宋体"/>
              </w:rPr>
              <w:t>名  称：陕西省女子监狱</w:t>
            </w:r>
          </w:p>
          <w:p w14:paraId="1A247DEF">
            <w:pPr>
              <w:spacing w:line="360" w:lineRule="auto"/>
              <w:rPr>
                <w:rFonts w:hint="eastAsia" w:ascii="宋体" w:hAnsi="宋体" w:cs="宋体"/>
                <w:bCs/>
                <w:szCs w:val="21"/>
              </w:rPr>
            </w:pPr>
            <w:r>
              <w:rPr>
                <w:rFonts w:hint="eastAsia" w:ascii="宋体" w:hAnsi="宋体" w:cs="宋体"/>
                <w:bCs/>
                <w:szCs w:val="21"/>
              </w:rPr>
              <w:t>地  址：陕西省西安市长安区王莽街道</w:t>
            </w:r>
          </w:p>
          <w:p w14:paraId="05000189">
            <w:pPr>
              <w:spacing w:line="360" w:lineRule="auto"/>
              <w:rPr>
                <w:rFonts w:hint="eastAsia" w:ascii="宋体" w:hAnsi="宋体" w:cs="宋体"/>
              </w:rPr>
            </w:pPr>
            <w:r>
              <w:rPr>
                <w:rFonts w:hint="eastAsia" w:ascii="宋体" w:hAnsi="宋体" w:cs="宋体"/>
              </w:rPr>
              <w:t>电  话：18149456003</w:t>
            </w:r>
          </w:p>
        </w:tc>
      </w:tr>
      <w:tr w14:paraId="505D9A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25" w:hRule="atLeast"/>
          <w:jc w:val="center"/>
        </w:trPr>
        <w:tc>
          <w:tcPr>
            <w:tcW w:w="1072" w:type="dxa"/>
            <w:vAlign w:val="center"/>
          </w:tcPr>
          <w:p w14:paraId="10AE65D0">
            <w:pPr>
              <w:spacing w:line="360" w:lineRule="auto"/>
              <w:jc w:val="center"/>
              <w:rPr>
                <w:rFonts w:hint="eastAsia" w:ascii="宋体" w:hAnsi="宋体" w:cs="宋体"/>
              </w:rPr>
            </w:pPr>
            <w:r>
              <w:rPr>
                <w:rFonts w:hint="eastAsia" w:ascii="宋体" w:hAnsi="宋体" w:cs="宋体"/>
              </w:rPr>
              <w:t>1.1.3</w:t>
            </w:r>
          </w:p>
        </w:tc>
        <w:tc>
          <w:tcPr>
            <w:tcW w:w="2551" w:type="dxa"/>
            <w:vAlign w:val="center"/>
          </w:tcPr>
          <w:p w14:paraId="0D849CEE">
            <w:pPr>
              <w:spacing w:line="360" w:lineRule="auto"/>
              <w:jc w:val="center"/>
              <w:rPr>
                <w:rFonts w:hint="eastAsia" w:ascii="宋体" w:hAnsi="宋体" w:cs="宋体"/>
              </w:rPr>
            </w:pPr>
            <w:r>
              <w:rPr>
                <w:rFonts w:hint="eastAsia" w:ascii="宋体" w:hAnsi="宋体" w:cs="宋体"/>
              </w:rPr>
              <w:t>采购代理机构</w:t>
            </w:r>
          </w:p>
        </w:tc>
        <w:tc>
          <w:tcPr>
            <w:tcW w:w="5670" w:type="dxa"/>
            <w:vAlign w:val="center"/>
          </w:tcPr>
          <w:p w14:paraId="33850B10">
            <w:pPr>
              <w:spacing w:line="360" w:lineRule="auto"/>
              <w:rPr>
                <w:rFonts w:hint="eastAsia" w:ascii="宋体" w:hAnsi="宋体" w:cs="宋体"/>
              </w:rPr>
            </w:pPr>
            <w:r>
              <w:rPr>
                <w:rFonts w:hint="eastAsia" w:ascii="宋体" w:hAnsi="宋体" w:cs="宋体"/>
              </w:rPr>
              <w:t>名称：陕西中辉招标造价咨询有限公司</w:t>
            </w:r>
          </w:p>
          <w:p w14:paraId="12062BEC">
            <w:pPr>
              <w:spacing w:line="360" w:lineRule="auto"/>
              <w:rPr>
                <w:rFonts w:hint="eastAsia" w:ascii="宋体" w:hAnsi="宋体" w:cs="宋体"/>
              </w:rPr>
            </w:pPr>
            <w:r>
              <w:rPr>
                <w:rFonts w:hint="eastAsia" w:ascii="宋体" w:hAnsi="宋体" w:cs="宋体"/>
              </w:rPr>
              <w:t>地址：西安市雁塔区雁展路1111号莱安中心T7-1907室</w:t>
            </w:r>
          </w:p>
          <w:p w14:paraId="11CFBEAD">
            <w:pPr>
              <w:widowControl/>
              <w:spacing w:line="360" w:lineRule="auto"/>
              <w:rPr>
                <w:rFonts w:hint="eastAsia" w:ascii="宋体" w:hAnsi="宋体" w:cs="宋体"/>
              </w:rPr>
            </w:pPr>
            <w:r>
              <w:rPr>
                <w:rFonts w:hint="eastAsia" w:ascii="宋体" w:hAnsi="宋体" w:cs="宋体"/>
              </w:rPr>
              <w:t>联系人：李工</w:t>
            </w:r>
          </w:p>
          <w:p w14:paraId="69D2A054">
            <w:pPr>
              <w:spacing w:line="360" w:lineRule="auto"/>
              <w:rPr>
                <w:rFonts w:hint="eastAsia" w:ascii="宋体" w:hAnsi="宋体" w:cs="宋体"/>
              </w:rPr>
            </w:pPr>
            <w:r>
              <w:rPr>
                <w:rFonts w:hint="eastAsia" w:ascii="宋体" w:hAnsi="宋体" w:cs="宋体"/>
              </w:rPr>
              <w:t>电话：029-87935188</w:t>
            </w:r>
          </w:p>
        </w:tc>
      </w:tr>
      <w:tr w14:paraId="06F9FB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72" w:type="dxa"/>
            <w:vAlign w:val="center"/>
          </w:tcPr>
          <w:p w14:paraId="31F053CA">
            <w:pPr>
              <w:spacing w:line="360" w:lineRule="auto"/>
              <w:jc w:val="center"/>
              <w:rPr>
                <w:rFonts w:hint="eastAsia" w:ascii="宋体" w:hAnsi="宋体" w:cs="宋体"/>
              </w:rPr>
            </w:pPr>
            <w:r>
              <w:rPr>
                <w:rFonts w:hint="eastAsia" w:ascii="宋体" w:hAnsi="宋体" w:cs="宋体"/>
              </w:rPr>
              <w:t>1.1.4</w:t>
            </w:r>
          </w:p>
        </w:tc>
        <w:tc>
          <w:tcPr>
            <w:tcW w:w="2551" w:type="dxa"/>
            <w:vAlign w:val="center"/>
          </w:tcPr>
          <w:p w14:paraId="6BCB42FF">
            <w:pPr>
              <w:spacing w:line="360" w:lineRule="auto"/>
              <w:jc w:val="center"/>
              <w:rPr>
                <w:rFonts w:hint="eastAsia" w:ascii="宋体" w:hAnsi="宋体" w:cs="宋体"/>
              </w:rPr>
            </w:pPr>
            <w:r>
              <w:rPr>
                <w:rFonts w:hint="eastAsia" w:ascii="宋体" w:hAnsi="宋体" w:cs="宋体"/>
              </w:rPr>
              <w:t>项目名称</w:t>
            </w:r>
          </w:p>
        </w:tc>
        <w:tc>
          <w:tcPr>
            <w:tcW w:w="5670" w:type="dxa"/>
            <w:vAlign w:val="center"/>
          </w:tcPr>
          <w:p w14:paraId="6FD62FF0">
            <w:pPr>
              <w:spacing w:line="360" w:lineRule="auto"/>
              <w:rPr>
                <w:rFonts w:hint="eastAsia" w:ascii="宋体" w:hAnsi="宋体" w:cs="宋体"/>
              </w:rPr>
            </w:pPr>
            <w:r>
              <w:rPr>
                <w:rFonts w:hint="eastAsia" w:ascii="宋体" w:hAnsi="宋体" w:cs="宋体"/>
              </w:rPr>
              <w:t>女子监狱机房不间断电源电池组更换项目</w:t>
            </w:r>
          </w:p>
        </w:tc>
      </w:tr>
      <w:tr w14:paraId="20C914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72" w:type="dxa"/>
            <w:vAlign w:val="center"/>
          </w:tcPr>
          <w:p w14:paraId="3F2E89F1">
            <w:pPr>
              <w:spacing w:line="360" w:lineRule="auto"/>
              <w:jc w:val="center"/>
              <w:rPr>
                <w:rFonts w:hint="eastAsia" w:ascii="宋体" w:hAnsi="宋体" w:cs="宋体"/>
              </w:rPr>
            </w:pPr>
            <w:r>
              <w:rPr>
                <w:rFonts w:hint="eastAsia" w:ascii="宋体" w:hAnsi="宋体" w:cs="宋体"/>
              </w:rPr>
              <w:t>1.2.1</w:t>
            </w:r>
          </w:p>
        </w:tc>
        <w:tc>
          <w:tcPr>
            <w:tcW w:w="2551" w:type="dxa"/>
            <w:vAlign w:val="center"/>
          </w:tcPr>
          <w:p w14:paraId="776EAF20">
            <w:pPr>
              <w:spacing w:line="360" w:lineRule="auto"/>
              <w:jc w:val="center"/>
              <w:rPr>
                <w:rFonts w:hint="eastAsia" w:ascii="宋体" w:hAnsi="宋体" w:cs="宋体"/>
              </w:rPr>
            </w:pPr>
            <w:r>
              <w:rPr>
                <w:rFonts w:hint="eastAsia" w:ascii="宋体" w:hAnsi="宋体" w:cs="宋体"/>
              </w:rPr>
              <w:t>资金来源及比例</w:t>
            </w:r>
          </w:p>
        </w:tc>
        <w:tc>
          <w:tcPr>
            <w:tcW w:w="5670" w:type="dxa"/>
            <w:vAlign w:val="center"/>
          </w:tcPr>
          <w:p w14:paraId="6C4150E3">
            <w:pPr>
              <w:spacing w:line="360" w:lineRule="auto"/>
              <w:rPr>
                <w:rFonts w:hint="eastAsia" w:ascii="宋体" w:hAnsi="宋体" w:cs="宋体"/>
                <w:kern w:val="0"/>
              </w:rPr>
            </w:pPr>
            <w:r>
              <w:rPr>
                <w:rFonts w:hint="eastAsia" w:ascii="宋体" w:hAnsi="宋体" w:cs="宋体"/>
                <w:kern w:val="0"/>
              </w:rPr>
              <w:t>财政资金、100%</w:t>
            </w:r>
          </w:p>
        </w:tc>
      </w:tr>
      <w:tr w14:paraId="4F3CFA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72" w:type="dxa"/>
            <w:vAlign w:val="center"/>
          </w:tcPr>
          <w:p w14:paraId="5D30759C">
            <w:pPr>
              <w:spacing w:line="360" w:lineRule="auto"/>
              <w:jc w:val="center"/>
              <w:rPr>
                <w:rFonts w:hint="eastAsia" w:ascii="宋体" w:hAnsi="宋体" w:cs="宋体"/>
              </w:rPr>
            </w:pPr>
            <w:r>
              <w:rPr>
                <w:rFonts w:hint="eastAsia" w:ascii="宋体" w:hAnsi="宋体" w:cs="宋体"/>
              </w:rPr>
              <w:t>1.2.2</w:t>
            </w:r>
          </w:p>
        </w:tc>
        <w:tc>
          <w:tcPr>
            <w:tcW w:w="2551" w:type="dxa"/>
            <w:vAlign w:val="center"/>
          </w:tcPr>
          <w:p w14:paraId="271CB9CA">
            <w:pPr>
              <w:spacing w:line="360" w:lineRule="auto"/>
              <w:jc w:val="center"/>
              <w:rPr>
                <w:rFonts w:hint="eastAsia" w:ascii="宋体" w:hAnsi="宋体" w:cs="宋体"/>
              </w:rPr>
            </w:pPr>
            <w:r>
              <w:rPr>
                <w:rFonts w:hint="eastAsia" w:ascii="宋体" w:hAnsi="宋体" w:cs="宋体"/>
              </w:rPr>
              <w:t>资金落实情况</w:t>
            </w:r>
          </w:p>
        </w:tc>
        <w:tc>
          <w:tcPr>
            <w:tcW w:w="5670" w:type="dxa"/>
            <w:vAlign w:val="center"/>
          </w:tcPr>
          <w:p w14:paraId="1410453D">
            <w:pPr>
              <w:spacing w:line="360" w:lineRule="auto"/>
              <w:rPr>
                <w:rFonts w:hint="eastAsia" w:ascii="宋体" w:hAnsi="宋体" w:cs="宋体"/>
              </w:rPr>
            </w:pPr>
            <w:r>
              <w:rPr>
                <w:rFonts w:hint="eastAsia" w:ascii="宋体" w:hAnsi="宋体" w:cs="宋体"/>
              </w:rPr>
              <w:t>项目资金已落实</w:t>
            </w:r>
          </w:p>
        </w:tc>
      </w:tr>
      <w:tr w14:paraId="162D84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72" w:type="dxa"/>
            <w:vAlign w:val="center"/>
          </w:tcPr>
          <w:p w14:paraId="7159087E">
            <w:pPr>
              <w:spacing w:line="360" w:lineRule="auto"/>
              <w:jc w:val="center"/>
              <w:rPr>
                <w:rFonts w:hint="eastAsia" w:ascii="宋体" w:hAnsi="宋体" w:cs="宋体"/>
              </w:rPr>
            </w:pPr>
            <w:r>
              <w:rPr>
                <w:rFonts w:hint="eastAsia" w:ascii="宋体" w:hAnsi="宋体" w:cs="宋体"/>
              </w:rPr>
              <w:t>1.3.1</w:t>
            </w:r>
          </w:p>
        </w:tc>
        <w:tc>
          <w:tcPr>
            <w:tcW w:w="2551" w:type="dxa"/>
            <w:vAlign w:val="center"/>
          </w:tcPr>
          <w:p w14:paraId="7FA7C028">
            <w:pPr>
              <w:spacing w:line="360" w:lineRule="auto"/>
              <w:jc w:val="center"/>
              <w:rPr>
                <w:rFonts w:hint="eastAsia" w:ascii="宋体" w:hAnsi="宋体" w:cs="宋体"/>
              </w:rPr>
            </w:pPr>
            <w:r>
              <w:rPr>
                <w:rFonts w:hint="eastAsia" w:ascii="宋体" w:hAnsi="宋体" w:cs="宋体"/>
              </w:rPr>
              <w:t>采购范围</w:t>
            </w:r>
          </w:p>
        </w:tc>
        <w:tc>
          <w:tcPr>
            <w:tcW w:w="5670" w:type="dxa"/>
            <w:vAlign w:val="center"/>
          </w:tcPr>
          <w:p w14:paraId="6183BE6F">
            <w:pPr>
              <w:spacing w:line="360" w:lineRule="auto"/>
              <w:rPr>
                <w:rFonts w:hint="eastAsia" w:ascii="宋体" w:hAnsi="宋体" w:cs="宋体"/>
              </w:rPr>
            </w:pPr>
            <w:r>
              <w:rPr>
                <w:rFonts w:ascii="宋体" w:hAnsi="宋体" w:cs="宋体"/>
              </w:rPr>
              <w:t>女子监狱机房不间断电源电池组更换项目</w:t>
            </w:r>
          </w:p>
        </w:tc>
      </w:tr>
      <w:tr w14:paraId="293844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72" w:type="dxa"/>
            <w:vAlign w:val="center"/>
          </w:tcPr>
          <w:p w14:paraId="6B4352CA">
            <w:pPr>
              <w:spacing w:line="360" w:lineRule="auto"/>
              <w:jc w:val="center"/>
              <w:rPr>
                <w:rFonts w:hint="eastAsia" w:ascii="宋体" w:hAnsi="宋体" w:cs="宋体"/>
              </w:rPr>
            </w:pPr>
            <w:r>
              <w:rPr>
                <w:rFonts w:hint="eastAsia" w:ascii="宋体" w:hAnsi="宋体" w:cs="宋体"/>
              </w:rPr>
              <w:t>1.3.2</w:t>
            </w:r>
          </w:p>
        </w:tc>
        <w:tc>
          <w:tcPr>
            <w:tcW w:w="2551" w:type="dxa"/>
            <w:vAlign w:val="center"/>
          </w:tcPr>
          <w:p w14:paraId="10CBFE5B">
            <w:pPr>
              <w:spacing w:line="360" w:lineRule="auto"/>
              <w:jc w:val="center"/>
              <w:rPr>
                <w:rFonts w:hint="eastAsia" w:ascii="宋体" w:hAnsi="宋体" w:cs="宋体"/>
              </w:rPr>
            </w:pPr>
            <w:r>
              <w:rPr>
                <w:rFonts w:hint="eastAsia" w:ascii="宋体" w:hAnsi="宋体" w:cs="宋体"/>
              </w:rPr>
              <w:t>交货期限</w:t>
            </w:r>
          </w:p>
        </w:tc>
        <w:tc>
          <w:tcPr>
            <w:tcW w:w="5670" w:type="dxa"/>
            <w:vAlign w:val="center"/>
          </w:tcPr>
          <w:p w14:paraId="7CE99CFB">
            <w:pPr>
              <w:spacing w:line="360" w:lineRule="auto"/>
              <w:rPr>
                <w:rFonts w:hint="eastAsia" w:ascii="宋体" w:hAnsi="宋体" w:cs="宋体"/>
              </w:rPr>
            </w:pPr>
            <w:r>
              <w:rPr>
                <w:rFonts w:hint="eastAsia" w:ascii="宋体" w:hAnsi="宋体" w:cs="宋体"/>
                <w:lang w:val="zh-CN"/>
              </w:rPr>
              <w:t>自合同签订之日起</w:t>
            </w:r>
            <w:r>
              <w:rPr>
                <w:rFonts w:hint="eastAsia" w:ascii="宋体" w:hAnsi="宋体" w:cs="宋体"/>
              </w:rPr>
              <w:t>20</w:t>
            </w:r>
            <w:r>
              <w:rPr>
                <w:rFonts w:hint="eastAsia" w:ascii="宋体" w:hAnsi="宋体" w:cs="宋体"/>
                <w:lang w:val="zh-CN"/>
              </w:rPr>
              <w:t>日历天内完成</w:t>
            </w:r>
            <w:r>
              <w:rPr>
                <w:rFonts w:hint="eastAsia" w:ascii="宋体" w:hAnsi="宋体" w:cs="宋体"/>
              </w:rPr>
              <w:t>安装调试</w:t>
            </w:r>
          </w:p>
        </w:tc>
      </w:tr>
      <w:tr w14:paraId="711FCD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72" w:type="dxa"/>
            <w:vAlign w:val="center"/>
          </w:tcPr>
          <w:p w14:paraId="6EAF14C8">
            <w:pPr>
              <w:spacing w:line="360" w:lineRule="auto"/>
              <w:jc w:val="center"/>
              <w:rPr>
                <w:rFonts w:hint="eastAsia" w:ascii="宋体" w:hAnsi="宋体" w:cs="宋体"/>
              </w:rPr>
            </w:pPr>
            <w:r>
              <w:rPr>
                <w:rFonts w:hint="eastAsia" w:ascii="宋体" w:hAnsi="宋体" w:cs="宋体"/>
              </w:rPr>
              <w:t>1.3.3</w:t>
            </w:r>
          </w:p>
        </w:tc>
        <w:tc>
          <w:tcPr>
            <w:tcW w:w="2551" w:type="dxa"/>
            <w:vAlign w:val="center"/>
          </w:tcPr>
          <w:p w14:paraId="4DBD337E">
            <w:pPr>
              <w:spacing w:line="360" w:lineRule="auto"/>
              <w:jc w:val="center"/>
              <w:rPr>
                <w:rFonts w:hint="eastAsia" w:ascii="宋体" w:hAnsi="宋体" w:cs="宋体"/>
              </w:rPr>
            </w:pPr>
            <w:r>
              <w:rPr>
                <w:rFonts w:hint="eastAsia" w:ascii="宋体" w:hAnsi="宋体" w:cs="宋体"/>
              </w:rPr>
              <w:t>交货地点</w:t>
            </w:r>
          </w:p>
        </w:tc>
        <w:tc>
          <w:tcPr>
            <w:tcW w:w="5670" w:type="dxa"/>
            <w:vAlign w:val="center"/>
          </w:tcPr>
          <w:p w14:paraId="6E6D45E8">
            <w:pPr>
              <w:spacing w:line="360" w:lineRule="auto"/>
              <w:rPr>
                <w:rFonts w:hint="eastAsia" w:ascii="宋体" w:hAnsi="宋体" w:cs="宋体"/>
              </w:rPr>
            </w:pPr>
            <w:r>
              <w:rPr>
                <w:rFonts w:hint="eastAsia" w:ascii="宋体" w:hAnsi="宋体" w:cs="宋体"/>
              </w:rPr>
              <w:t>甲方指定地点</w:t>
            </w:r>
          </w:p>
        </w:tc>
      </w:tr>
      <w:tr w14:paraId="5F9956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72" w:type="dxa"/>
            <w:vAlign w:val="center"/>
          </w:tcPr>
          <w:p w14:paraId="6C08F67B">
            <w:pPr>
              <w:spacing w:line="360" w:lineRule="auto"/>
              <w:jc w:val="center"/>
              <w:rPr>
                <w:rFonts w:hint="eastAsia" w:ascii="宋体" w:hAnsi="宋体" w:cs="宋体"/>
              </w:rPr>
            </w:pPr>
            <w:r>
              <w:rPr>
                <w:rFonts w:hint="eastAsia" w:ascii="宋体" w:hAnsi="宋体" w:cs="宋体"/>
              </w:rPr>
              <w:t>1.3.5</w:t>
            </w:r>
          </w:p>
        </w:tc>
        <w:tc>
          <w:tcPr>
            <w:tcW w:w="2551" w:type="dxa"/>
            <w:vAlign w:val="center"/>
          </w:tcPr>
          <w:p w14:paraId="2EE4B968">
            <w:pPr>
              <w:spacing w:line="360" w:lineRule="auto"/>
              <w:jc w:val="center"/>
              <w:rPr>
                <w:rFonts w:hint="eastAsia" w:ascii="宋体" w:hAnsi="宋体" w:cs="宋体"/>
              </w:rPr>
            </w:pPr>
            <w:r>
              <w:rPr>
                <w:rFonts w:hint="eastAsia" w:ascii="宋体" w:hAnsi="宋体" w:cs="宋体"/>
              </w:rPr>
              <w:t>质量标准</w:t>
            </w:r>
          </w:p>
        </w:tc>
        <w:tc>
          <w:tcPr>
            <w:tcW w:w="5670" w:type="dxa"/>
            <w:vAlign w:val="center"/>
          </w:tcPr>
          <w:p w14:paraId="17A993D7">
            <w:pPr>
              <w:spacing w:line="360" w:lineRule="auto"/>
              <w:rPr>
                <w:rFonts w:hint="eastAsia" w:ascii="宋体" w:hAnsi="宋体" w:cs="宋体"/>
              </w:rPr>
            </w:pPr>
            <w:r>
              <w:rPr>
                <w:rFonts w:hint="eastAsia" w:ascii="宋体" w:hAnsi="宋体" w:cs="宋体"/>
              </w:rPr>
              <w:t>达到国家及行业质量验收合格标准</w:t>
            </w:r>
          </w:p>
        </w:tc>
      </w:tr>
      <w:tr w14:paraId="142552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072" w:type="dxa"/>
            <w:vAlign w:val="center"/>
          </w:tcPr>
          <w:p w14:paraId="6102F14E">
            <w:pPr>
              <w:spacing w:line="360" w:lineRule="auto"/>
              <w:jc w:val="center"/>
              <w:rPr>
                <w:rFonts w:hint="default" w:ascii="宋体" w:hAnsi="宋体" w:eastAsia="宋体" w:cs="宋体"/>
                <w:lang w:val="en-US" w:eastAsia="zh-CN"/>
              </w:rPr>
            </w:pPr>
            <w:r>
              <w:rPr>
                <w:rFonts w:hint="eastAsia" w:ascii="宋体" w:hAnsi="宋体" w:cs="宋体"/>
                <w:lang w:val="en-US" w:eastAsia="zh-CN"/>
              </w:rPr>
              <w:t>1.3.6</w:t>
            </w:r>
          </w:p>
        </w:tc>
        <w:tc>
          <w:tcPr>
            <w:tcW w:w="2551" w:type="dxa"/>
            <w:vAlign w:val="center"/>
          </w:tcPr>
          <w:p w14:paraId="6F62CBB1">
            <w:pPr>
              <w:spacing w:line="360" w:lineRule="auto"/>
              <w:jc w:val="center"/>
              <w:rPr>
                <w:rFonts w:hint="default" w:ascii="宋体" w:hAnsi="宋体" w:eastAsia="宋体" w:cs="宋体"/>
                <w:lang w:val="en-US" w:eastAsia="zh-CN"/>
              </w:rPr>
            </w:pPr>
            <w:r>
              <w:rPr>
                <w:rFonts w:hint="eastAsia" w:ascii="宋体" w:hAnsi="宋体" w:cs="宋体"/>
                <w:lang w:val="en-US" w:eastAsia="zh-CN"/>
              </w:rPr>
              <w:t>质保期</w:t>
            </w:r>
          </w:p>
        </w:tc>
        <w:tc>
          <w:tcPr>
            <w:tcW w:w="5670" w:type="dxa"/>
            <w:vAlign w:val="center"/>
          </w:tcPr>
          <w:p w14:paraId="5DD82442">
            <w:pPr>
              <w:spacing w:line="360" w:lineRule="auto"/>
              <w:rPr>
                <w:rFonts w:hint="eastAsia" w:ascii="宋体" w:hAnsi="宋体" w:eastAsia="宋体" w:cs="宋体"/>
                <w:lang w:val="en-US" w:eastAsia="zh-CN"/>
              </w:rPr>
            </w:pPr>
            <w:r>
              <w:rPr>
                <w:rFonts w:hint="eastAsia" w:ascii="宋体" w:hAnsi="宋体" w:cs="宋体"/>
                <w:lang w:val="en-US" w:eastAsia="zh-CN"/>
              </w:rPr>
              <w:t>三年</w:t>
            </w:r>
          </w:p>
        </w:tc>
      </w:tr>
      <w:tr w14:paraId="6F3FDA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14:paraId="18948935">
            <w:pPr>
              <w:spacing w:line="360" w:lineRule="auto"/>
              <w:jc w:val="center"/>
              <w:rPr>
                <w:rFonts w:hint="eastAsia" w:ascii="宋体" w:hAnsi="宋体" w:cs="宋体"/>
              </w:rPr>
            </w:pPr>
            <w:r>
              <w:rPr>
                <w:rFonts w:hint="eastAsia" w:ascii="宋体" w:hAnsi="宋体" w:cs="宋体"/>
              </w:rPr>
              <w:t>1.4.1</w:t>
            </w:r>
          </w:p>
        </w:tc>
        <w:tc>
          <w:tcPr>
            <w:tcW w:w="2551" w:type="dxa"/>
            <w:vAlign w:val="center"/>
          </w:tcPr>
          <w:p w14:paraId="15607D4A">
            <w:pPr>
              <w:spacing w:line="360" w:lineRule="auto"/>
              <w:jc w:val="center"/>
              <w:rPr>
                <w:rFonts w:hint="eastAsia" w:ascii="宋体" w:hAnsi="宋体" w:cs="宋体"/>
              </w:rPr>
            </w:pPr>
            <w:r>
              <w:rPr>
                <w:rFonts w:hint="eastAsia" w:ascii="宋体" w:hAnsi="宋体" w:cs="宋体"/>
              </w:rPr>
              <w:t>供应商资格要求</w:t>
            </w:r>
          </w:p>
        </w:tc>
        <w:tc>
          <w:tcPr>
            <w:tcW w:w="5670" w:type="dxa"/>
            <w:vAlign w:val="center"/>
          </w:tcPr>
          <w:p w14:paraId="31B33ADA">
            <w:pPr>
              <w:numPr>
                <w:ilvl w:val="0"/>
                <w:numId w:val="1"/>
              </w:numPr>
              <w:spacing w:line="360" w:lineRule="auto"/>
              <w:rPr>
                <w:rFonts w:hint="eastAsia" w:ascii="宋体" w:hAnsi="宋体" w:cs="宋体"/>
              </w:rPr>
            </w:pPr>
            <w:r>
              <w:rPr>
                <w:rFonts w:hint="eastAsia" w:ascii="宋体" w:hAnsi="宋体" w:cs="宋体"/>
              </w:rPr>
              <w:t>基础资格要求：满足《中华人民共和国政府采购法》第二十二条规定。</w:t>
            </w:r>
          </w:p>
          <w:p w14:paraId="43E59529">
            <w:pPr>
              <w:spacing w:line="360" w:lineRule="auto"/>
              <w:rPr>
                <w:rFonts w:hint="eastAsia" w:ascii="宋体" w:hAnsi="宋体" w:cs="宋体"/>
              </w:rPr>
            </w:pPr>
            <w:r>
              <w:rPr>
                <w:rFonts w:hint="eastAsia" w:ascii="宋体" w:hAnsi="宋体" w:cs="宋体"/>
              </w:rPr>
              <w:t>2.落实政府采购政策需满足的资格要求：</w:t>
            </w:r>
          </w:p>
          <w:p w14:paraId="5998292C">
            <w:pPr>
              <w:spacing w:line="360" w:lineRule="auto"/>
              <w:rPr>
                <w:rFonts w:hint="eastAsia" w:ascii="宋体" w:hAnsi="宋体" w:cs="宋体"/>
              </w:rPr>
            </w:pPr>
            <w:r>
              <w:rPr>
                <w:rFonts w:hint="eastAsia" w:ascii="宋体" w:hAnsi="宋体" w:cs="宋体"/>
              </w:rPr>
              <w:t>本项目属于非专门面向中小企业采购项目。</w:t>
            </w:r>
          </w:p>
          <w:p w14:paraId="3D7070AD">
            <w:pPr>
              <w:spacing w:line="360" w:lineRule="auto"/>
              <w:rPr>
                <w:rFonts w:hint="eastAsia" w:ascii="宋体" w:hAnsi="宋体" w:cs="宋体"/>
              </w:rPr>
            </w:pPr>
            <w:r>
              <w:rPr>
                <w:rFonts w:hint="eastAsia" w:ascii="宋体" w:hAnsi="宋体" w:cs="宋体"/>
              </w:rPr>
              <w:t>3.特定资格要求：</w:t>
            </w:r>
          </w:p>
          <w:p w14:paraId="1D9F61B6">
            <w:pPr>
              <w:spacing w:line="360" w:lineRule="auto"/>
              <w:rPr>
                <w:rFonts w:hint="eastAsia" w:ascii="宋体" w:hAnsi="宋体" w:cs="宋体"/>
              </w:rPr>
            </w:pPr>
            <w:r>
              <w:rPr>
                <w:rFonts w:hint="eastAsia" w:ascii="宋体" w:hAnsi="宋体" w:cs="宋体"/>
              </w:rPr>
              <w:t>1.供应商须是在中华人民共和国境内正式注册并具有独立法人资格的企业或其他组织，提供有效的营业执照或其他证明资料；</w:t>
            </w:r>
          </w:p>
          <w:p w14:paraId="067433D3">
            <w:pPr>
              <w:spacing w:line="360" w:lineRule="auto"/>
              <w:rPr>
                <w:rFonts w:hint="eastAsia" w:ascii="宋体" w:hAnsi="宋体" w:cs="宋体"/>
              </w:rPr>
            </w:pPr>
            <w:r>
              <w:rPr>
                <w:rFonts w:hint="eastAsia" w:ascii="宋体" w:hAnsi="宋体" w:cs="宋体"/>
              </w:rPr>
              <w:t>2.供应商提供法定代表人授权书及被授权人身份证，法定代表人直接参加磋商的须提交其法人身份证明；</w:t>
            </w:r>
          </w:p>
          <w:p w14:paraId="32F4DBAD">
            <w:pPr>
              <w:spacing w:line="360" w:lineRule="auto"/>
              <w:rPr>
                <w:rFonts w:hint="eastAsia" w:ascii="宋体" w:hAnsi="宋体" w:cs="宋体"/>
              </w:rPr>
            </w:pPr>
            <w:r>
              <w:rPr>
                <w:rFonts w:hint="eastAsia" w:ascii="宋体" w:hAnsi="宋体" w:cs="宋体"/>
              </w:rPr>
              <w:t xml:space="preserve">3.税收缴纳证明：提供响应文件截止时间前一年内至少一个月的纳税证明或完税证明（任意税种），纳税证明或完税证明上应有代收机构或税务机关的公章或业务专用章；依法免税的供应商应提供相关文件证明； </w:t>
            </w:r>
          </w:p>
          <w:p w14:paraId="769C5443">
            <w:pPr>
              <w:spacing w:line="360" w:lineRule="auto"/>
              <w:rPr>
                <w:rFonts w:hint="eastAsia" w:ascii="宋体" w:hAnsi="宋体" w:cs="宋体"/>
              </w:rPr>
            </w:pPr>
            <w:r>
              <w:rPr>
                <w:rFonts w:hint="eastAsia" w:ascii="宋体" w:hAnsi="宋体" w:cs="宋体"/>
              </w:rPr>
              <w:t xml:space="preserve">4.社会保障资金缴纳证明：提供响应文件截止时间前一年内至少一个月已缴纳的社会保障资金的证明（社会保障资金缴存单据或社保机构开具的社会保险参保缴费情况证明或完税证明等）；依法不需要缴纳社会保障资金的供应商应提供相关文件证明； </w:t>
            </w:r>
          </w:p>
          <w:p w14:paraId="66597511">
            <w:pPr>
              <w:spacing w:line="360" w:lineRule="auto"/>
              <w:rPr>
                <w:rFonts w:hint="eastAsia" w:ascii="宋体" w:hAnsi="宋体" w:cs="宋体"/>
              </w:rPr>
            </w:pPr>
            <w:r>
              <w:rPr>
                <w:rFonts w:hint="eastAsia" w:ascii="宋体" w:hAnsi="宋体" w:cs="宋体"/>
              </w:rPr>
              <w:t xml:space="preserve">5.财务状况报告：提供经会计师事务审计的完整的2024年度审计报告或2025年度审计报告（报告至少包含三表一注），或提交响应文件截止时间前六个月内基本账户开户银行出具的资信证明；（附开户许可证或开户备案证明或基本账户信息） </w:t>
            </w:r>
          </w:p>
          <w:p w14:paraId="10ECE838">
            <w:pPr>
              <w:spacing w:line="360" w:lineRule="auto"/>
              <w:rPr>
                <w:rFonts w:hint="eastAsia" w:ascii="宋体" w:hAnsi="宋体" w:cs="宋体"/>
              </w:rPr>
            </w:pPr>
            <w:r>
              <w:rPr>
                <w:rFonts w:hint="eastAsia" w:ascii="宋体" w:hAnsi="宋体" w:cs="宋体"/>
              </w:rPr>
              <w:t xml:space="preserve"> 6.提供具有履行本合同所必需的设备和专业技术能力的声明； </w:t>
            </w:r>
          </w:p>
          <w:p w14:paraId="6B95540E">
            <w:pPr>
              <w:spacing w:line="360" w:lineRule="auto"/>
              <w:rPr>
                <w:rFonts w:hint="eastAsia" w:ascii="宋体" w:hAnsi="宋体" w:cs="宋体"/>
              </w:rPr>
            </w:pPr>
            <w:r>
              <w:rPr>
                <w:rFonts w:hint="eastAsia" w:ascii="宋体" w:hAnsi="宋体" w:cs="宋体"/>
              </w:rPr>
              <w:t xml:space="preserve"> 7.参加本次政府采购活动前3年内在经营活动中没有重大违纪，以及未被列入失信被执行人、重大税收违法失信主体、政府采购严重违法失信行为记录名单的书面声明；</w:t>
            </w:r>
          </w:p>
          <w:p w14:paraId="5AC68144">
            <w:pPr>
              <w:spacing w:line="360" w:lineRule="auto"/>
              <w:rPr>
                <w:rFonts w:hint="eastAsia" w:ascii="宋体" w:hAnsi="宋体" w:cs="宋体"/>
              </w:rPr>
            </w:pPr>
            <w:r>
              <w:rPr>
                <w:rFonts w:hint="eastAsia" w:ascii="宋体" w:hAnsi="宋体" w:cs="宋体"/>
              </w:rPr>
              <w:t xml:space="preserve"> 8.供应商不得列入国家企业信用信息公示系统（http://www.gsxt.gov.cn/index.html）严重违法失信企业名单（黑名单）、不得列入信用中国网站（www.creditchina.gov.cn）重大税收违法案件当事人名单的供应商，须提供网站相关内容查询结果截图并加盖公章；</w:t>
            </w:r>
          </w:p>
          <w:p w14:paraId="0C59E200">
            <w:pPr>
              <w:spacing w:line="360" w:lineRule="auto"/>
              <w:rPr>
                <w:rFonts w:hint="eastAsia" w:ascii="宋体" w:hAnsi="宋体" w:cs="宋体"/>
              </w:rPr>
            </w:pPr>
            <w:r>
              <w:rPr>
                <w:rFonts w:hint="eastAsia" w:ascii="宋体" w:hAnsi="宋体" w:cs="宋体"/>
              </w:rPr>
              <w:t>本项目不接受联合体谈判。</w:t>
            </w:r>
          </w:p>
        </w:tc>
      </w:tr>
      <w:tr w14:paraId="5985C3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14:paraId="7FB75C19">
            <w:pPr>
              <w:spacing w:line="360" w:lineRule="auto"/>
              <w:jc w:val="center"/>
              <w:rPr>
                <w:rFonts w:hint="eastAsia" w:ascii="宋体" w:hAnsi="宋体" w:cs="宋体"/>
              </w:rPr>
            </w:pPr>
            <w:r>
              <w:rPr>
                <w:rFonts w:hint="eastAsia" w:ascii="宋体" w:hAnsi="宋体" w:cs="宋体"/>
              </w:rPr>
              <w:t>1.4.2</w:t>
            </w:r>
          </w:p>
        </w:tc>
        <w:tc>
          <w:tcPr>
            <w:tcW w:w="2551" w:type="dxa"/>
            <w:vAlign w:val="center"/>
          </w:tcPr>
          <w:p w14:paraId="38552A63">
            <w:pPr>
              <w:spacing w:line="360" w:lineRule="auto"/>
              <w:jc w:val="center"/>
              <w:rPr>
                <w:rFonts w:hint="eastAsia" w:ascii="宋体" w:hAnsi="宋体" w:cs="宋体"/>
              </w:rPr>
            </w:pPr>
            <w:r>
              <w:rPr>
                <w:rFonts w:hint="eastAsia" w:ascii="宋体" w:hAnsi="宋体" w:cs="宋体"/>
              </w:rPr>
              <w:t>是否接受联合体谈判</w:t>
            </w:r>
          </w:p>
        </w:tc>
        <w:tc>
          <w:tcPr>
            <w:tcW w:w="5670" w:type="dxa"/>
            <w:vAlign w:val="center"/>
          </w:tcPr>
          <w:p w14:paraId="3647E2D2">
            <w:pPr>
              <w:spacing w:line="360" w:lineRule="auto"/>
              <w:rPr>
                <w:rFonts w:hint="eastAsia" w:ascii="宋体" w:hAnsi="宋体" w:cs="宋体"/>
              </w:rPr>
            </w:pPr>
            <w:r>
              <w:rPr>
                <w:rFonts w:hint="eastAsia" w:ascii="宋体" w:hAnsi="宋体" w:cs="宋体"/>
                <w:spacing w:val="1"/>
              </w:rPr>
              <w:sym w:font="Wingdings" w:char="00FE"/>
            </w:r>
            <w:r>
              <w:rPr>
                <w:rFonts w:hint="eastAsia" w:ascii="宋体" w:hAnsi="宋体" w:cs="宋体"/>
              </w:rPr>
              <w:t>不接受</w:t>
            </w:r>
          </w:p>
          <w:p w14:paraId="7ED5575F">
            <w:pPr>
              <w:spacing w:line="360" w:lineRule="auto"/>
              <w:rPr>
                <w:rFonts w:hint="eastAsia" w:ascii="宋体" w:hAnsi="宋体" w:cs="宋体"/>
              </w:rPr>
            </w:pPr>
            <w:r>
              <w:rPr>
                <w:rFonts w:hint="eastAsia" w:ascii="宋体" w:hAnsi="宋体" w:cs="宋体"/>
                <w:spacing w:val="1"/>
              </w:rPr>
              <w:sym w:font="Wingdings" w:char="00A8"/>
            </w:r>
            <w:r>
              <w:rPr>
                <w:rFonts w:hint="eastAsia" w:ascii="宋体" w:hAnsi="宋体" w:cs="宋体"/>
              </w:rPr>
              <w:t>接受，应满足下列要求：</w:t>
            </w:r>
          </w:p>
        </w:tc>
      </w:tr>
      <w:tr w14:paraId="106D36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14:paraId="7BA93C24">
            <w:pPr>
              <w:spacing w:line="360" w:lineRule="auto"/>
              <w:jc w:val="center"/>
              <w:rPr>
                <w:rFonts w:hint="eastAsia" w:ascii="宋体" w:hAnsi="宋体" w:cs="宋体"/>
              </w:rPr>
            </w:pPr>
            <w:r>
              <w:rPr>
                <w:rFonts w:hint="eastAsia" w:ascii="宋体" w:hAnsi="宋体" w:cs="宋体"/>
              </w:rPr>
              <w:t>1.9.3</w:t>
            </w:r>
          </w:p>
        </w:tc>
        <w:tc>
          <w:tcPr>
            <w:tcW w:w="2551" w:type="dxa"/>
            <w:vAlign w:val="center"/>
          </w:tcPr>
          <w:p w14:paraId="267537F3">
            <w:pPr>
              <w:spacing w:line="360" w:lineRule="auto"/>
              <w:jc w:val="center"/>
              <w:rPr>
                <w:rFonts w:hint="eastAsia" w:ascii="宋体" w:hAnsi="宋体" w:cs="宋体"/>
              </w:rPr>
            </w:pPr>
            <w:r>
              <w:rPr>
                <w:rFonts w:hint="eastAsia" w:ascii="宋体" w:hAnsi="宋体" w:cs="宋体"/>
              </w:rPr>
              <w:t>竞争性谈判文件澄清发出的形式</w:t>
            </w:r>
          </w:p>
        </w:tc>
        <w:tc>
          <w:tcPr>
            <w:tcW w:w="5670" w:type="dxa"/>
            <w:vAlign w:val="center"/>
          </w:tcPr>
          <w:p w14:paraId="79F03D51">
            <w:pPr>
              <w:spacing w:line="360" w:lineRule="auto"/>
              <w:rPr>
                <w:rFonts w:hint="eastAsia" w:ascii="宋体" w:hAnsi="宋体" w:cs="宋体"/>
              </w:rPr>
            </w:pPr>
            <w:r>
              <w:rPr>
                <w:rFonts w:hint="eastAsia" w:ascii="宋体" w:hAnsi="宋体" w:cs="宋体"/>
              </w:rPr>
              <w:t>书面形式</w:t>
            </w:r>
          </w:p>
        </w:tc>
      </w:tr>
      <w:tr w14:paraId="14489B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14:paraId="48D75434">
            <w:pPr>
              <w:spacing w:line="360" w:lineRule="auto"/>
              <w:jc w:val="center"/>
              <w:rPr>
                <w:rFonts w:hint="eastAsia" w:ascii="宋体" w:hAnsi="宋体" w:cs="宋体"/>
              </w:rPr>
            </w:pPr>
            <w:r>
              <w:rPr>
                <w:rFonts w:hint="eastAsia" w:ascii="宋体" w:hAnsi="宋体" w:cs="宋体"/>
              </w:rPr>
              <w:t>1.10.1</w:t>
            </w:r>
          </w:p>
        </w:tc>
        <w:tc>
          <w:tcPr>
            <w:tcW w:w="2551" w:type="dxa"/>
            <w:vAlign w:val="center"/>
          </w:tcPr>
          <w:p w14:paraId="07C62211">
            <w:pPr>
              <w:spacing w:line="360" w:lineRule="auto"/>
              <w:jc w:val="center"/>
              <w:rPr>
                <w:rFonts w:hint="eastAsia" w:ascii="宋体" w:hAnsi="宋体" w:cs="宋体"/>
              </w:rPr>
            </w:pPr>
            <w:r>
              <w:rPr>
                <w:rFonts w:hint="eastAsia" w:ascii="宋体" w:hAnsi="宋体" w:cs="宋体"/>
              </w:rPr>
              <w:t>分包</w:t>
            </w:r>
          </w:p>
        </w:tc>
        <w:tc>
          <w:tcPr>
            <w:tcW w:w="5670" w:type="dxa"/>
            <w:vAlign w:val="center"/>
          </w:tcPr>
          <w:p w14:paraId="57158B1D">
            <w:pPr>
              <w:spacing w:line="360" w:lineRule="auto"/>
              <w:rPr>
                <w:rFonts w:hint="eastAsia" w:ascii="宋体" w:hAnsi="宋体" w:cs="宋体"/>
              </w:rPr>
            </w:pPr>
            <w:r>
              <w:rPr>
                <w:rFonts w:hint="eastAsia" w:ascii="宋体" w:hAnsi="宋体" w:cs="宋体"/>
                <w:spacing w:val="1"/>
              </w:rPr>
              <w:sym w:font="Wingdings" w:char="00FE"/>
            </w:r>
            <w:r>
              <w:rPr>
                <w:rFonts w:hint="eastAsia" w:ascii="宋体" w:hAnsi="宋体" w:cs="宋体"/>
              </w:rPr>
              <w:t>不允许</w:t>
            </w:r>
          </w:p>
          <w:p w14:paraId="7086C66D">
            <w:pPr>
              <w:spacing w:line="360" w:lineRule="auto"/>
              <w:rPr>
                <w:rFonts w:hint="eastAsia" w:ascii="宋体" w:hAnsi="宋体" w:cs="宋体"/>
              </w:rPr>
            </w:pPr>
            <w:r>
              <w:rPr>
                <w:rFonts w:hint="eastAsia" w:ascii="宋体" w:hAnsi="宋体" w:cs="宋体"/>
                <w:spacing w:val="1"/>
              </w:rPr>
              <w:sym w:font="Wingdings" w:char="00A8"/>
            </w:r>
            <w:r>
              <w:rPr>
                <w:rFonts w:hint="eastAsia" w:ascii="宋体" w:hAnsi="宋体" w:cs="宋体"/>
              </w:rPr>
              <w:t>允许，分包内容要求：</w:t>
            </w:r>
          </w:p>
          <w:p w14:paraId="7D773D34">
            <w:pPr>
              <w:spacing w:line="360" w:lineRule="auto"/>
              <w:ind w:firstLine="840" w:firstLineChars="400"/>
              <w:rPr>
                <w:rFonts w:hint="eastAsia" w:ascii="宋体" w:hAnsi="宋体" w:cs="宋体"/>
              </w:rPr>
            </w:pPr>
            <w:r>
              <w:rPr>
                <w:rFonts w:hint="eastAsia" w:ascii="宋体" w:hAnsi="宋体" w:cs="宋体"/>
              </w:rPr>
              <w:t>分包金额要求：</w:t>
            </w:r>
          </w:p>
          <w:p w14:paraId="6273EC99">
            <w:pPr>
              <w:spacing w:line="360" w:lineRule="auto"/>
              <w:ind w:firstLine="840" w:firstLineChars="400"/>
              <w:rPr>
                <w:rFonts w:hint="eastAsia" w:ascii="宋体" w:hAnsi="宋体" w:cs="宋体"/>
              </w:rPr>
            </w:pPr>
            <w:r>
              <w:rPr>
                <w:rFonts w:hint="eastAsia" w:ascii="宋体" w:hAnsi="宋体" w:cs="宋体"/>
              </w:rPr>
              <w:t>对分包人的资质要求：</w:t>
            </w:r>
          </w:p>
        </w:tc>
      </w:tr>
      <w:tr w14:paraId="42BBCF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14:paraId="407E6E86">
            <w:pPr>
              <w:spacing w:line="360" w:lineRule="auto"/>
              <w:jc w:val="center"/>
              <w:rPr>
                <w:rFonts w:hint="eastAsia" w:ascii="宋体" w:hAnsi="宋体" w:cs="宋体"/>
              </w:rPr>
            </w:pPr>
            <w:r>
              <w:rPr>
                <w:rFonts w:hint="eastAsia" w:ascii="宋体" w:hAnsi="宋体" w:cs="宋体"/>
              </w:rPr>
              <w:t>1.11.4</w:t>
            </w:r>
          </w:p>
        </w:tc>
        <w:tc>
          <w:tcPr>
            <w:tcW w:w="2551" w:type="dxa"/>
            <w:vAlign w:val="center"/>
          </w:tcPr>
          <w:p w14:paraId="4D62D5AF">
            <w:pPr>
              <w:spacing w:line="360" w:lineRule="auto"/>
              <w:jc w:val="center"/>
              <w:rPr>
                <w:rFonts w:hint="eastAsia" w:ascii="宋体" w:hAnsi="宋体" w:cs="宋体"/>
              </w:rPr>
            </w:pPr>
            <w:r>
              <w:rPr>
                <w:rFonts w:hint="eastAsia" w:ascii="宋体" w:hAnsi="宋体" w:cs="宋体"/>
              </w:rPr>
              <w:t>偏差</w:t>
            </w:r>
          </w:p>
        </w:tc>
        <w:tc>
          <w:tcPr>
            <w:tcW w:w="5670" w:type="dxa"/>
            <w:vAlign w:val="center"/>
          </w:tcPr>
          <w:p w14:paraId="63AC6D98">
            <w:pPr>
              <w:spacing w:line="360" w:lineRule="auto"/>
              <w:rPr>
                <w:rFonts w:hint="eastAsia" w:ascii="宋体" w:hAnsi="宋体" w:cs="宋体"/>
              </w:rPr>
            </w:pPr>
            <w:r>
              <w:rPr>
                <w:rFonts w:hint="eastAsia" w:ascii="宋体" w:hAnsi="宋体" w:cs="宋体"/>
                <w:spacing w:val="1"/>
              </w:rPr>
              <w:sym w:font="Wingdings" w:char="00A8"/>
            </w:r>
            <w:r>
              <w:rPr>
                <w:rFonts w:hint="eastAsia" w:ascii="宋体" w:hAnsi="宋体" w:cs="宋体"/>
              </w:rPr>
              <w:t>不允许</w:t>
            </w:r>
          </w:p>
          <w:p w14:paraId="68F543F2">
            <w:pPr>
              <w:spacing w:line="360" w:lineRule="auto"/>
              <w:rPr>
                <w:rFonts w:hint="eastAsia" w:ascii="宋体" w:hAnsi="宋体" w:cs="宋体"/>
              </w:rPr>
            </w:pPr>
            <w:r>
              <w:rPr>
                <w:rFonts w:hint="eastAsia" w:ascii="宋体" w:hAnsi="宋体" w:cs="宋体"/>
                <w:spacing w:val="1"/>
              </w:rPr>
              <w:sym w:font="Wingdings" w:char="00FE"/>
            </w:r>
            <w:r>
              <w:rPr>
                <w:rFonts w:hint="eastAsia" w:ascii="宋体" w:hAnsi="宋体" w:cs="宋体"/>
              </w:rPr>
              <w:t>允许，偏差范围：除实质性条款和规定以外的内容</w:t>
            </w:r>
          </w:p>
          <w:p w14:paraId="243C920D">
            <w:pPr>
              <w:spacing w:line="360" w:lineRule="auto"/>
              <w:ind w:firstLine="840" w:firstLineChars="400"/>
              <w:rPr>
                <w:rFonts w:hint="eastAsia" w:ascii="宋体" w:hAnsi="宋体" w:cs="宋体"/>
              </w:rPr>
            </w:pPr>
            <w:r>
              <w:rPr>
                <w:rFonts w:hint="eastAsia" w:ascii="宋体" w:hAnsi="宋体" w:cs="宋体"/>
              </w:rPr>
              <w:t>最高项数：10项</w:t>
            </w:r>
          </w:p>
        </w:tc>
      </w:tr>
      <w:tr w14:paraId="3F6FF8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14:paraId="3A0970A9">
            <w:pPr>
              <w:spacing w:line="360" w:lineRule="auto"/>
              <w:jc w:val="center"/>
              <w:rPr>
                <w:rFonts w:hint="eastAsia" w:ascii="宋体" w:hAnsi="宋体" w:cs="宋体"/>
              </w:rPr>
            </w:pPr>
            <w:r>
              <w:rPr>
                <w:rFonts w:hint="eastAsia" w:ascii="宋体" w:hAnsi="宋体" w:cs="宋体"/>
              </w:rPr>
              <w:t>2.1</w:t>
            </w:r>
          </w:p>
        </w:tc>
        <w:tc>
          <w:tcPr>
            <w:tcW w:w="2551" w:type="dxa"/>
            <w:vAlign w:val="center"/>
          </w:tcPr>
          <w:p w14:paraId="1733CAA7">
            <w:pPr>
              <w:spacing w:line="360" w:lineRule="auto"/>
              <w:jc w:val="center"/>
              <w:rPr>
                <w:rFonts w:hint="eastAsia" w:ascii="宋体" w:hAnsi="宋体" w:cs="宋体"/>
              </w:rPr>
            </w:pPr>
            <w:r>
              <w:rPr>
                <w:rFonts w:hint="eastAsia" w:ascii="宋体" w:hAnsi="宋体" w:cs="宋体"/>
              </w:rPr>
              <w:t>构成竞争性谈判文件的其他资料</w:t>
            </w:r>
          </w:p>
        </w:tc>
        <w:tc>
          <w:tcPr>
            <w:tcW w:w="5670" w:type="dxa"/>
            <w:vAlign w:val="center"/>
          </w:tcPr>
          <w:p w14:paraId="38F2388B">
            <w:pPr>
              <w:spacing w:line="360" w:lineRule="auto"/>
              <w:rPr>
                <w:rFonts w:hint="eastAsia" w:ascii="宋体" w:hAnsi="宋体" w:cs="宋体"/>
              </w:rPr>
            </w:pPr>
            <w:r>
              <w:rPr>
                <w:rFonts w:hint="eastAsia" w:ascii="宋体" w:hAnsi="宋体" w:cs="宋体"/>
              </w:rPr>
              <w:t>/</w:t>
            </w:r>
          </w:p>
        </w:tc>
      </w:tr>
      <w:tr w14:paraId="454752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Merge w:val="restart"/>
            <w:vAlign w:val="center"/>
          </w:tcPr>
          <w:p w14:paraId="458DBB7C">
            <w:pPr>
              <w:spacing w:line="360" w:lineRule="auto"/>
              <w:jc w:val="center"/>
              <w:rPr>
                <w:rFonts w:hint="eastAsia" w:ascii="宋体" w:hAnsi="宋体" w:cs="宋体"/>
              </w:rPr>
            </w:pPr>
            <w:r>
              <w:rPr>
                <w:rFonts w:hint="eastAsia" w:ascii="宋体" w:hAnsi="宋体" w:cs="宋体"/>
              </w:rPr>
              <w:t>2.2.1</w:t>
            </w:r>
          </w:p>
        </w:tc>
        <w:tc>
          <w:tcPr>
            <w:tcW w:w="2551" w:type="dxa"/>
            <w:vMerge w:val="restart"/>
            <w:vAlign w:val="center"/>
          </w:tcPr>
          <w:p w14:paraId="695E6D2B">
            <w:pPr>
              <w:spacing w:line="360" w:lineRule="auto"/>
              <w:jc w:val="center"/>
              <w:rPr>
                <w:rFonts w:hint="eastAsia" w:ascii="宋体" w:hAnsi="宋体" w:cs="宋体"/>
              </w:rPr>
            </w:pPr>
            <w:r>
              <w:rPr>
                <w:rFonts w:hint="eastAsia" w:ascii="宋体" w:hAnsi="宋体" w:cs="宋体"/>
              </w:rPr>
              <w:t>供应商要求澄清招标</w:t>
            </w:r>
          </w:p>
          <w:p w14:paraId="668F04C1">
            <w:pPr>
              <w:spacing w:line="360" w:lineRule="auto"/>
              <w:jc w:val="center"/>
              <w:rPr>
                <w:rFonts w:hint="eastAsia" w:ascii="宋体" w:hAnsi="宋体" w:cs="宋体"/>
              </w:rPr>
            </w:pPr>
            <w:r>
              <w:rPr>
                <w:rFonts w:hint="eastAsia" w:ascii="宋体" w:hAnsi="宋体" w:cs="宋体"/>
              </w:rPr>
              <w:t>文件</w:t>
            </w:r>
          </w:p>
        </w:tc>
        <w:tc>
          <w:tcPr>
            <w:tcW w:w="5670" w:type="dxa"/>
            <w:vAlign w:val="center"/>
          </w:tcPr>
          <w:p w14:paraId="17B63CCD">
            <w:pPr>
              <w:spacing w:line="360" w:lineRule="auto"/>
              <w:rPr>
                <w:rFonts w:hint="eastAsia" w:ascii="宋体" w:hAnsi="宋体" w:cs="宋体"/>
              </w:rPr>
            </w:pPr>
            <w:r>
              <w:rPr>
                <w:rFonts w:hint="eastAsia" w:ascii="宋体" w:hAnsi="宋体" w:cs="宋体"/>
              </w:rPr>
              <w:t>时间：谈判响应文件递交截止时间3日前</w:t>
            </w:r>
          </w:p>
        </w:tc>
      </w:tr>
      <w:tr w14:paraId="3AA4BA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Merge w:val="continue"/>
            <w:vAlign w:val="center"/>
          </w:tcPr>
          <w:p w14:paraId="5C30E94C">
            <w:pPr>
              <w:spacing w:line="360" w:lineRule="auto"/>
              <w:jc w:val="center"/>
              <w:rPr>
                <w:rFonts w:hint="eastAsia" w:ascii="宋体" w:hAnsi="宋体" w:cs="宋体"/>
              </w:rPr>
            </w:pPr>
          </w:p>
        </w:tc>
        <w:tc>
          <w:tcPr>
            <w:tcW w:w="2551" w:type="dxa"/>
            <w:vMerge w:val="continue"/>
            <w:vAlign w:val="center"/>
          </w:tcPr>
          <w:p w14:paraId="5B72E512">
            <w:pPr>
              <w:spacing w:line="360" w:lineRule="auto"/>
              <w:jc w:val="center"/>
              <w:rPr>
                <w:rFonts w:hint="eastAsia" w:ascii="宋体" w:hAnsi="宋体" w:cs="宋体"/>
              </w:rPr>
            </w:pPr>
          </w:p>
        </w:tc>
        <w:tc>
          <w:tcPr>
            <w:tcW w:w="5670" w:type="dxa"/>
            <w:vAlign w:val="center"/>
          </w:tcPr>
          <w:p w14:paraId="61CAC2EC">
            <w:pPr>
              <w:spacing w:line="360" w:lineRule="auto"/>
              <w:rPr>
                <w:rFonts w:hint="eastAsia" w:ascii="宋体" w:hAnsi="宋体" w:cs="宋体"/>
              </w:rPr>
            </w:pPr>
            <w:r>
              <w:rPr>
                <w:rFonts w:hint="eastAsia" w:ascii="宋体" w:hAnsi="宋体" w:cs="宋体"/>
              </w:rPr>
              <w:t>形式：书面形式递交至采购代理机构，并将可编辑的电子版发送至邮箱：317633613@qq.com</w:t>
            </w:r>
          </w:p>
        </w:tc>
      </w:tr>
      <w:tr w14:paraId="0F9DDA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14:paraId="5C8D76F1">
            <w:pPr>
              <w:spacing w:line="360" w:lineRule="auto"/>
              <w:jc w:val="center"/>
              <w:rPr>
                <w:rFonts w:hint="eastAsia" w:ascii="宋体" w:hAnsi="宋体" w:cs="宋体"/>
              </w:rPr>
            </w:pPr>
            <w:r>
              <w:rPr>
                <w:rFonts w:hint="eastAsia" w:ascii="宋体" w:hAnsi="宋体" w:cs="宋体"/>
              </w:rPr>
              <w:t>2.2.2</w:t>
            </w:r>
          </w:p>
        </w:tc>
        <w:tc>
          <w:tcPr>
            <w:tcW w:w="2551" w:type="dxa"/>
            <w:vAlign w:val="center"/>
          </w:tcPr>
          <w:p w14:paraId="3A18E580">
            <w:pPr>
              <w:spacing w:line="360" w:lineRule="auto"/>
              <w:jc w:val="center"/>
              <w:rPr>
                <w:rFonts w:hint="eastAsia" w:ascii="宋体" w:hAnsi="宋体" w:cs="宋体"/>
              </w:rPr>
            </w:pPr>
            <w:r>
              <w:rPr>
                <w:rFonts w:hint="eastAsia" w:ascii="宋体" w:hAnsi="宋体" w:cs="宋体"/>
              </w:rPr>
              <w:t>竞争性谈判文件澄清发出的形式</w:t>
            </w:r>
          </w:p>
        </w:tc>
        <w:tc>
          <w:tcPr>
            <w:tcW w:w="5670" w:type="dxa"/>
            <w:vAlign w:val="center"/>
          </w:tcPr>
          <w:p w14:paraId="68293331">
            <w:pPr>
              <w:spacing w:line="360" w:lineRule="auto"/>
              <w:rPr>
                <w:rFonts w:hint="eastAsia" w:ascii="宋体" w:hAnsi="宋体" w:cs="宋体"/>
              </w:rPr>
            </w:pPr>
            <w:r>
              <w:rPr>
                <w:rFonts w:hint="eastAsia" w:ascii="宋体" w:hAnsi="宋体" w:cs="宋体"/>
              </w:rPr>
              <w:t>书面形式在采购代理机构处现场领取或电子邮件发送</w:t>
            </w:r>
          </w:p>
        </w:tc>
      </w:tr>
      <w:tr w14:paraId="710280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Merge w:val="restart"/>
            <w:vAlign w:val="center"/>
          </w:tcPr>
          <w:p w14:paraId="35E2E226">
            <w:pPr>
              <w:spacing w:line="360" w:lineRule="auto"/>
              <w:jc w:val="center"/>
              <w:rPr>
                <w:rFonts w:hint="eastAsia" w:ascii="宋体" w:hAnsi="宋体" w:cs="宋体"/>
              </w:rPr>
            </w:pPr>
            <w:r>
              <w:rPr>
                <w:rFonts w:hint="eastAsia" w:ascii="宋体" w:hAnsi="宋体" w:cs="宋体"/>
              </w:rPr>
              <w:t>2.2.3</w:t>
            </w:r>
          </w:p>
        </w:tc>
        <w:tc>
          <w:tcPr>
            <w:tcW w:w="2551" w:type="dxa"/>
            <w:vMerge w:val="restart"/>
            <w:vAlign w:val="center"/>
          </w:tcPr>
          <w:p w14:paraId="5C0AA1AC">
            <w:pPr>
              <w:spacing w:line="360" w:lineRule="auto"/>
              <w:jc w:val="center"/>
              <w:rPr>
                <w:rFonts w:hint="eastAsia" w:ascii="宋体" w:hAnsi="宋体" w:cs="宋体"/>
              </w:rPr>
            </w:pPr>
            <w:r>
              <w:rPr>
                <w:rFonts w:hint="eastAsia" w:ascii="宋体" w:hAnsi="宋体" w:cs="宋体"/>
              </w:rPr>
              <w:t>供应商确认收到竞争性谈判文件澄清</w:t>
            </w:r>
          </w:p>
        </w:tc>
        <w:tc>
          <w:tcPr>
            <w:tcW w:w="5670" w:type="dxa"/>
            <w:vAlign w:val="center"/>
          </w:tcPr>
          <w:p w14:paraId="1EE92378">
            <w:pPr>
              <w:spacing w:line="360" w:lineRule="auto"/>
              <w:rPr>
                <w:rFonts w:hint="eastAsia" w:ascii="宋体" w:hAnsi="宋体" w:cs="宋体"/>
              </w:rPr>
            </w:pPr>
            <w:r>
              <w:rPr>
                <w:rFonts w:hint="eastAsia" w:ascii="宋体" w:hAnsi="宋体" w:cs="宋体"/>
              </w:rPr>
              <w:t>时间：1日内</w:t>
            </w:r>
          </w:p>
        </w:tc>
      </w:tr>
      <w:tr w14:paraId="4D26E7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Merge w:val="continue"/>
            <w:vAlign w:val="center"/>
          </w:tcPr>
          <w:p w14:paraId="07FDC514">
            <w:pPr>
              <w:spacing w:line="360" w:lineRule="auto"/>
              <w:jc w:val="center"/>
              <w:rPr>
                <w:rFonts w:hint="eastAsia" w:ascii="宋体" w:hAnsi="宋体" w:cs="宋体"/>
              </w:rPr>
            </w:pPr>
          </w:p>
        </w:tc>
        <w:tc>
          <w:tcPr>
            <w:tcW w:w="2551" w:type="dxa"/>
            <w:vMerge w:val="continue"/>
            <w:vAlign w:val="center"/>
          </w:tcPr>
          <w:p w14:paraId="2D7E56ED">
            <w:pPr>
              <w:spacing w:line="360" w:lineRule="auto"/>
              <w:jc w:val="center"/>
              <w:rPr>
                <w:rFonts w:hint="eastAsia" w:ascii="宋体" w:hAnsi="宋体" w:cs="宋体"/>
                <w:w w:val="99"/>
              </w:rPr>
            </w:pPr>
          </w:p>
        </w:tc>
        <w:tc>
          <w:tcPr>
            <w:tcW w:w="5670" w:type="dxa"/>
            <w:vAlign w:val="center"/>
          </w:tcPr>
          <w:p w14:paraId="62D98096">
            <w:pPr>
              <w:spacing w:line="360" w:lineRule="auto"/>
              <w:rPr>
                <w:rFonts w:hint="eastAsia" w:ascii="宋体" w:hAnsi="宋体" w:cs="宋体"/>
              </w:rPr>
            </w:pPr>
            <w:r>
              <w:rPr>
                <w:rFonts w:hint="eastAsia" w:ascii="宋体" w:hAnsi="宋体" w:cs="宋体"/>
              </w:rPr>
              <w:t>形式：在采购代理机构处现场签收或电子邮件回执</w:t>
            </w:r>
          </w:p>
        </w:tc>
      </w:tr>
      <w:tr w14:paraId="62A82D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14:paraId="687B3238">
            <w:pPr>
              <w:spacing w:line="360" w:lineRule="auto"/>
              <w:jc w:val="center"/>
              <w:rPr>
                <w:rFonts w:hint="eastAsia" w:ascii="宋体" w:hAnsi="宋体" w:cs="宋体"/>
              </w:rPr>
            </w:pPr>
            <w:r>
              <w:rPr>
                <w:rFonts w:hint="eastAsia" w:ascii="宋体" w:hAnsi="宋体" w:cs="宋体"/>
              </w:rPr>
              <w:t>2.3.1</w:t>
            </w:r>
          </w:p>
        </w:tc>
        <w:tc>
          <w:tcPr>
            <w:tcW w:w="2551" w:type="dxa"/>
            <w:vAlign w:val="center"/>
          </w:tcPr>
          <w:p w14:paraId="59426D47">
            <w:pPr>
              <w:spacing w:line="360" w:lineRule="auto"/>
              <w:jc w:val="center"/>
              <w:rPr>
                <w:rFonts w:hint="eastAsia" w:ascii="宋体" w:hAnsi="宋体" w:cs="宋体"/>
              </w:rPr>
            </w:pPr>
            <w:r>
              <w:rPr>
                <w:rFonts w:hint="eastAsia" w:ascii="宋体" w:hAnsi="宋体" w:cs="宋体"/>
              </w:rPr>
              <w:t>竞争性谈判文件修改发出的形式</w:t>
            </w:r>
          </w:p>
        </w:tc>
        <w:tc>
          <w:tcPr>
            <w:tcW w:w="5670" w:type="dxa"/>
            <w:vAlign w:val="center"/>
          </w:tcPr>
          <w:p w14:paraId="64671BF3">
            <w:pPr>
              <w:spacing w:line="360" w:lineRule="auto"/>
              <w:rPr>
                <w:rFonts w:hint="eastAsia" w:ascii="宋体" w:hAnsi="宋体" w:cs="宋体"/>
              </w:rPr>
            </w:pPr>
            <w:r>
              <w:rPr>
                <w:rFonts w:hint="eastAsia" w:ascii="宋体" w:hAnsi="宋体" w:cs="宋体"/>
              </w:rPr>
              <w:t>书面形式在采购代理机构处现场领取或电子邮件发送</w:t>
            </w:r>
          </w:p>
        </w:tc>
      </w:tr>
      <w:tr w14:paraId="1DE36F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Merge w:val="restart"/>
            <w:vAlign w:val="center"/>
          </w:tcPr>
          <w:p w14:paraId="68E04A4E">
            <w:pPr>
              <w:spacing w:line="360" w:lineRule="auto"/>
              <w:jc w:val="center"/>
              <w:rPr>
                <w:rFonts w:hint="eastAsia" w:ascii="宋体" w:hAnsi="宋体" w:cs="宋体"/>
              </w:rPr>
            </w:pPr>
            <w:r>
              <w:rPr>
                <w:rFonts w:hint="eastAsia" w:ascii="宋体" w:hAnsi="宋体" w:cs="宋体"/>
              </w:rPr>
              <w:t>2.3.2</w:t>
            </w:r>
          </w:p>
        </w:tc>
        <w:tc>
          <w:tcPr>
            <w:tcW w:w="2551" w:type="dxa"/>
            <w:vMerge w:val="restart"/>
            <w:vAlign w:val="center"/>
          </w:tcPr>
          <w:p w14:paraId="7F8F7B28">
            <w:pPr>
              <w:spacing w:line="360" w:lineRule="auto"/>
              <w:jc w:val="center"/>
              <w:rPr>
                <w:rFonts w:hint="eastAsia" w:ascii="宋体" w:hAnsi="宋体" w:cs="宋体"/>
              </w:rPr>
            </w:pPr>
            <w:r>
              <w:rPr>
                <w:rFonts w:hint="eastAsia" w:ascii="宋体" w:hAnsi="宋体" w:cs="宋体"/>
              </w:rPr>
              <w:t>供应商确认收到竞争性谈判文件修改</w:t>
            </w:r>
          </w:p>
        </w:tc>
        <w:tc>
          <w:tcPr>
            <w:tcW w:w="5670" w:type="dxa"/>
            <w:vAlign w:val="center"/>
          </w:tcPr>
          <w:p w14:paraId="3E74B228">
            <w:pPr>
              <w:spacing w:line="360" w:lineRule="auto"/>
              <w:rPr>
                <w:rFonts w:hint="eastAsia" w:ascii="宋体" w:hAnsi="宋体" w:cs="宋体"/>
              </w:rPr>
            </w:pPr>
            <w:r>
              <w:rPr>
                <w:rFonts w:hint="eastAsia" w:ascii="宋体" w:hAnsi="宋体" w:cs="宋体"/>
              </w:rPr>
              <w:t>时间：1日内</w:t>
            </w:r>
          </w:p>
        </w:tc>
      </w:tr>
      <w:tr w14:paraId="6D91F6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Merge w:val="continue"/>
            <w:vAlign w:val="center"/>
          </w:tcPr>
          <w:p w14:paraId="3938E8C6">
            <w:pPr>
              <w:spacing w:line="360" w:lineRule="auto"/>
              <w:jc w:val="center"/>
              <w:rPr>
                <w:rFonts w:hint="eastAsia" w:ascii="宋体" w:hAnsi="宋体" w:cs="宋体"/>
              </w:rPr>
            </w:pPr>
          </w:p>
        </w:tc>
        <w:tc>
          <w:tcPr>
            <w:tcW w:w="2551" w:type="dxa"/>
            <w:vMerge w:val="continue"/>
            <w:vAlign w:val="center"/>
          </w:tcPr>
          <w:p w14:paraId="5746D004">
            <w:pPr>
              <w:spacing w:line="360" w:lineRule="auto"/>
              <w:jc w:val="center"/>
              <w:rPr>
                <w:rFonts w:hint="eastAsia" w:ascii="宋体" w:hAnsi="宋体" w:cs="宋体"/>
              </w:rPr>
            </w:pPr>
          </w:p>
        </w:tc>
        <w:tc>
          <w:tcPr>
            <w:tcW w:w="5670" w:type="dxa"/>
            <w:vAlign w:val="center"/>
          </w:tcPr>
          <w:p w14:paraId="52A70C5C">
            <w:pPr>
              <w:spacing w:line="360" w:lineRule="auto"/>
              <w:rPr>
                <w:rFonts w:hint="eastAsia" w:ascii="宋体" w:hAnsi="宋体" w:cs="宋体"/>
              </w:rPr>
            </w:pPr>
            <w:r>
              <w:rPr>
                <w:rFonts w:hint="eastAsia" w:ascii="宋体" w:hAnsi="宋体" w:cs="宋体"/>
              </w:rPr>
              <w:t>形式：在采购代理机构现场签收或电子邮件回执</w:t>
            </w:r>
          </w:p>
        </w:tc>
      </w:tr>
      <w:tr w14:paraId="654188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14:paraId="13A18E89">
            <w:pPr>
              <w:spacing w:line="360" w:lineRule="auto"/>
              <w:jc w:val="center"/>
              <w:rPr>
                <w:rFonts w:hint="eastAsia" w:ascii="宋体" w:hAnsi="宋体" w:cs="宋体"/>
              </w:rPr>
            </w:pPr>
            <w:r>
              <w:rPr>
                <w:rFonts w:hint="eastAsia" w:ascii="宋体" w:hAnsi="宋体" w:cs="宋体"/>
              </w:rPr>
              <w:t>3.1.1</w:t>
            </w:r>
          </w:p>
        </w:tc>
        <w:tc>
          <w:tcPr>
            <w:tcW w:w="2551" w:type="dxa"/>
            <w:vAlign w:val="center"/>
          </w:tcPr>
          <w:p w14:paraId="37E5CCC0">
            <w:pPr>
              <w:spacing w:line="360" w:lineRule="auto"/>
              <w:jc w:val="center"/>
              <w:rPr>
                <w:rFonts w:hint="eastAsia" w:ascii="宋体" w:hAnsi="宋体" w:cs="宋体"/>
              </w:rPr>
            </w:pPr>
            <w:r>
              <w:rPr>
                <w:rFonts w:hint="eastAsia" w:ascii="宋体" w:hAnsi="宋体" w:cs="宋体"/>
              </w:rPr>
              <w:t>构成谈判响应文件的其他资料</w:t>
            </w:r>
          </w:p>
        </w:tc>
        <w:tc>
          <w:tcPr>
            <w:tcW w:w="5670" w:type="dxa"/>
            <w:vAlign w:val="center"/>
          </w:tcPr>
          <w:p w14:paraId="05ECB752">
            <w:pPr>
              <w:spacing w:line="360" w:lineRule="auto"/>
              <w:rPr>
                <w:rFonts w:hint="eastAsia" w:ascii="宋体" w:hAnsi="宋体" w:cs="宋体"/>
              </w:rPr>
            </w:pPr>
            <w:r>
              <w:rPr>
                <w:rFonts w:hint="eastAsia" w:ascii="宋体" w:hAnsi="宋体" w:cs="宋体"/>
              </w:rPr>
              <w:t>/</w:t>
            </w:r>
          </w:p>
        </w:tc>
      </w:tr>
      <w:tr w14:paraId="6C259E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14:paraId="1E2DBDAB">
            <w:pPr>
              <w:spacing w:line="360" w:lineRule="auto"/>
              <w:jc w:val="center"/>
              <w:rPr>
                <w:rFonts w:hint="eastAsia" w:ascii="宋体" w:hAnsi="宋体" w:cs="宋体"/>
              </w:rPr>
            </w:pPr>
            <w:r>
              <w:rPr>
                <w:rFonts w:hint="eastAsia" w:ascii="宋体" w:hAnsi="宋体" w:cs="宋体"/>
              </w:rPr>
              <w:t>3.2.1</w:t>
            </w:r>
          </w:p>
        </w:tc>
        <w:tc>
          <w:tcPr>
            <w:tcW w:w="2551" w:type="dxa"/>
            <w:vAlign w:val="center"/>
          </w:tcPr>
          <w:p w14:paraId="5BD201FE">
            <w:pPr>
              <w:spacing w:line="360" w:lineRule="auto"/>
              <w:jc w:val="center"/>
              <w:rPr>
                <w:rFonts w:hint="eastAsia" w:ascii="宋体" w:hAnsi="宋体" w:cs="宋体"/>
              </w:rPr>
            </w:pPr>
            <w:r>
              <w:rPr>
                <w:rFonts w:hint="eastAsia" w:ascii="宋体" w:hAnsi="宋体" w:cs="宋体"/>
              </w:rPr>
              <w:t>增值税税金的计算方法</w:t>
            </w:r>
          </w:p>
        </w:tc>
        <w:tc>
          <w:tcPr>
            <w:tcW w:w="5670" w:type="dxa"/>
            <w:vAlign w:val="center"/>
          </w:tcPr>
          <w:p w14:paraId="22A341F2">
            <w:pPr>
              <w:spacing w:line="360" w:lineRule="auto"/>
              <w:rPr>
                <w:rFonts w:hint="eastAsia" w:ascii="宋体" w:hAnsi="宋体" w:cs="宋体"/>
              </w:rPr>
            </w:pPr>
            <w:r>
              <w:rPr>
                <w:rFonts w:hint="eastAsia" w:ascii="宋体" w:hAnsi="宋体" w:cs="宋体"/>
              </w:rPr>
              <w:t>/</w:t>
            </w:r>
          </w:p>
        </w:tc>
      </w:tr>
      <w:tr w14:paraId="0FDF6A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14:paraId="7A30412F">
            <w:pPr>
              <w:spacing w:line="360" w:lineRule="auto"/>
              <w:jc w:val="center"/>
              <w:rPr>
                <w:rFonts w:hint="eastAsia" w:ascii="宋体" w:hAnsi="宋体" w:cs="宋体"/>
                <w:b/>
                <w:bCs/>
              </w:rPr>
            </w:pPr>
            <w:r>
              <w:rPr>
                <w:rFonts w:hint="eastAsia" w:ascii="宋体" w:hAnsi="宋体" w:cs="宋体"/>
                <w:b/>
                <w:bCs/>
              </w:rPr>
              <w:t>3.2.4</w:t>
            </w:r>
          </w:p>
        </w:tc>
        <w:tc>
          <w:tcPr>
            <w:tcW w:w="2551" w:type="dxa"/>
            <w:vAlign w:val="center"/>
          </w:tcPr>
          <w:p w14:paraId="2841A92D">
            <w:pPr>
              <w:jc w:val="center"/>
              <w:rPr>
                <w:rFonts w:hint="eastAsia" w:ascii="宋体" w:hAnsi="宋体" w:cs="宋体"/>
                <w:b/>
                <w:bCs/>
              </w:rPr>
            </w:pPr>
            <w:r>
              <w:rPr>
                <w:rFonts w:hint="eastAsia" w:ascii="宋体" w:hAnsi="宋体" w:cs="宋体"/>
                <w:b/>
                <w:bCs/>
              </w:rPr>
              <w:t>最高限价或采购预算</w:t>
            </w:r>
          </w:p>
        </w:tc>
        <w:tc>
          <w:tcPr>
            <w:tcW w:w="5670" w:type="dxa"/>
            <w:vAlign w:val="center"/>
          </w:tcPr>
          <w:p w14:paraId="7A03FBFC">
            <w:pPr>
              <w:rPr>
                <w:rFonts w:hint="eastAsia" w:ascii="宋体" w:hAnsi="宋体" w:cs="宋体"/>
                <w:b/>
                <w:bCs/>
              </w:rPr>
            </w:pPr>
            <w:r>
              <w:rPr>
                <w:rFonts w:hint="eastAsia" w:ascii="宋体" w:hAnsi="宋体" w:cs="宋体"/>
                <w:b/>
                <w:bCs/>
              </w:rPr>
              <w:t>□无</w:t>
            </w:r>
          </w:p>
          <w:p w14:paraId="05E6EE2F">
            <w:pPr>
              <w:rPr>
                <w:rFonts w:hint="eastAsia" w:ascii="宋体" w:hAnsi="宋体" w:cs="宋体"/>
                <w:b/>
                <w:bCs/>
              </w:rPr>
            </w:pPr>
            <w:r>
              <w:rPr>
                <w:rFonts w:hint="eastAsia" w:ascii="宋体" w:hAnsi="宋体" w:cs="宋体"/>
                <w:b/>
                <w:bCs/>
                <w:spacing w:val="1"/>
              </w:rPr>
              <w:sym w:font="Wingdings" w:char="00FE"/>
            </w:r>
            <w:r>
              <w:rPr>
                <w:rFonts w:hint="eastAsia" w:ascii="宋体" w:hAnsi="宋体" w:cs="宋体"/>
                <w:b/>
                <w:bCs/>
              </w:rPr>
              <w:t>有，最高限价：人民币叁拾万元整</w:t>
            </w:r>
          </w:p>
          <w:p w14:paraId="074C2977">
            <w:pPr>
              <w:ind w:firstLine="1687" w:firstLineChars="800"/>
              <w:rPr>
                <w:rFonts w:hint="eastAsia" w:ascii="宋体" w:hAnsi="宋体" w:cs="宋体"/>
                <w:b/>
                <w:bCs/>
              </w:rPr>
            </w:pPr>
            <w:r>
              <w:rPr>
                <w:rFonts w:hint="eastAsia" w:ascii="宋体" w:hAnsi="宋体" w:cs="宋体"/>
                <w:b/>
                <w:bCs/>
              </w:rPr>
              <w:t>（¥300000.00）</w:t>
            </w:r>
          </w:p>
        </w:tc>
      </w:tr>
      <w:tr w14:paraId="3F3779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14:paraId="08F3B0C4">
            <w:pPr>
              <w:spacing w:line="360" w:lineRule="auto"/>
              <w:jc w:val="center"/>
              <w:rPr>
                <w:rFonts w:hint="eastAsia" w:ascii="宋体" w:hAnsi="宋体" w:cs="宋体"/>
              </w:rPr>
            </w:pPr>
            <w:r>
              <w:rPr>
                <w:rFonts w:hint="eastAsia" w:ascii="宋体" w:hAnsi="宋体" w:cs="宋体"/>
              </w:rPr>
              <w:t>3.2.5</w:t>
            </w:r>
          </w:p>
        </w:tc>
        <w:tc>
          <w:tcPr>
            <w:tcW w:w="2551" w:type="dxa"/>
            <w:vAlign w:val="center"/>
          </w:tcPr>
          <w:p w14:paraId="07D10C59">
            <w:pPr>
              <w:spacing w:line="360" w:lineRule="auto"/>
              <w:jc w:val="center"/>
              <w:rPr>
                <w:rFonts w:hint="eastAsia" w:ascii="宋体" w:hAnsi="宋体" w:cs="宋体"/>
              </w:rPr>
            </w:pPr>
            <w:r>
              <w:rPr>
                <w:rFonts w:hint="eastAsia" w:ascii="宋体" w:hAnsi="宋体" w:cs="宋体"/>
              </w:rPr>
              <w:t>响应报价的其他要求</w:t>
            </w:r>
          </w:p>
        </w:tc>
        <w:tc>
          <w:tcPr>
            <w:tcW w:w="5670" w:type="dxa"/>
            <w:vAlign w:val="center"/>
          </w:tcPr>
          <w:p w14:paraId="79D36E32">
            <w:pPr>
              <w:spacing w:line="360" w:lineRule="auto"/>
              <w:rPr>
                <w:rFonts w:hint="eastAsia" w:ascii="宋体" w:hAnsi="宋体" w:cs="宋体"/>
                <w:sz w:val="18"/>
                <w:szCs w:val="18"/>
              </w:rPr>
            </w:pPr>
            <w:r>
              <w:rPr>
                <w:rFonts w:hint="eastAsia" w:ascii="宋体" w:hAnsi="宋体" w:cs="宋体"/>
              </w:rPr>
              <w:t>响应报价中包括本项目施工中所涉及的：人工、服务费、税金、利润、风险等一切费用</w:t>
            </w:r>
            <w:r>
              <w:rPr>
                <w:rFonts w:hint="eastAsia" w:ascii="宋体" w:hAnsi="宋体" w:cs="宋体"/>
                <w:bCs/>
                <w:szCs w:val="21"/>
              </w:rPr>
              <w:t>。</w:t>
            </w:r>
          </w:p>
        </w:tc>
      </w:tr>
      <w:tr w14:paraId="4EDF6F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14:paraId="4E38A34E">
            <w:pPr>
              <w:spacing w:line="360" w:lineRule="auto"/>
              <w:jc w:val="center"/>
              <w:rPr>
                <w:rFonts w:hint="eastAsia" w:ascii="宋体" w:hAnsi="宋体" w:cs="宋体"/>
              </w:rPr>
            </w:pPr>
            <w:r>
              <w:rPr>
                <w:rFonts w:hint="eastAsia" w:ascii="宋体" w:hAnsi="宋体" w:cs="宋体"/>
              </w:rPr>
              <w:t>3.4.1</w:t>
            </w:r>
          </w:p>
        </w:tc>
        <w:tc>
          <w:tcPr>
            <w:tcW w:w="2551" w:type="dxa"/>
            <w:vAlign w:val="center"/>
          </w:tcPr>
          <w:p w14:paraId="6DDDC718">
            <w:pPr>
              <w:spacing w:line="360" w:lineRule="auto"/>
              <w:jc w:val="center"/>
              <w:rPr>
                <w:rFonts w:hint="eastAsia" w:ascii="宋体" w:hAnsi="宋体" w:cs="宋体"/>
              </w:rPr>
            </w:pPr>
            <w:r>
              <w:rPr>
                <w:rFonts w:hint="eastAsia" w:ascii="宋体" w:hAnsi="宋体" w:cs="宋体"/>
              </w:rPr>
              <w:t>谈判保证金</w:t>
            </w:r>
          </w:p>
        </w:tc>
        <w:tc>
          <w:tcPr>
            <w:tcW w:w="5670" w:type="dxa"/>
            <w:vAlign w:val="center"/>
          </w:tcPr>
          <w:p w14:paraId="702BC2CD">
            <w:pPr>
              <w:spacing w:line="360" w:lineRule="auto"/>
              <w:rPr>
                <w:rFonts w:hint="eastAsia" w:ascii="宋体" w:hAnsi="宋体" w:cs="宋体"/>
              </w:rPr>
            </w:pPr>
            <w:r>
              <w:rPr>
                <w:rFonts w:hint="eastAsia" w:ascii="宋体" w:hAnsi="宋体" w:cs="宋体"/>
              </w:rPr>
              <w:t>保证金的形式：公司账户银行电汇、转账、保函。</w:t>
            </w:r>
          </w:p>
          <w:p w14:paraId="59DD1FA4">
            <w:pPr>
              <w:spacing w:line="360" w:lineRule="auto"/>
              <w:rPr>
                <w:rFonts w:hint="eastAsia" w:ascii="宋体" w:hAnsi="宋体" w:cs="宋体"/>
              </w:rPr>
            </w:pPr>
            <w:r>
              <w:rPr>
                <w:rFonts w:hint="eastAsia" w:ascii="宋体" w:hAnsi="宋体" w:cs="宋体"/>
              </w:rPr>
              <w:t>保证金的金额：保证金为人民币叁仟元整（￥3000.00元）。</w:t>
            </w:r>
          </w:p>
          <w:p w14:paraId="1313C972">
            <w:pPr>
              <w:spacing w:line="360" w:lineRule="auto"/>
              <w:rPr>
                <w:rFonts w:hint="eastAsia" w:ascii="宋体" w:hAnsi="宋体" w:cs="宋体"/>
              </w:rPr>
            </w:pPr>
            <w:r>
              <w:rPr>
                <w:rFonts w:hint="eastAsia" w:ascii="宋体" w:hAnsi="宋体" w:cs="宋体"/>
              </w:rPr>
              <w:t>1.缴纳时须注明“（项目名称）投标保证金”，投标保证金应以电汇或银行转账方式从供应商公司基本账户转出，供应商须将投标保证金缴纳凭证复印件装订在报价文件规定位置。</w:t>
            </w:r>
          </w:p>
          <w:p w14:paraId="7923DF58">
            <w:pPr>
              <w:spacing w:line="360" w:lineRule="auto"/>
              <w:rPr>
                <w:rFonts w:hint="eastAsia" w:ascii="宋体" w:hAnsi="宋体" w:cs="宋体"/>
              </w:rPr>
            </w:pPr>
            <w:r>
              <w:rPr>
                <w:rFonts w:hint="eastAsia" w:ascii="宋体" w:hAnsi="宋体" w:cs="宋体"/>
              </w:rPr>
              <w:t>2.投标保证金须采取非现金方式交纳，在提交响应文件截止时间前（以银行到账时间为准）必须到达招标代理机构账户内，未到账的投标将被拒绝。</w:t>
            </w:r>
          </w:p>
          <w:p w14:paraId="703C375D">
            <w:pPr>
              <w:spacing w:line="360" w:lineRule="auto"/>
              <w:rPr>
                <w:rFonts w:hint="eastAsia" w:ascii="宋体" w:hAnsi="宋体" w:cs="宋体"/>
              </w:rPr>
            </w:pPr>
            <w:r>
              <w:rPr>
                <w:rFonts w:hint="eastAsia" w:ascii="宋体" w:hAnsi="宋体" w:cs="宋体"/>
              </w:rPr>
              <w:t>3.中标人的投标保证金，在中标人与招标人签订正式合同后5个日内全额无息退还。未中标人的投标保证金，将在招标人发出成交通知书后5日内全额无息退还。</w:t>
            </w:r>
          </w:p>
          <w:p w14:paraId="5124E97D">
            <w:pPr>
              <w:spacing w:line="360" w:lineRule="auto"/>
              <w:rPr>
                <w:rFonts w:hint="eastAsia" w:ascii="宋体" w:hAnsi="宋体" w:cs="宋体"/>
              </w:rPr>
            </w:pPr>
            <w:r>
              <w:rPr>
                <w:rFonts w:hint="eastAsia" w:ascii="宋体" w:hAnsi="宋体" w:cs="宋体"/>
              </w:rPr>
              <w:t xml:space="preserve">收取保证金单位名称：陕西中辉招标造价咨询有限公司 </w:t>
            </w:r>
          </w:p>
          <w:p w14:paraId="101E403F">
            <w:pPr>
              <w:spacing w:line="360" w:lineRule="auto"/>
              <w:rPr>
                <w:rFonts w:hint="eastAsia" w:ascii="宋体" w:hAnsi="宋体" w:cs="宋体"/>
              </w:rPr>
            </w:pPr>
            <w:r>
              <w:rPr>
                <w:rFonts w:hint="eastAsia" w:ascii="宋体" w:hAnsi="宋体" w:cs="宋体"/>
              </w:rPr>
              <w:t>开户行名称：中国民生银行股份有限公司西安锦业路支行</w:t>
            </w:r>
          </w:p>
          <w:p w14:paraId="73937093">
            <w:pPr>
              <w:spacing w:line="360" w:lineRule="auto"/>
              <w:rPr>
                <w:rFonts w:hint="eastAsia" w:ascii="宋体" w:hAnsi="宋体" w:cs="宋体"/>
              </w:rPr>
            </w:pPr>
            <w:r>
              <w:rPr>
                <w:rFonts w:hint="eastAsia" w:ascii="宋体" w:hAnsi="宋体" w:cs="宋体"/>
              </w:rPr>
              <w:t>帐    号：171351399</w:t>
            </w:r>
          </w:p>
          <w:p w14:paraId="7A52A060">
            <w:pPr>
              <w:spacing w:line="360" w:lineRule="auto"/>
              <w:rPr>
                <w:rFonts w:hint="eastAsia" w:ascii="宋体" w:hAnsi="宋体" w:cs="宋体"/>
              </w:rPr>
            </w:pPr>
            <w:r>
              <w:rPr>
                <w:rFonts w:hint="eastAsia" w:ascii="宋体" w:hAnsi="宋体" w:cs="宋体"/>
              </w:rPr>
              <w:t>4.如采用保函形式，请将保函扫描件发送至</w:t>
            </w:r>
            <w:r>
              <w:fldChar w:fldCharType="begin"/>
            </w:r>
            <w:r>
              <w:instrText xml:space="preserve"> HYPERLINK "mailto:317633613@qq.com" </w:instrText>
            </w:r>
            <w:r>
              <w:fldChar w:fldCharType="separate"/>
            </w:r>
            <w:r>
              <w:rPr>
                <w:rStyle w:val="36"/>
              </w:rPr>
              <w:t>317633613@qq.com</w:t>
            </w:r>
            <w:r>
              <w:rPr>
                <w:rStyle w:val="36"/>
              </w:rPr>
              <w:fldChar w:fldCharType="end"/>
            </w:r>
            <w:r>
              <w:rPr>
                <w:rFonts w:hint="eastAsia" w:ascii="宋体" w:hAnsi="宋体" w:cs="宋体"/>
              </w:rPr>
              <w:t>邮箱，原件开标现场密封递交。</w:t>
            </w:r>
          </w:p>
        </w:tc>
      </w:tr>
      <w:tr w14:paraId="5F37E6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14:paraId="6CB7CA69">
            <w:pPr>
              <w:spacing w:line="360" w:lineRule="auto"/>
              <w:jc w:val="center"/>
              <w:rPr>
                <w:rFonts w:hint="eastAsia" w:ascii="宋体" w:hAnsi="宋体" w:cs="宋体"/>
              </w:rPr>
            </w:pPr>
            <w:r>
              <w:rPr>
                <w:rFonts w:hint="eastAsia" w:ascii="宋体" w:hAnsi="宋体" w:cs="宋体"/>
              </w:rPr>
              <w:t>3.4.4</w:t>
            </w:r>
          </w:p>
        </w:tc>
        <w:tc>
          <w:tcPr>
            <w:tcW w:w="2551" w:type="dxa"/>
            <w:vAlign w:val="center"/>
          </w:tcPr>
          <w:p w14:paraId="61DD1488">
            <w:pPr>
              <w:jc w:val="center"/>
              <w:rPr>
                <w:rFonts w:hint="eastAsia" w:ascii="宋体" w:hAnsi="宋体" w:cs="宋体"/>
              </w:rPr>
            </w:pPr>
            <w:r>
              <w:rPr>
                <w:rFonts w:hint="eastAsia" w:ascii="宋体" w:hAnsi="宋体" w:cs="宋体"/>
              </w:rPr>
              <w:t>其他可以不予退还谈判保证金的情形</w:t>
            </w:r>
          </w:p>
        </w:tc>
        <w:tc>
          <w:tcPr>
            <w:tcW w:w="5670" w:type="dxa"/>
            <w:vAlign w:val="center"/>
          </w:tcPr>
          <w:p w14:paraId="79697EF1">
            <w:pPr>
              <w:spacing w:line="360" w:lineRule="auto"/>
              <w:rPr>
                <w:rFonts w:hint="eastAsia" w:ascii="宋体" w:hAnsi="宋体" w:cs="宋体"/>
              </w:rPr>
            </w:pPr>
            <w:r>
              <w:rPr>
                <w:rFonts w:hint="eastAsia" w:ascii="宋体" w:hAnsi="宋体" w:cs="宋体"/>
              </w:rPr>
              <w:t>/</w:t>
            </w:r>
          </w:p>
        </w:tc>
      </w:tr>
      <w:tr w14:paraId="0BBA27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14:paraId="7E8250EC">
            <w:pPr>
              <w:spacing w:line="360" w:lineRule="auto"/>
              <w:jc w:val="center"/>
              <w:rPr>
                <w:rFonts w:hint="eastAsia" w:ascii="宋体" w:hAnsi="宋体" w:cs="宋体"/>
              </w:rPr>
            </w:pPr>
            <w:r>
              <w:rPr>
                <w:rFonts w:hint="eastAsia" w:ascii="宋体" w:hAnsi="宋体" w:cs="宋体"/>
              </w:rPr>
              <w:t>3.5</w:t>
            </w:r>
          </w:p>
        </w:tc>
        <w:tc>
          <w:tcPr>
            <w:tcW w:w="2551" w:type="dxa"/>
            <w:vAlign w:val="center"/>
          </w:tcPr>
          <w:p w14:paraId="68676EC2">
            <w:pPr>
              <w:spacing w:line="360" w:lineRule="auto"/>
              <w:jc w:val="center"/>
              <w:rPr>
                <w:rFonts w:hint="eastAsia" w:ascii="宋体" w:hAnsi="宋体" w:cs="宋体"/>
              </w:rPr>
            </w:pPr>
            <w:r>
              <w:rPr>
                <w:rFonts w:hint="eastAsia" w:ascii="宋体" w:hAnsi="宋体" w:cs="宋体"/>
              </w:rPr>
              <w:t>资格审查资料的特殊要求</w:t>
            </w:r>
          </w:p>
        </w:tc>
        <w:tc>
          <w:tcPr>
            <w:tcW w:w="5670" w:type="dxa"/>
            <w:vAlign w:val="center"/>
          </w:tcPr>
          <w:p w14:paraId="63110096">
            <w:pPr>
              <w:spacing w:line="360" w:lineRule="auto"/>
              <w:rPr>
                <w:rFonts w:hint="eastAsia" w:ascii="宋体" w:hAnsi="宋体" w:cs="宋体"/>
              </w:rPr>
            </w:pPr>
            <w:r>
              <w:rPr>
                <w:rFonts w:hint="eastAsia" w:ascii="宋体" w:hAnsi="宋体" w:cs="宋体"/>
                <w:spacing w:val="1"/>
              </w:rPr>
              <w:sym w:font="Wingdings" w:char="00FE"/>
            </w:r>
            <w:r>
              <w:rPr>
                <w:rFonts w:hint="eastAsia" w:ascii="宋体" w:hAnsi="宋体" w:cs="宋体"/>
              </w:rPr>
              <w:t>无</w:t>
            </w:r>
          </w:p>
          <w:p w14:paraId="1E505ADA">
            <w:pPr>
              <w:spacing w:line="360" w:lineRule="auto"/>
              <w:rPr>
                <w:rFonts w:hint="eastAsia" w:ascii="宋体" w:hAnsi="宋体" w:cs="宋体"/>
              </w:rPr>
            </w:pPr>
            <w:r>
              <w:rPr>
                <w:rFonts w:hint="eastAsia" w:ascii="宋体" w:hAnsi="宋体" w:cs="宋体"/>
              </w:rPr>
              <w:t>□有，具体要求：</w:t>
            </w:r>
          </w:p>
        </w:tc>
      </w:tr>
      <w:tr w14:paraId="6DAD67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14:paraId="7F828119">
            <w:pPr>
              <w:spacing w:line="360" w:lineRule="auto"/>
              <w:jc w:val="center"/>
              <w:rPr>
                <w:rFonts w:hint="eastAsia" w:ascii="宋体" w:hAnsi="宋体" w:cs="宋体"/>
              </w:rPr>
            </w:pPr>
            <w:r>
              <w:rPr>
                <w:rFonts w:hint="eastAsia" w:ascii="宋体" w:hAnsi="宋体" w:cs="宋体"/>
              </w:rPr>
              <w:t>3.6.1</w:t>
            </w:r>
          </w:p>
        </w:tc>
        <w:tc>
          <w:tcPr>
            <w:tcW w:w="2551" w:type="dxa"/>
            <w:vAlign w:val="center"/>
          </w:tcPr>
          <w:p w14:paraId="4C9F8AE7">
            <w:pPr>
              <w:spacing w:line="360" w:lineRule="auto"/>
              <w:jc w:val="center"/>
              <w:rPr>
                <w:rFonts w:hint="eastAsia" w:ascii="宋体" w:hAnsi="宋体" w:cs="宋体"/>
              </w:rPr>
            </w:pPr>
            <w:r>
              <w:rPr>
                <w:rFonts w:hint="eastAsia" w:ascii="宋体" w:hAnsi="宋体" w:cs="宋体"/>
              </w:rPr>
              <w:t>是否允许递交备选</w:t>
            </w:r>
          </w:p>
          <w:p w14:paraId="1FA08C46">
            <w:pPr>
              <w:spacing w:line="360" w:lineRule="auto"/>
              <w:jc w:val="center"/>
              <w:rPr>
                <w:rFonts w:hint="eastAsia" w:ascii="宋体" w:hAnsi="宋体" w:cs="宋体"/>
              </w:rPr>
            </w:pPr>
            <w:r>
              <w:rPr>
                <w:rFonts w:hint="eastAsia" w:ascii="宋体" w:hAnsi="宋体" w:cs="宋体"/>
              </w:rPr>
              <w:t>响应方案</w:t>
            </w:r>
          </w:p>
        </w:tc>
        <w:tc>
          <w:tcPr>
            <w:tcW w:w="5670" w:type="dxa"/>
            <w:vAlign w:val="center"/>
          </w:tcPr>
          <w:p w14:paraId="6D32106D">
            <w:pPr>
              <w:spacing w:line="360" w:lineRule="auto"/>
              <w:rPr>
                <w:rFonts w:hint="eastAsia" w:ascii="宋体" w:hAnsi="宋体" w:cs="宋体"/>
              </w:rPr>
            </w:pPr>
            <w:r>
              <w:rPr>
                <w:rFonts w:hint="eastAsia" w:ascii="宋体" w:hAnsi="宋体" w:cs="宋体"/>
                <w:spacing w:val="1"/>
              </w:rPr>
              <w:sym w:font="Wingdings" w:char="00FE"/>
            </w:r>
            <w:r>
              <w:rPr>
                <w:rFonts w:hint="eastAsia" w:ascii="宋体" w:hAnsi="宋体" w:cs="宋体"/>
              </w:rPr>
              <w:t>不允许</w:t>
            </w:r>
          </w:p>
          <w:p w14:paraId="34AD0BE0">
            <w:pPr>
              <w:spacing w:line="360" w:lineRule="auto"/>
              <w:rPr>
                <w:rFonts w:hint="eastAsia" w:ascii="宋体" w:hAnsi="宋体" w:cs="宋体"/>
                <w:u w:val="single"/>
              </w:rPr>
            </w:pPr>
            <w:r>
              <w:rPr>
                <w:rFonts w:hint="eastAsia" w:ascii="宋体" w:hAnsi="宋体" w:cs="宋体"/>
              </w:rPr>
              <w:t>□允许</w:t>
            </w:r>
          </w:p>
        </w:tc>
      </w:tr>
      <w:tr w14:paraId="74F7EA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14:paraId="307A5589">
            <w:pPr>
              <w:spacing w:line="360" w:lineRule="auto"/>
              <w:jc w:val="center"/>
              <w:rPr>
                <w:rFonts w:hint="eastAsia" w:ascii="宋体" w:hAnsi="宋体" w:cs="宋体"/>
              </w:rPr>
            </w:pPr>
            <w:r>
              <w:rPr>
                <w:rFonts w:hint="eastAsia" w:ascii="宋体" w:hAnsi="宋体" w:cs="宋体"/>
              </w:rPr>
              <w:t>3.7.3（2）</w:t>
            </w:r>
          </w:p>
        </w:tc>
        <w:tc>
          <w:tcPr>
            <w:tcW w:w="2551" w:type="dxa"/>
            <w:vAlign w:val="center"/>
          </w:tcPr>
          <w:p w14:paraId="60302456">
            <w:pPr>
              <w:spacing w:line="360" w:lineRule="auto"/>
              <w:jc w:val="center"/>
              <w:rPr>
                <w:rFonts w:hint="eastAsia" w:ascii="宋体" w:hAnsi="宋体" w:cs="宋体"/>
              </w:rPr>
            </w:pPr>
            <w:r>
              <w:rPr>
                <w:rFonts w:hint="eastAsia" w:ascii="宋体" w:hAnsi="宋体" w:cs="宋体"/>
              </w:rPr>
              <w:t>谈判响应文件副本份数及其他要求</w:t>
            </w:r>
          </w:p>
        </w:tc>
        <w:tc>
          <w:tcPr>
            <w:tcW w:w="5670" w:type="dxa"/>
            <w:vAlign w:val="center"/>
          </w:tcPr>
          <w:p w14:paraId="31EEE098">
            <w:pPr>
              <w:spacing w:line="360" w:lineRule="auto"/>
              <w:rPr>
                <w:rFonts w:hint="eastAsia" w:ascii="宋体" w:hAnsi="宋体" w:cs="宋体"/>
              </w:rPr>
            </w:pPr>
            <w:r>
              <w:rPr>
                <w:rFonts w:hint="eastAsia" w:ascii="宋体" w:hAnsi="宋体" w:cs="宋体"/>
              </w:rPr>
              <w:t>谈判响应文件副本份数：贰份</w:t>
            </w:r>
          </w:p>
          <w:p w14:paraId="342AE988">
            <w:pPr>
              <w:spacing w:line="360" w:lineRule="auto"/>
              <w:rPr>
                <w:rFonts w:hint="eastAsia" w:ascii="宋体" w:hAnsi="宋体" w:cs="宋体"/>
              </w:rPr>
            </w:pPr>
            <w:r>
              <w:rPr>
                <w:rFonts w:hint="eastAsia" w:ascii="宋体" w:hAnsi="宋体" w:cs="宋体"/>
              </w:rPr>
              <w:t>是否要求提供电子版谈判响应文件：</w:t>
            </w:r>
          </w:p>
          <w:p w14:paraId="6D4DD6BA">
            <w:pPr>
              <w:spacing w:line="360" w:lineRule="auto"/>
              <w:rPr>
                <w:rFonts w:hint="eastAsia" w:ascii="宋体" w:hAnsi="宋体" w:cs="宋体"/>
              </w:rPr>
            </w:pPr>
            <w:r>
              <w:rPr>
                <w:rFonts w:hint="eastAsia" w:ascii="宋体" w:hAnsi="宋体" w:cs="宋体"/>
              </w:rPr>
              <w:t>□不要求：</w:t>
            </w:r>
          </w:p>
          <w:p w14:paraId="5E3392FB">
            <w:pPr>
              <w:spacing w:line="360" w:lineRule="auto"/>
              <w:rPr>
                <w:rFonts w:hint="eastAsia" w:ascii="宋体" w:hAnsi="宋体" w:cs="宋体"/>
              </w:rPr>
            </w:pPr>
            <w:r>
              <w:rPr>
                <w:rFonts w:hint="eastAsia" w:ascii="宋体" w:hAnsi="宋体" w:cs="宋体"/>
                <w:spacing w:val="1"/>
              </w:rPr>
              <w:sym w:font="Wingdings" w:char="00FE"/>
            </w:r>
            <w:r>
              <w:rPr>
                <w:rFonts w:hint="eastAsia" w:ascii="宋体" w:hAnsi="宋体" w:cs="宋体"/>
              </w:rPr>
              <w:t>要求：供应商须另行提供与纸质谈判响应文件正本一致的PDF格式电子版谈判响应文件（签章齐全版本），载体为U盘；</w:t>
            </w:r>
          </w:p>
          <w:p w14:paraId="7B9A994C">
            <w:pPr>
              <w:spacing w:line="360" w:lineRule="auto"/>
              <w:rPr>
                <w:rFonts w:hint="eastAsia" w:ascii="宋体" w:hAnsi="宋体" w:cs="宋体"/>
              </w:rPr>
            </w:pPr>
            <w:r>
              <w:rPr>
                <w:rFonts w:hint="eastAsia" w:ascii="宋体" w:hAnsi="宋体" w:cs="宋体"/>
              </w:rPr>
              <w:t>其他要求：电子版载体表面需标明项目编号、供应商名称</w:t>
            </w:r>
          </w:p>
        </w:tc>
      </w:tr>
      <w:tr w14:paraId="6DADB2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1072" w:type="dxa"/>
            <w:vAlign w:val="center"/>
          </w:tcPr>
          <w:p w14:paraId="65FD4D4F">
            <w:pPr>
              <w:spacing w:line="360" w:lineRule="auto"/>
              <w:jc w:val="center"/>
              <w:rPr>
                <w:rFonts w:hint="eastAsia" w:ascii="宋体" w:hAnsi="宋体" w:cs="宋体"/>
              </w:rPr>
            </w:pPr>
            <w:r>
              <w:rPr>
                <w:rFonts w:hint="eastAsia" w:ascii="宋体" w:hAnsi="宋体" w:cs="宋体"/>
              </w:rPr>
              <w:t>3.7.3（3）</w:t>
            </w:r>
          </w:p>
        </w:tc>
        <w:tc>
          <w:tcPr>
            <w:tcW w:w="2551" w:type="dxa"/>
            <w:vAlign w:val="center"/>
          </w:tcPr>
          <w:p w14:paraId="418BB23B">
            <w:pPr>
              <w:spacing w:line="360" w:lineRule="auto"/>
              <w:jc w:val="center"/>
              <w:rPr>
                <w:rFonts w:hint="eastAsia" w:ascii="宋体" w:hAnsi="宋体" w:cs="宋体"/>
              </w:rPr>
            </w:pPr>
            <w:r>
              <w:rPr>
                <w:rFonts w:hint="eastAsia" w:ascii="宋体" w:hAnsi="宋体" w:cs="宋体"/>
              </w:rPr>
              <w:t>谈判响应文件是否需分册装订</w:t>
            </w:r>
          </w:p>
        </w:tc>
        <w:tc>
          <w:tcPr>
            <w:tcW w:w="5670" w:type="dxa"/>
            <w:vAlign w:val="center"/>
          </w:tcPr>
          <w:p w14:paraId="274155CE">
            <w:pPr>
              <w:pStyle w:val="79"/>
              <w:snapToGrid w:val="0"/>
              <w:spacing w:after="0" w:line="360" w:lineRule="auto"/>
              <w:rPr>
                <w:rFonts w:hint="eastAsia" w:ascii="宋体" w:hAnsi="宋体" w:cs="宋体"/>
                <w:spacing w:val="1"/>
                <w:sz w:val="21"/>
                <w:szCs w:val="21"/>
                <w:lang w:eastAsia="zh-CN"/>
              </w:rPr>
            </w:pPr>
            <w:r>
              <w:rPr>
                <w:rFonts w:hint="eastAsia" w:ascii="宋体" w:hAnsi="宋体" w:cs="宋体"/>
                <w:spacing w:val="1"/>
                <w:sz w:val="21"/>
                <w:szCs w:val="21"/>
                <w:lang w:eastAsia="zh-CN"/>
              </w:rPr>
              <w:t>☑不需要</w:t>
            </w:r>
          </w:p>
          <w:p w14:paraId="1085878C">
            <w:pPr>
              <w:pStyle w:val="79"/>
              <w:snapToGrid w:val="0"/>
              <w:spacing w:after="0" w:line="360" w:lineRule="auto"/>
              <w:rPr>
                <w:rFonts w:hint="eastAsia" w:ascii="宋体" w:hAnsi="宋体" w:cs="宋体"/>
                <w:lang w:eastAsia="zh-CN"/>
              </w:rPr>
            </w:pPr>
            <w:r>
              <w:rPr>
                <w:rFonts w:hint="eastAsia" w:ascii="宋体" w:hAnsi="宋体" w:cs="宋体"/>
                <w:spacing w:val="1"/>
                <w:sz w:val="21"/>
                <w:szCs w:val="21"/>
                <w:lang w:eastAsia="zh-CN"/>
              </w:rPr>
              <w:sym w:font="Wingdings" w:char="00A8"/>
            </w:r>
            <w:r>
              <w:rPr>
                <w:rFonts w:hint="eastAsia" w:ascii="宋体" w:hAnsi="宋体" w:cs="宋体"/>
                <w:spacing w:val="1"/>
                <w:sz w:val="21"/>
                <w:szCs w:val="21"/>
                <w:lang w:eastAsia="zh-CN"/>
              </w:rPr>
              <w:t>需要，分册装订要求：</w:t>
            </w:r>
          </w:p>
        </w:tc>
      </w:tr>
      <w:tr w14:paraId="1A8C13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14:paraId="3BB1D52A">
            <w:pPr>
              <w:spacing w:line="360" w:lineRule="auto"/>
              <w:jc w:val="center"/>
              <w:rPr>
                <w:rFonts w:hint="eastAsia" w:ascii="宋体" w:hAnsi="宋体" w:cs="宋体"/>
              </w:rPr>
            </w:pPr>
            <w:r>
              <w:rPr>
                <w:rFonts w:hint="eastAsia" w:ascii="宋体" w:hAnsi="宋体" w:cs="宋体"/>
              </w:rPr>
              <w:t>4.1.2</w:t>
            </w:r>
          </w:p>
        </w:tc>
        <w:tc>
          <w:tcPr>
            <w:tcW w:w="2551" w:type="dxa"/>
            <w:vAlign w:val="center"/>
          </w:tcPr>
          <w:p w14:paraId="304B92FC">
            <w:pPr>
              <w:spacing w:line="360" w:lineRule="auto"/>
              <w:jc w:val="center"/>
              <w:rPr>
                <w:rFonts w:hint="eastAsia" w:ascii="宋体" w:hAnsi="宋体" w:cs="宋体"/>
              </w:rPr>
            </w:pPr>
            <w:r>
              <w:rPr>
                <w:rFonts w:hint="eastAsia" w:ascii="宋体" w:hAnsi="宋体" w:cs="宋体"/>
              </w:rPr>
              <w:t>封套上应载明的信息</w:t>
            </w:r>
          </w:p>
        </w:tc>
        <w:tc>
          <w:tcPr>
            <w:tcW w:w="5670" w:type="dxa"/>
            <w:vAlign w:val="center"/>
          </w:tcPr>
          <w:p w14:paraId="5E52A882">
            <w:pPr>
              <w:spacing w:line="360" w:lineRule="auto"/>
              <w:ind w:firstLine="630" w:firstLineChars="300"/>
              <w:jc w:val="right"/>
              <w:rPr>
                <w:rFonts w:hint="eastAsia" w:ascii="宋体" w:hAnsi="宋体" w:cs="宋体"/>
                <w:bdr w:val="single" w:color="auto" w:sz="4" w:space="0"/>
              </w:rPr>
            </w:pPr>
            <w:r>
              <w:rPr>
                <w:rFonts w:hint="eastAsia" w:ascii="宋体" w:hAnsi="宋体" w:cs="宋体"/>
                <w:bdr w:val="single" w:color="auto" w:sz="4" w:space="0"/>
              </w:rPr>
              <w:t>正本/副本</w:t>
            </w:r>
          </w:p>
          <w:p w14:paraId="241770B3">
            <w:pPr>
              <w:spacing w:line="360" w:lineRule="auto"/>
              <w:ind w:firstLine="1470" w:firstLineChars="700"/>
              <w:rPr>
                <w:rFonts w:hint="eastAsia" w:ascii="宋体" w:hAnsi="宋体" w:cs="宋体"/>
                <w:u w:val="single"/>
              </w:rPr>
            </w:pPr>
            <w:r>
              <w:rPr>
                <w:rFonts w:hint="eastAsia" w:ascii="宋体" w:hAnsi="宋体" w:cs="宋体"/>
                <w:u w:val="single"/>
              </w:rPr>
              <w:t>（项目名称）</w:t>
            </w:r>
          </w:p>
          <w:p w14:paraId="324B44F7">
            <w:pPr>
              <w:spacing w:line="360" w:lineRule="auto"/>
              <w:ind w:firstLine="1470" w:firstLineChars="700"/>
              <w:rPr>
                <w:rFonts w:hint="eastAsia" w:ascii="宋体" w:hAnsi="宋体" w:cs="宋体"/>
                <w:u w:val="single"/>
              </w:rPr>
            </w:pPr>
            <w:r>
              <w:rPr>
                <w:rFonts w:hint="eastAsia" w:ascii="宋体" w:hAnsi="宋体" w:cs="宋体"/>
                <w:u w:val="single"/>
              </w:rPr>
              <w:t>（项目编号）</w:t>
            </w:r>
          </w:p>
          <w:p w14:paraId="0CA18B94">
            <w:pPr>
              <w:spacing w:line="360" w:lineRule="auto"/>
              <w:ind w:firstLine="1476" w:firstLineChars="700"/>
              <w:jc w:val="left"/>
              <w:rPr>
                <w:rFonts w:hint="eastAsia" w:ascii="宋体" w:hAnsi="宋体" w:cs="宋体"/>
                <w:b/>
              </w:rPr>
            </w:pPr>
            <w:r>
              <w:rPr>
                <w:rFonts w:hint="eastAsia" w:ascii="宋体" w:hAnsi="宋体" w:cs="宋体"/>
                <w:b/>
              </w:rPr>
              <w:t>谈判响应文件</w:t>
            </w:r>
          </w:p>
          <w:p w14:paraId="2C746A0F">
            <w:pPr>
              <w:spacing w:line="360" w:lineRule="auto"/>
              <w:ind w:firstLine="420" w:firstLineChars="200"/>
              <w:rPr>
                <w:rFonts w:hint="eastAsia" w:ascii="宋体" w:hAnsi="宋体" w:cs="宋体"/>
              </w:rPr>
            </w:pPr>
            <w:r>
              <w:rPr>
                <w:rFonts w:hint="eastAsia" w:ascii="宋体" w:hAnsi="宋体" w:cs="宋体"/>
              </w:rPr>
              <w:t xml:space="preserve">供应商名称：              </w:t>
            </w:r>
          </w:p>
          <w:p w14:paraId="09158B42">
            <w:pPr>
              <w:spacing w:line="360" w:lineRule="auto"/>
              <w:rPr>
                <w:rFonts w:hint="eastAsia" w:ascii="宋体" w:hAnsi="宋体" w:cs="宋体"/>
                <w:u w:val="single"/>
              </w:rPr>
            </w:pPr>
            <w:r>
              <w:rPr>
                <w:rFonts w:hint="eastAsia" w:ascii="宋体" w:hAnsi="宋体" w:cs="宋体"/>
              </w:rPr>
              <w:t>在  年 月 日  时  分（填谈判响应文件递交截止时间）前不得开启</w:t>
            </w:r>
          </w:p>
        </w:tc>
      </w:tr>
      <w:tr w14:paraId="5F34B1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72" w:type="dxa"/>
            <w:vAlign w:val="center"/>
          </w:tcPr>
          <w:p w14:paraId="0ACA9761">
            <w:pPr>
              <w:spacing w:line="360" w:lineRule="auto"/>
              <w:jc w:val="center"/>
              <w:rPr>
                <w:rFonts w:hint="eastAsia" w:ascii="宋体" w:hAnsi="宋体" w:cs="宋体"/>
              </w:rPr>
            </w:pPr>
            <w:r>
              <w:rPr>
                <w:rFonts w:hint="eastAsia" w:ascii="宋体" w:hAnsi="宋体" w:cs="宋体"/>
              </w:rPr>
              <w:t>4.2.1</w:t>
            </w:r>
          </w:p>
        </w:tc>
        <w:tc>
          <w:tcPr>
            <w:tcW w:w="2551" w:type="dxa"/>
            <w:vAlign w:val="center"/>
          </w:tcPr>
          <w:p w14:paraId="191E08A8">
            <w:pPr>
              <w:spacing w:line="360" w:lineRule="auto"/>
              <w:jc w:val="center"/>
              <w:rPr>
                <w:rFonts w:hint="eastAsia" w:ascii="宋体" w:hAnsi="宋体" w:cs="宋体"/>
              </w:rPr>
            </w:pPr>
            <w:r>
              <w:rPr>
                <w:rFonts w:hint="eastAsia" w:ascii="宋体" w:hAnsi="宋体" w:cs="宋体"/>
              </w:rPr>
              <w:t>谈判响应文件递交截止</w:t>
            </w:r>
          </w:p>
          <w:p w14:paraId="303ED326">
            <w:pPr>
              <w:spacing w:line="360" w:lineRule="auto"/>
              <w:jc w:val="center"/>
              <w:rPr>
                <w:rFonts w:hint="eastAsia" w:ascii="宋体" w:hAnsi="宋体" w:cs="宋体"/>
              </w:rPr>
            </w:pPr>
            <w:r>
              <w:rPr>
                <w:rFonts w:hint="eastAsia" w:ascii="宋体" w:hAnsi="宋体" w:cs="宋体"/>
              </w:rPr>
              <w:t>时间</w:t>
            </w:r>
          </w:p>
        </w:tc>
        <w:tc>
          <w:tcPr>
            <w:tcW w:w="5670" w:type="dxa"/>
            <w:vAlign w:val="center"/>
          </w:tcPr>
          <w:p w14:paraId="75372288">
            <w:pPr>
              <w:spacing w:line="360" w:lineRule="auto"/>
              <w:rPr>
                <w:rFonts w:hint="eastAsia" w:ascii="宋体" w:hAnsi="宋体" w:cs="宋体"/>
                <w:u w:val="single"/>
              </w:rPr>
            </w:pPr>
            <w:r>
              <w:rPr>
                <w:rFonts w:hint="eastAsia" w:ascii="宋体" w:hAnsi="宋体" w:cs="宋体"/>
              </w:rPr>
              <w:t>2026</w:t>
            </w:r>
            <w:r>
              <w:rPr>
                <w:rFonts w:hint="eastAsia" w:ascii="宋体" w:hAnsi="宋体" w:cs="宋体"/>
                <w:lang w:val="zh-CN"/>
              </w:rPr>
              <w:t>年</w:t>
            </w:r>
            <w:r>
              <w:rPr>
                <w:rFonts w:hint="eastAsia" w:ascii="宋体" w:hAnsi="宋体" w:cs="宋体"/>
              </w:rPr>
              <w:t>09</w:t>
            </w:r>
            <w:r>
              <w:rPr>
                <w:rFonts w:hint="eastAsia" w:ascii="宋体" w:hAnsi="宋体" w:cs="宋体"/>
                <w:lang w:val="zh-CN"/>
              </w:rPr>
              <w:t>月</w:t>
            </w:r>
            <w:r>
              <w:rPr>
                <w:rFonts w:hint="eastAsia" w:ascii="宋体" w:hAnsi="宋体" w:cs="宋体"/>
              </w:rPr>
              <w:t>08</w:t>
            </w:r>
            <w:r>
              <w:rPr>
                <w:rFonts w:hint="eastAsia" w:ascii="宋体" w:hAnsi="宋体" w:cs="宋体"/>
                <w:lang w:val="zh-CN"/>
              </w:rPr>
              <w:t>日</w:t>
            </w:r>
            <w:r>
              <w:rPr>
                <w:rFonts w:hint="eastAsia" w:ascii="宋体" w:hAnsi="宋体" w:cs="宋体"/>
              </w:rPr>
              <w:t>09时30分00秒</w:t>
            </w:r>
          </w:p>
        </w:tc>
      </w:tr>
      <w:tr w14:paraId="713723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14:paraId="03873303">
            <w:pPr>
              <w:spacing w:line="360" w:lineRule="auto"/>
              <w:jc w:val="center"/>
              <w:rPr>
                <w:rFonts w:hint="eastAsia" w:ascii="宋体" w:hAnsi="宋体" w:cs="宋体"/>
              </w:rPr>
            </w:pPr>
            <w:r>
              <w:rPr>
                <w:rFonts w:hint="eastAsia" w:ascii="宋体" w:hAnsi="宋体" w:cs="宋体"/>
              </w:rPr>
              <w:t>4.2.2</w:t>
            </w:r>
          </w:p>
        </w:tc>
        <w:tc>
          <w:tcPr>
            <w:tcW w:w="2551" w:type="dxa"/>
            <w:vAlign w:val="center"/>
          </w:tcPr>
          <w:p w14:paraId="74BCA519">
            <w:pPr>
              <w:spacing w:line="360" w:lineRule="auto"/>
              <w:jc w:val="center"/>
              <w:rPr>
                <w:rFonts w:hint="eastAsia" w:ascii="宋体" w:hAnsi="宋体" w:cs="宋体"/>
              </w:rPr>
            </w:pPr>
            <w:r>
              <w:rPr>
                <w:rFonts w:hint="eastAsia" w:ascii="宋体" w:hAnsi="宋体" w:cs="宋体"/>
              </w:rPr>
              <w:t>递交谈判响应文件地点</w:t>
            </w:r>
          </w:p>
        </w:tc>
        <w:tc>
          <w:tcPr>
            <w:tcW w:w="5670" w:type="dxa"/>
            <w:vAlign w:val="center"/>
          </w:tcPr>
          <w:p w14:paraId="041693F7">
            <w:pPr>
              <w:spacing w:line="360" w:lineRule="auto"/>
              <w:rPr>
                <w:rFonts w:hint="eastAsia" w:ascii="宋体" w:hAnsi="宋体" w:cs="宋体"/>
                <w:u w:val="single"/>
              </w:rPr>
            </w:pPr>
            <w:r>
              <w:rPr>
                <w:rFonts w:hint="eastAsia" w:ascii="宋体" w:hAnsi="宋体" w:cs="宋体"/>
              </w:rPr>
              <w:t>西安市雁塔区雁展路1111号莱安中心T7-1907室</w:t>
            </w:r>
          </w:p>
        </w:tc>
      </w:tr>
      <w:tr w14:paraId="1D354F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14:paraId="6B4C6063">
            <w:pPr>
              <w:spacing w:line="360" w:lineRule="auto"/>
              <w:jc w:val="center"/>
              <w:rPr>
                <w:rFonts w:hint="eastAsia" w:ascii="宋体" w:hAnsi="宋体" w:cs="宋体"/>
              </w:rPr>
            </w:pPr>
            <w:r>
              <w:rPr>
                <w:rFonts w:hint="eastAsia" w:ascii="宋体" w:hAnsi="宋体" w:cs="宋体"/>
              </w:rPr>
              <w:t>4.2.3</w:t>
            </w:r>
          </w:p>
        </w:tc>
        <w:tc>
          <w:tcPr>
            <w:tcW w:w="2551" w:type="dxa"/>
            <w:vAlign w:val="center"/>
          </w:tcPr>
          <w:p w14:paraId="6C1AB245">
            <w:pPr>
              <w:spacing w:line="360" w:lineRule="auto"/>
              <w:jc w:val="center"/>
              <w:rPr>
                <w:rFonts w:hint="eastAsia" w:ascii="宋体" w:hAnsi="宋体" w:cs="宋体"/>
              </w:rPr>
            </w:pPr>
            <w:r>
              <w:rPr>
                <w:rFonts w:hint="eastAsia" w:ascii="宋体" w:hAnsi="宋体" w:cs="宋体"/>
              </w:rPr>
              <w:t>谈判响应文件是否退还</w:t>
            </w:r>
          </w:p>
        </w:tc>
        <w:tc>
          <w:tcPr>
            <w:tcW w:w="5670" w:type="dxa"/>
            <w:vAlign w:val="center"/>
          </w:tcPr>
          <w:p w14:paraId="5735E817">
            <w:pPr>
              <w:spacing w:line="360" w:lineRule="auto"/>
              <w:rPr>
                <w:rFonts w:hint="eastAsia" w:ascii="宋体" w:hAnsi="宋体" w:cs="宋体"/>
              </w:rPr>
            </w:pPr>
            <w:r>
              <w:rPr>
                <w:rFonts w:hint="eastAsia" w:ascii="宋体" w:hAnsi="宋体" w:cs="宋体"/>
                <w:spacing w:val="1"/>
              </w:rPr>
              <w:sym w:font="Wingdings" w:char="00FE"/>
            </w:r>
            <w:r>
              <w:rPr>
                <w:rFonts w:hint="eastAsia" w:ascii="宋体" w:hAnsi="宋体" w:cs="宋体"/>
              </w:rPr>
              <w:t>否</w:t>
            </w:r>
          </w:p>
          <w:p w14:paraId="4A15B144">
            <w:pPr>
              <w:spacing w:line="360" w:lineRule="auto"/>
              <w:rPr>
                <w:rFonts w:hint="eastAsia" w:ascii="宋体" w:hAnsi="宋体" w:cs="宋体"/>
              </w:rPr>
            </w:pPr>
            <w:r>
              <w:rPr>
                <w:rFonts w:hint="eastAsia" w:ascii="宋体" w:hAnsi="宋体" w:cs="宋体"/>
              </w:rPr>
              <w:t>□是，退还时间：/</w:t>
            </w:r>
          </w:p>
          <w:p w14:paraId="3D3E61A8">
            <w:pPr>
              <w:spacing w:line="360" w:lineRule="auto"/>
              <w:rPr>
                <w:rFonts w:hint="eastAsia" w:ascii="宋体" w:hAnsi="宋体" w:cs="宋体"/>
              </w:rPr>
            </w:pPr>
            <w:r>
              <w:rPr>
                <w:rFonts w:hint="eastAsia" w:ascii="宋体" w:hAnsi="宋体" w:cs="宋体"/>
              </w:rPr>
              <w:t>注：如至谈判响应文件递交截止时间，递交谈判响应文件的供应商不足三家时，现场退还已递交的谈判响应文件</w:t>
            </w:r>
          </w:p>
        </w:tc>
      </w:tr>
      <w:tr w14:paraId="7532D9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14:paraId="213FBF41">
            <w:pPr>
              <w:spacing w:line="360" w:lineRule="auto"/>
              <w:jc w:val="center"/>
              <w:rPr>
                <w:rFonts w:hint="eastAsia" w:ascii="宋体" w:hAnsi="宋体" w:cs="宋体"/>
              </w:rPr>
            </w:pPr>
            <w:r>
              <w:rPr>
                <w:rFonts w:hint="eastAsia" w:ascii="宋体" w:hAnsi="宋体" w:cs="宋体"/>
              </w:rPr>
              <w:t>5.1</w:t>
            </w:r>
          </w:p>
        </w:tc>
        <w:tc>
          <w:tcPr>
            <w:tcW w:w="2551" w:type="dxa"/>
            <w:vAlign w:val="center"/>
          </w:tcPr>
          <w:p w14:paraId="2598D4B1">
            <w:pPr>
              <w:spacing w:line="360" w:lineRule="auto"/>
              <w:jc w:val="center"/>
              <w:rPr>
                <w:rFonts w:hint="eastAsia" w:ascii="宋体" w:hAnsi="宋体" w:cs="宋体"/>
              </w:rPr>
            </w:pPr>
            <w:r>
              <w:rPr>
                <w:rFonts w:hint="eastAsia" w:ascii="宋体" w:hAnsi="宋体" w:cs="宋体"/>
              </w:rPr>
              <w:t>开启时间和地点</w:t>
            </w:r>
          </w:p>
        </w:tc>
        <w:tc>
          <w:tcPr>
            <w:tcW w:w="5670" w:type="dxa"/>
            <w:vAlign w:val="center"/>
          </w:tcPr>
          <w:p w14:paraId="732446FD">
            <w:pPr>
              <w:spacing w:line="360" w:lineRule="auto"/>
              <w:rPr>
                <w:rFonts w:hint="eastAsia" w:ascii="宋体" w:hAnsi="宋体" w:cs="宋体"/>
              </w:rPr>
            </w:pPr>
            <w:r>
              <w:rPr>
                <w:rFonts w:hint="eastAsia" w:ascii="宋体" w:hAnsi="宋体" w:cs="宋体"/>
              </w:rPr>
              <w:t>开标时间：同谈判响应文件递交截止时间</w:t>
            </w:r>
          </w:p>
          <w:p w14:paraId="51C45D0F">
            <w:pPr>
              <w:spacing w:line="360" w:lineRule="auto"/>
              <w:rPr>
                <w:rFonts w:hint="eastAsia" w:ascii="宋体" w:hAnsi="宋体" w:cs="宋体"/>
              </w:rPr>
            </w:pPr>
            <w:r>
              <w:rPr>
                <w:rFonts w:hint="eastAsia" w:ascii="宋体" w:hAnsi="宋体" w:cs="宋体"/>
              </w:rPr>
              <w:t>开标地点：同递交谈判响应文件地点</w:t>
            </w:r>
          </w:p>
        </w:tc>
      </w:tr>
      <w:tr w14:paraId="328AEB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14:paraId="3AD8514C">
            <w:pPr>
              <w:spacing w:line="360" w:lineRule="auto"/>
              <w:jc w:val="center"/>
              <w:rPr>
                <w:rFonts w:hint="eastAsia" w:ascii="宋体" w:hAnsi="宋体" w:cs="宋体"/>
              </w:rPr>
            </w:pPr>
            <w:r>
              <w:rPr>
                <w:rFonts w:hint="eastAsia" w:ascii="宋体" w:hAnsi="宋体" w:cs="宋体"/>
              </w:rPr>
              <w:t>5.2（4）</w:t>
            </w:r>
          </w:p>
        </w:tc>
        <w:tc>
          <w:tcPr>
            <w:tcW w:w="2551" w:type="dxa"/>
            <w:vAlign w:val="center"/>
          </w:tcPr>
          <w:p w14:paraId="17B3B371">
            <w:pPr>
              <w:spacing w:line="360" w:lineRule="auto"/>
              <w:jc w:val="center"/>
              <w:rPr>
                <w:rFonts w:hint="eastAsia" w:ascii="宋体" w:hAnsi="宋体" w:cs="宋体"/>
              </w:rPr>
            </w:pPr>
            <w:r>
              <w:rPr>
                <w:rFonts w:hint="eastAsia" w:ascii="宋体" w:hAnsi="宋体" w:cs="宋体"/>
              </w:rPr>
              <w:t>开启程序</w:t>
            </w:r>
          </w:p>
        </w:tc>
        <w:tc>
          <w:tcPr>
            <w:tcW w:w="5670" w:type="dxa"/>
            <w:vAlign w:val="center"/>
          </w:tcPr>
          <w:p w14:paraId="63F7BFEE">
            <w:pPr>
              <w:spacing w:line="360" w:lineRule="auto"/>
              <w:rPr>
                <w:rFonts w:hint="eastAsia" w:ascii="宋体" w:hAnsi="宋体" w:cs="宋体"/>
              </w:rPr>
            </w:pPr>
            <w:r>
              <w:rPr>
                <w:rFonts w:hint="eastAsia" w:ascii="宋体" w:hAnsi="宋体" w:cs="宋体"/>
              </w:rPr>
              <w:t>随机开启密封符合要求的文件</w:t>
            </w:r>
          </w:p>
        </w:tc>
      </w:tr>
      <w:tr w14:paraId="111FB49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072" w:type="dxa"/>
            <w:vAlign w:val="center"/>
          </w:tcPr>
          <w:p w14:paraId="1668002E">
            <w:pPr>
              <w:spacing w:line="360" w:lineRule="auto"/>
              <w:jc w:val="center"/>
              <w:rPr>
                <w:rFonts w:hint="eastAsia" w:ascii="宋体" w:hAnsi="宋体" w:cs="宋体"/>
              </w:rPr>
            </w:pPr>
            <w:r>
              <w:rPr>
                <w:rFonts w:hint="eastAsia" w:ascii="宋体" w:hAnsi="宋体" w:cs="宋体"/>
              </w:rPr>
              <w:t>6.1.1</w:t>
            </w:r>
          </w:p>
        </w:tc>
        <w:tc>
          <w:tcPr>
            <w:tcW w:w="2551" w:type="dxa"/>
            <w:vAlign w:val="center"/>
          </w:tcPr>
          <w:p w14:paraId="2EDBAFDE">
            <w:pPr>
              <w:spacing w:line="360" w:lineRule="auto"/>
              <w:jc w:val="center"/>
              <w:rPr>
                <w:rFonts w:hint="eastAsia" w:ascii="宋体" w:hAnsi="宋体" w:cs="宋体"/>
              </w:rPr>
            </w:pPr>
            <w:r>
              <w:rPr>
                <w:rFonts w:hint="eastAsia" w:ascii="宋体" w:hAnsi="宋体" w:cs="宋体"/>
              </w:rPr>
              <w:t>谈判小组的组建</w:t>
            </w:r>
          </w:p>
        </w:tc>
        <w:tc>
          <w:tcPr>
            <w:tcW w:w="5670" w:type="dxa"/>
            <w:vAlign w:val="center"/>
          </w:tcPr>
          <w:p w14:paraId="3CF6923E">
            <w:pPr>
              <w:spacing w:line="360" w:lineRule="auto"/>
              <w:rPr>
                <w:rFonts w:hint="eastAsia" w:ascii="宋体" w:hAnsi="宋体" w:cs="宋体"/>
              </w:rPr>
            </w:pPr>
            <w:r>
              <w:rPr>
                <w:rFonts w:hint="eastAsia" w:ascii="宋体" w:hAnsi="宋体" w:cs="宋体"/>
              </w:rPr>
              <w:t>谈判小组的构成：专家</w:t>
            </w:r>
            <w:r>
              <w:rPr>
                <w:rFonts w:hint="eastAsia" w:ascii="宋体" w:hAnsi="宋体" w:cs="宋体"/>
                <w:u w:val="single"/>
              </w:rPr>
              <w:t>3</w:t>
            </w:r>
            <w:r>
              <w:rPr>
                <w:rFonts w:hint="eastAsia" w:ascii="宋体" w:hAnsi="宋体" w:cs="宋体"/>
              </w:rPr>
              <w:t>人。</w:t>
            </w:r>
          </w:p>
          <w:p w14:paraId="5A553002">
            <w:pPr>
              <w:spacing w:line="360" w:lineRule="auto"/>
              <w:rPr>
                <w:rFonts w:hint="eastAsia" w:ascii="宋体" w:hAnsi="宋体" w:cs="宋体"/>
              </w:rPr>
            </w:pPr>
            <w:r>
              <w:rPr>
                <w:rFonts w:hint="eastAsia" w:ascii="宋体" w:hAnsi="宋体" w:cs="宋体"/>
              </w:rPr>
              <w:t>谈判小组专家确定方式：按规定在政府采购专家库中随机抽取。</w:t>
            </w:r>
          </w:p>
        </w:tc>
      </w:tr>
      <w:tr w14:paraId="6543ED0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1072" w:type="dxa"/>
            <w:vAlign w:val="center"/>
          </w:tcPr>
          <w:p w14:paraId="0860B67E">
            <w:pPr>
              <w:spacing w:line="360" w:lineRule="auto"/>
              <w:jc w:val="center"/>
              <w:rPr>
                <w:rFonts w:hint="eastAsia" w:ascii="宋体" w:hAnsi="宋体" w:cs="宋体"/>
              </w:rPr>
            </w:pPr>
            <w:r>
              <w:rPr>
                <w:rFonts w:hint="eastAsia" w:ascii="宋体" w:hAnsi="宋体" w:cs="宋体"/>
              </w:rPr>
              <w:t>6.3.2</w:t>
            </w:r>
          </w:p>
        </w:tc>
        <w:tc>
          <w:tcPr>
            <w:tcW w:w="2551" w:type="dxa"/>
            <w:vAlign w:val="center"/>
          </w:tcPr>
          <w:p w14:paraId="0145AFE2">
            <w:pPr>
              <w:spacing w:line="360" w:lineRule="auto"/>
              <w:jc w:val="center"/>
              <w:rPr>
                <w:rFonts w:hint="eastAsia" w:ascii="宋体" w:hAnsi="宋体" w:cs="宋体"/>
              </w:rPr>
            </w:pPr>
            <w:r>
              <w:rPr>
                <w:rFonts w:hint="eastAsia" w:ascii="宋体" w:hAnsi="宋体" w:cs="宋体"/>
              </w:rPr>
              <w:t>谈判小组推荐成交候选供应商数量</w:t>
            </w:r>
          </w:p>
        </w:tc>
        <w:tc>
          <w:tcPr>
            <w:tcW w:w="5670" w:type="dxa"/>
            <w:vAlign w:val="center"/>
          </w:tcPr>
          <w:p w14:paraId="697915BD">
            <w:pPr>
              <w:spacing w:line="360" w:lineRule="auto"/>
              <w:rPr>
                <w:rFonts w:hint="eastAsia" w:ascii="宋体" w:hAnsi="宋体" w:cs="宋体"/>
              </w:rPr>
            </w:pPr>
            <w:r>
              <w:rPr>
                <w:rFonts w:hint="eastAsia" w:ascii="宋体" w:hAnsi="宋体" w:cs="宋体"/>
              </w:rPr>
              <w:t>3名</w:t>
            </w:r>
          </w:p>
        </w:tc>
      </w:tr>
      <w:tr w14:paraId="099E5D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86" w:hRule="atLeast"/>
          <w:jc w:val="center"/>
        </w:trPr>
        <w:tc>
          <w:tcPr>
            <w:tcW w:w="1072" w:type="dxa"/>
            <w:vAlign w:val="center"/>
          </w:tcPr>
          <w:p w14:paraId="79E9AE30">
            <w:pPr>
              <w:spacing w:line="360" w:lineRule="auto"/>
              <w:jc w:val="center"/>
              <w:rPr>
                <w:rFonts w:hint="eastAsia" w:ascii="宋体" w:hAnsi="宋体" w:cs="宋体"/>
              </w:rPr>
            </w:pPr>
            <w:r>
              <w:rPr>
                <w:rFonts w:hint="eastAsia" w:ascii="宋体" w:hAnsi="宋体" w:cs="宋体"/>
              </w:rPr>
              <w:t>7.1</w:t>
            </w:r>
          </w:p>
        </w:tc>
        <w:tc>
          <w:tcPr>
            <w:tcW w:w="2551" w:type="dxa"/>
            <w:vAlign w:val="center"/>
          </w:tcPr>
          <w:p w14:paraId="14CC568F">
            <w:pPr>
              <w:spacing w:line="360" w:lineRule="auto"/>
              <w:jc w:val="center"/>
              <w:rPr>
                <w:rFonts w:hint="eastAsia" w:ascii="宋体" w:hAnsi="宋体" w:cs="宋体"/>
              </w:rPr>
            </w:pPr>
            <w:r>
              <w:rPr>
                <w:rFonts w:hint="eastAsia" w:ascii="宋体" w:hAnsi="宋体" w:cs="宋体"/>
              </w:rPr>
              <w:t>成交结果公示媒介及期限</w:t>
            </w:r>
          </w:p>
        </w:tc>
        <w:tc>
          <w:tcPr>
            <w:tcW w:w="5670" w:type="dxa"/>
            <w:vAlign w:val="center"/>
          </w:tcPr>
          <w:p w14:paraId="7E216DCF">
            <w:pPr>
              <w:spacing w:line="360" w:lineRule="auto"/>
              <w:rPr>
                <w:rFonts w:hint="eastAsia" w:ascii="宋体" w:hAnsi="宋体" w:cs="宋体"/>
              </w:rPr>
            </w:pPr>
            <w:r>
              <w:rPr>
                <w:rFonts w:hint="eastAsia" w:ascii="宋体" w:hAnsi="宋体" w:cs="宋体"/>
              </w:rPr>
              <w:t>公示媒介：《陕西省政府采购网》</w:t>
            </w:r>
          </w:p>
          <w:p w14:paraId="637E9170">
            <w:pPr>
              <w:spacing w:line="360" w:lineRule="auto"/>
              <w:rPr>
                <w:rFonts w:hint="eastAsia" w:ascii="宋体" w:hAnsi="宋体" w:cs="宋体"/>
              </w:rPr>
            </w:pPr>
            <w:r>
              <w:rPr>
                <w:rFonts w:hint="eastAsia" w:ascii="宋体" w:hAnsi="宋体" w:cs="宋体"/>
              </w:rPr>
              <w:t>公示期限：1个工作日</w:t>
            </w:r>
          </w:p>
        </w:tc>
      </w:tr>
      <w:tr w14:paraId="072DDB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14:paraId="1B7A2767">
            <w:pPr>
              <w:spacing w:line="360" w:lineRule="auto"/>
              <w:jc w:val="center"/>
              <w:rPr>
                <w:rFonts w:hint="eastAsia" w:ascii="宋体" w:hAnsi="宋体" w:cs="宋体"/>
              </w:rPr>
            </w:pPr>
            <w:r>
              <w:rPr>
                <w:rFonts w:hint="eastAsia" w:ascii="宋体" w:hAnsi="宋体" w:cs="宋体"/>
              </w:rPr>
              <w:t>7.4.1</w:t>
            </w:r>
          </w:p>
        </w:tc>
        <w:tc>
          <w:tcPr>
            <w:tcW w:w="2551" w:type="dxa"/>
            <w:vAlign w:val="center"/>
          </w:tcPr>
          <w:p w14:paraId="38466C51">
            <w:pPr>
              <w:jc w:val="center"/>
              <w:rPr>
                <w:rFonts w:hint="eastAsia" w:ascii="宋体" w:hAnsi="宋体" w:cs="宋体"/>
              </w:rPr>
            </w:pPr>
            <w:r>
              <w:rPr>
                <w:rFonts w:hint="eastAsia" w:ascii="宋体" w:hAnsi="宋体" w:cs="宋体"/>
              </w:rPr>
              <w:t>是否授权谈判小组确定成交供应商</w:t>
            </w:r>
          </w:p>
        </w:tc>
        <w:tc>
          <w:tcPr>
            <w:tcW w:w="5670" w:type="dxa"/>
            <w:vAlign w:val="center"/>
          </w:tcPr>
          <w:p w14:paraId="00B6275C">
            <w:pPr>
              <w:rPr>
                <w:rFonts w:hint="eastAsia" w:ascii="宋体" w:hAnsi="宋体" w:cs="宋体"/>
              </w:rPr>
            </w:pPr>
            <w:r>
              <w:rPr>
                <w:rFonts w:hint="eastAsia" w:ascii="宋体" w:hAnsi="宋体" w:cs="宋体"/>
                <w:spacing w:val="1"/>
              </w:rPr>
              <w:sym w:font="Wingdings" w:char="00A8"/>
            </w:r>
            <w:r>
              <w:rPr>
                <w:rFonts w:hint="eastAsia" w:ascii="宋体" w:hAnsi="宋体" w:cs="宋体"/>
              </w:rPr>
              <w:t>是；</w:t>
            </w:r>
          </w:p>
          <w:p w14:paraId="6710B648">
            <w:pPr>
              <w:rPr>
                <w:rFonts w:hint="eastAsia" w:ascii="宋体" w:hAnsi="宋体" w:cs="宋体"/>
              </w:rPr>
            </w:pPr>
            <w:r>
              <w:rPr>
                <w:rFonts w:hint="eastAsia" w:ascii="宋体" w:hAnsi="宋体" w:cs="宋体"/>
                <w:spacing w:val="1"/>
              </w:rPr>
              <w:sym w:font="Wingdings" w:char="00FE"/>
            </w:r>
            <w:r>
              <w:rPr>
                <w:rFonts w:hint="eastAsia" w:ascii="宋体" w:hAnsi="宋体" w:cs="宋体"/>
              </w:rPr>
              <w:t>否：由采购人根据谈判小组推荐的成交候选供应商按顺序确定成交供应商。</w:t>
            </w:r>
          </w:p>
        </w:tc>
      </w:tr>
      <w:tr w14:paraId="4F7013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072" w:type="dxa"/>
            <w:vAlign w:val="center"/>
          </w:tcPr>
          <w:p w14:paraId="0546A4EF">
            <w:pPr>
              <w:spacing w:line="360" w:lineRule="auto"/>
              <w:jc w:val="center"/>
              <w:rPr>
                <w:rFonts w:hint="eastAsia" w:ascii="宋体" w:hAnsi="宋体" w:cs="宋体"/>
              </w:rPr>
            </w:pPr>
            <w:r>
              <w:rPr>
                <w:rFonts w:hint="eastAsia" w:ascii="宋体" w:hAnsi="宋体" w:cs="宋体"/>
              </w:rPr>
              <w:t>7.6.1</w:t>
            </w:r>
          </w:p>
        </w:tc>
        <w:tc>
          <w:tcPr>
            <w:tcW w:w="2551" w:type="dxa"/>
            <w:vAlign w:val="center"/>
          </w:tcPr>
          <w:p w14:paraId="0232263E">
            <w:pPr>
              <w:spacing w:line="360" w:lineRule="auto"/>
              <w:jc w:val="center"/>
              <w:rPr>
                <w:rFonts w:hint="eastAsia" w:ascii="宋体" w:hAnsi="宋体" w:cs="宋体"/>
              </w:rPr>
            </w:pPr>
            <w:r>
              <w:rPr>
                <w:rFonts w:hint="eastAsia" w:ascii="宋体" w:hAnsi="宋体" w:cs="宋体"/>
              </w:rPr>
              <w:t>履约保证金</w:t>
            </w:r>
          </w:p>
        </w:tc>
        <w:tc>
          <w:tcPr>
            <w:tcW w:w="5670" w:type="dxa"/>
            <w:vAlign w:val="center"/>
          </w:tcPr>
          <w:p w14:paraId="58F1BB97">
            <w:pPr>
              <w:spacing w:line="360" w:lineRule="auto"/>
              <w:rPr>
                <w:rFonts w:hint="eastAsia" w:ascii="宋体" w:hAnsi="宋体" w:cs="宋体"/>
              </w:rPr>
            </w:pPr>
            <w:r>
              <w:rPr>
                <w:rFonts w:hint="eastAsia" w:ascii="宋体" w:hAnsi="宋体" w:cs="宋体"/>
              </w:rPr>
              <w:t>是否要求成交供应商提交履约保证金：</w:t>
            </w:r>
          </w:p>
          <w:p w14:paraId="4CB669FF">
            <w:pPr>
              <w:spacing w:line="360" w:lineRule="auto"/>
              <w:rPr>
                <w:rFonts w:hint="eastAsia" w:ascii="宋体" w:hAnsi="宋体" w:cs="宋体"/>
              </w:rPr>
            </w:pPr>
            <w:r>
              <w:rPr>
                <w:rFonts w:hint="eastAsia" w:ascii="宋体" w:hAnsi="宋体" w:cs="宋体"/>
                <w:spacing w:val="1"/>
              </w:rPr>
              <w:sym w:font="Wingdings" w:char="00A8"/>
            </w:r>
            <w:r>
              <w:rPr>
                <w:rFonts w:hint="eastAsia" w:ascii="宋体" w:hAnsi="宋体" w:cs="宋体"/>
              </w:rPr>
              <w:t>要求</w:t>
            </w:r>
          </w:p>
          <w:p w14:paraId="0D0D39D3">
            <w:pPr>
              <w:spacing w:line="360" w:lineRule="auto"/>
              <w:rPr>
                <w:rFonts w:hint="eastAsia" w:ascii="宋体" w:hAnsi="宋体" w:cs="宋体"/>
              </w:rPr>
            </w:pPr>
            <w:r>
              <w:rPr>
                <w:rFonts w:hint="eastAsia" w:ascii="宋体" w:hAnsi="宋体" w:cs="宋体"/>
                <w:spacing w:val="1"/>
              </w:rPr>
              <w:sym w:font="Wingdings" w:char="00FE"/>
            </w:r>
            <w:r>
              <w:rPr>
                <w:rFonts w:hint="eastAsia" w:ascii="宋体" w:hAnsi="宋体" w:cs="宋体"/>
              </w:rPr>
              <w:t>不要求</w:t>
            </w:r>
          </w:p>
        </w:tc>
      </w:tr>
      <w:tr w14:paraId="10A8CA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1072" w:type="dxa"/>
            <w:vAlign w:val="center"/>
          </w:tcPr>
          <w:p w14:paraId="19A89953">
            <w:pPr>
              <w:spacing w:line="360" w:lineRule="auto"/>
              <w:jc w:val="center"/>
              <w:rPr>
                <w:rFonts w:hint="eastAsia" w:ascii="宋体" w:hAnsi="宋体" w:cs="宋体"/>
              </w:rPr>
            </w:pPr>
            <w:r>
              <w:rPr>
                <w:rFonts w:hint="eastAsia" w:ascii="宋体" w:hAnsi="宋体" w:cs="宋体"/>
              </w:rPr>
              <w:t>9</w:t>
            </w:r>
          </w:p>
        </w:tc>
        <w:tc>
          <w:tcPr>
            <w:tcW w:w="2551" w:type="dxa"/>
            <w:vAlign w:val="center"/>
          </w:tcPr>
          <w:p w14:paraId="740EC2BE">
            <w:pPr>
              <w:jc w:val="center"/>
              <w:rPr>
                <w:rFonts w:hint="eastAsia" w:ascii="宋体" w:hAnsi="宋体" w:cs="宋体"/>
              </w:rPr>
            </w:pPr>
            <w:r>
              <w:rPr>
                <w:rFonts w:hint="eastAsia" w:ascii="宋体" w:hAnsi="宋体" w:cs="宋体"/>
              </w:rPr>
              <w:t>是否采用电子招标投标</w:t>
            </w:r>
          </w:p>
        </w:tc>
        <w:tc>
          <w:tcPr>
            <w:tcW w:w="5670" w:type="dxa"/>
            <w:vAlign w:val="center"/>
          </w:tcPr>
          <w:p w14:paraId="7551D8B3">
            <w:pPr>
              <w:rPr>
                <w:rFonts w:hint="eastAsia" w:ascii="宋体" w:hAnsi="宋体" w:cs="宋体"/>
              </w:rPr>
            </w:pPr>
            <w:r>
              <w:rPr>
                <w:rFonts w:hint="eastAsia" w:ascii="宋体" w:hAnsi="宋体" w:cs="宋体"/>
                <w:spacing w:val="1"/>
              </w:rPr>
              <w:sym w:font="Wingdings" w:char="00FE"/>
            </w:r>
            <w:r>
              <w:rPr>
                <w:rFonts w:hint="eastAsia" w:ascii="宋体" w:hAnsi="宋体" w:cs="宋体"/>
              </w:rPr>
              <w:t>否</w:t>
            </w:r>
          </w:p>
          <w:p w14:paraId="5FF33799">
            <w:pPr>
              <w:rPr>
                <w:rFonts w:hint="eastAsia" w:ascii="宋体" w:hAnsi="宋体" w:cs="宋体"/>
              </w:rPr>
            </w:pPr>
            <w:r>
              <w:rPr>
                <w:rFonts w:hint="eastAsia" w:ascii="宋体" w:hAnsi="宋体" w:cs="宋体"/>
                <w:spacing w:val="1"/>
              </w:rPr>
              <w:sym w:font="Wingdings" w:char="00A8"/>
            </w:r>
            <w:r>
              <w:rPr>
                <w:rFonts w:hint="eastAsia" w:ascii="宋体" w:hAnsi="宋体" w:cs="宋体"/>
              </w:rPr>
              <w:t>是，具体要求：</w:t>
            </w:r>
          </w:p>
        </w:tc>
      </w:tr>
      <w:tr w14:paraId="20C95C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72" w:type="dxa"/>
            <w:vAlign w:val="center"/>
          </w:tcPr>
          <w:p w14:paraId="365CADB7">
            <w:pPr>
              <w:spacing w:line="360" w:lineRule="auto"/>
              <w:jc w:val="center"/>
              <w:rPr>
                <w:rFonts w:hint="eastAsia" w:ascii="宋体" w:hAnsi="宋体" w:cs="宋体"/>
              </w:rPr>
            </w:pPr>
            <w:r>
              <w:rPr>
                <w:rFonts w:hint="eastAsia" w:ascii="宋体" w:hAnsi="宋体" w:cs="宋体"/>
              </w:rPr>
              <w:t>10</w:t>
            </w:r>
          </w:p>
        </w:tc>
        <w:tc>
          <w:tcPr>
            <w:tcW w:w="8221" w:type="dxa"/>
            <w:gridSpan w:val="2"/>
            <w:vAlign w:val="center"/>
          </w:tcPr>
          <w:p w14:paraId="1C812085">
            <w:pPr>
              <w:pStyle w:val="78"/>
              <w:spacing w:line="460" w:lineRule="exact"/>
              <w:rPr>
                <w:rFonts w:hint="eastAsia" w:ascii="宋体" w:hAnsi="宋体" w:cs="宋体"/>
                <w:b/>
                <w:bCs/>
              </w:rPr>
            </w:pPr>
            <w:r>
              <w:rPr>
                <w:rFonts w:hint="eastAsia" w:ascii="宋体" w:hAnsi="宋体" w:cs="宋体"/>
              </w:rPr>
              <w:t>需要补充的其他内容</w:t>
            </w:r>
          </w:p>
        </w:tc>
      </w:tr>
      <w:tr w14:paraId="2CC7B9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72" w:type="dxa"/>
            <w:vAlign w:val="center"/>
          </w:tcPr>
          <w:p w14:paraId="67EA4C81">
            <w:pPr>
              <w:spacing w:line="360" w:lineRule="auto"/>
              <w:jc w:val="center"/>
              <w:rPr>
                <w:rFonts w:hint="eastAsia" w:ascii="宋体" w:hAnsi="宋体" w:cs="宋体"/>
              </w:rPr>
            </w:pPr>
            <w:r>
              <w:rPr>
                <w:rFonts w:hint="eastAsia" w:ascii="宋体" w:hAnsi="宋体" w:cs="宋体"/>
              </w:rPr>
              <w:t>10.1</w:t>
            </w:r>
          </w:p>
        </w:tc>
        <w:tc>
          <w:tcPr>
            <w:tcW w:w="2551" w:type="dxa"/>
            <w:vAlign w:val="center"/>
          </w:tcPr>
          <w:p w14:paraId="2285EB73">
            <w:pPr>
              <w:pStyle w:val="78"/>
              <w:spacing w:line="460" w:lineRule="exact"/>
              <w:jc w:val="center"/>
              <w:rPr>
                <w:rFonts w:hint="eastAsia" w:ascii="宋体" w:hAnsi="宋体" w:cs="宋体"/>
              </w:rPr>
            </w:pPr>
            <w:r>
              <w:rPr>
                <w:rFonts w:hint="eastAsia" w:ascii="宋体" w:hAnsi="宋体" w:cs="宋体"/>
              </w:rPr>
              <w:t>项目属性及所属行业</w:t>
            </w:r>
          </w:p>
        </w:tc>
        <w:tc>
          <w:tcPr>
            <w:tcW w:w="5670" w:type="dxa"/>
            <w:vAlign w:val="center"/>
          </w:tcPr>
          <w:p w14:paraId="06A6548D">
            <w:pPr>
              <w:pStyle w:val="78"/>
              <w:spacing w:line="460" w:lineRule="exact"/>
              <w:jc w:val="left"/>
              <w:rPr>
                <w:rFonts w:hint="eastAsia" w:ascii="宋体" w:hAnsi="宋体" w:cs="宋体"/>
              </w:rPr>
            </w:pPr>
            <w:r>
              <w:rPr>
                <w:rFonts w:hint="eastAsia" w:ascii="宋体" w:hAnsi="宋体" w:cs="宋体"/>
              </w:rPr>
              <w:t>本项目属性：货物类</w:t>
            </w:r>
          </w:p>
          <w:p w14:paraId="36065A6C">
            <w:pPr>
              <w:pStyle w:val="78"/>
              <w:spacing w:line="460" w:lineRule="exact"/>
              <w:jc w:val="left"/>
              <w:rPr>
                <w:rFonts w:hint="eastAsia" w:ascii="宋体" w:hAnsi="宋体" w:cs="宋体"/>
              </w:rPr>
            </w:pPr>
            <w:r>
              <w:rPr>
                <w:rFonts w:hint="eastAsia" w:ascii="宋体" w:hAnsi="宋体" w:cs="宋体"/>
              </w:rPr>
              <w:t>本项目采购标的所属行业为：其它暂未列明的行业</w:t>
            </w:r>
          </w:p>
        </w:tc>
      </w:tr>
      <w:tr w14:paraId="625F65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72" w:type="dxa"/>
            <w:vAlign w:val="center"/>
          </w:tcPr>
          <w:p w14:paraId="052CDBE8">
            <w:pPr>
              <w:spacing w:line="360" w:lineRule="auto"/>
              <w:jc w:val="center"/>
              <w:rPr>
                <w:rFonts w:hint="eastAsia" w:ascii="宋体" w:hAnsi="宋体" w:cs="宋体"/>
              </w:rPr>
            </w:pPr>
            <w:r>
              <w:rPr>
                <w:rFonts w:hint="eastAsia" w:ascii="宋体" w:hAnsi="宋体" w:cs="宋体"/>
              </w:rPr>
              <w:t>10.2</w:t>
            </w:r>
          </w:p>
        </w:tc>
        <w:tc>
          <w:tcPr>
            <w:tcW w:w="2551" w:type="dxa"/>
            <w:vAlign w:val="center"/>
          </w:tcPr>
          <w:p w14:paraId="24FD03C3">
            <w:pPr>
              <w:pStyle w:val="78"/>
              <w:spacing w:line="460" w:lineRule="exact"/>
              <w:jc w:val="center"/>
              <w:rPr>
                <w:rFonts w:hint="eastAsia" w:ascii="宋体" w:hAnsi="宋体" w:cs="宋体"/>
              </w:rPr>
            </w:pPr>
            <w:r>
              <w:rPr>
                <w:rFonts w:hint="eastAsia" w:ascii="宋体" w:hAnsi="宋体" w:cs="宋体"/>
                <w:sz w:val="24"/>
              </w:rPr>
              <w:t>相同品牌产品说明</w:t>
            </w:r>
          </w:p>
        </w:tc>
        <w:tc>
          <w:tcPr>
            <w:tcW w:w="5670" w:type="dxa"/>
            <w:vAlign w:val="center"/>
          </w:tcPr>
          <w:p w14:paraId="19861753">
            <w:pPr>
              <w:pStyle w:val="78"/>
              <w:spacing w:line="460" w:lineRule="exact"/>
              <w:jc w:val="left"/>
              <w:rPr>
                <w:rFonts w:hint="eastAsia" w:ascii="宋体" w:hAnsi="宋体" w:cs="宋体"/>
              </w:rPr>
            </w:pPr>
            <w:r>
              <w:rPr>
                <w:rFonts w:hint="eastAsia" w:ascii="宋体" w:hAnsi="宋体" w:cs="宋体"/>
              </w:rPr>
              <w:t>若供应商所投核心产品为同一品牌通过资格审查、符合性审查且报价最低的参加评标，报价相同的，由采购人自主选择确定一个参加评标的投标人，其他投标无效。</w:t>
            </w:r>
          </w:p>
          <w:p w14:paraId="48398991">
            <w:pPr>
              <w:pStyle w:val="78"/>
              <w:spacing w:line="460" w:lineRule="exact"/>
              <w:jc w:val="left"/>
              <w:rPr>
                <w:rFonts w:hint="eastAsia" w:ascii="宋体" w:hAnsi="宋体" w:cs="宋体"/>
              </w:rPr>
            </w:pPr>
            <w:r>
              <w:rPr>
                <w:rFonts w:hint="eastAsia" w:ascii="宋体" w:hAnsi="宋体" w:cs="宋体"/>
                <w:b/>
                <w:bCs/>
              </w:rPr>
              <w:t>本项目核心产品为：UPS电源主机</w:t>
            </w:r>
          </w:p>
        </w:tc>
      </w:tr>
      <w:tr w14:paraId="3054A0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72" w:type="dxa"/>
            <w:vAlign w:val="center"/>
          </w:tcPr>
          <w:p w14:paraId="00BD3A53">
            <w:pPr>
              <w:spacing w:line="360" w:lineRule="auto"/>
              <w:jc w:val="center"/>
              <w:rPr>
                <w:rFonts w:hint="eastAsia" w:ascii="宋体" w:hAnsi="宋体" w:cs="宋体"/>
              </w:rPr>
            </w:pPr>
            <w:r>
              <w:rPr>
                <w:rFonts w:hint="eastAsia" w:ascii="宋体" w:hAnsi="宋体" w:cs="宋体"/>
              </w:rPr>
              <w:t>10.3</w:t>
            </w:r>
          </w:p>
        </w:tc>
        <w:tc>
          <w:tcPr>
            <w:tcW w:w="2551" w:type="dxa"/>
            <w:vAlign w:val="center"/>
          </w:tcPr>
          <w:p w14:paraId="76733A58">
            <w:pPr>
              <w:pStyle w:val="78"/>
              <w:spacing w:line="460" w:lineRule="exact"/>
              <w:jc w:val="center"/>
              <w:rPr>
                <w:rFonts w:hint="eastAsia" w:ascii="宋体" w:hAnsi="宋体" w:cs="宋体"/>
              </w:rPr>
            </w:pPr>
            <w:r>
              <w:rPr>
                <w:rFonts w:hint="eastAsia" w:ascii="宋体" w:hAnsi="宋体" w:cs="宋体"/>
              </w:rPr>
              <w:t>谈判报价货币</w:t>
            </w:r>
          </w:p>
        </w:tc>
        <w:tc>
          <w:tcPr>
            <w:tcW w:w="5670" w:type="dxa"/>
            <w:vAlign w:val="center"/>
          </w:tcPr>
          <w:p w14:paraId="3D924B04">
            <w:pPr>
              <w:pStyle w:val="78"/>
              <w:spacing w:line="460" w:lineRule="exact"/>
              <w:jc w:val="left"/>
              <w:rPr>
                <w:rFonts w:hint="eastAsia" w:ascii="宋体" w:hAnsi="宋体" w:cs="宋体"/>
              </w:rPr>
            </w:pPr>
            <w:r>
              <w:rPr>
                <w:rFonts w:hint="eastAsia" w:ascii="宋体" w:hAnsi="宋体" w:cs="宋体"/>
              </w:rPr>
              <w:t>人民币（本项目不接受除人民币外的其它货币）</w:t>
            </w:r>
          </w:p>
        </w:tc>
      </w:tr>
      <w:tr w14:paraId="4EC8C4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72" w:type="dxa"/>
            <w:vAlign w:val="center"/>
          </w:tcPr>
          <w:p w14:paraId="398B5879">
            <w:pPr>
              <w:spacing w:line="360" w:lineRule="auto"/>
              <w:jc w:val="center"/>
              <w:rPr>
                <w:rFonts w:hint="eastAsia" w:ascii="宋体" w:hAnsi="宋体" w:cs="宋体"/>
              </w:rPr>
            </w:pPr>
            <w:r>
              <w:rPr>
                <w:rFonts w:hint="eastAsia" w:ascii="宋体" w:hAnsi="宋体" w:cs="宋体"/>
              </w:rPr>
              <w:t>10.4</w:t>
            </w:r>
          </w:p>
        </w:tc>
        <w:tc>
          <w:tcPr>
            <w:tcW w:w="2551" w:type="dxa"/>
            <w:vAlign w:val="center"/>
          </w:tcPr>
          <w:p w14:paraId="31CDFB71">
            <w:pPr>
              <w:pStyle w:val="78"/>
              <w:spacing w:line="460" w:lineRule="exact"/>
              <w:jc w:val="center"/>
              <w:rPr>
                <w:rFonts w:hint="eastAsia" w:ascii="宋体" w:hAnsi="宋体" w:cs="宋体"/>
              </w:rPr>
            </w:pPr>
            <w:r>
              <w:rPr>
                <w:rFonts w:hint="eastAsia" w:ascii="宋体" w:hAnsi="宋体" w:cs="宋体"/>
              </w:rPr>
              <w:t>代理服务费收费标准</w:t>
            </w:r>
          </w:p>
        </w:tc>
        <w:tc>
          <w:tcPr>
            <w:tcW w:w="5670" w:type="dxa"/>
            <w:vAlign w:val="center"/>
          </w:tcPr>
          <w:p w14:paraId="4633DD97">
            <w:pPr>
              <w:pStyle w:val="78"/>
              <w:spacing w:line="460" w:lineRule="exact"/>
              <w:jc w:val="left"/>
              <w:rPr>
                <w:rFonts w:hint="eastAsia" w:ascii="宋体" w:hAnsi="宋体" w:cs="宋体"/>
              </w:rPr>
            </w:pPr>
            <w:r>
              <w:rPr>
                <w:rFonts w:hint="eastAsia" w:ascii="宋体" w:hAnsi="宋体" w:cs="宋体"/>
              </w:rPr>
              <w:t>代理服务费：参照国家计委关于印发《招标代理服务收费管理暂行办法的通知》（计价格[2002]1980号）、《国家发展改革委办公厅关于招标代理服务收费有关问题的通知》（发改价格[2003]857号）等规定下浮15%收费，不足5000元的按5000收取。由成交供应商在领取成交通知书前向采购代理机构一次性支付。</w:t>
            </w:r>
          </w:p>
        </w:tc>
      </w:tr>
      <w:tr w14:paraId="50C6F7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72" w:type="dxa"/>
            <w:vAlign w:val="center"/>
          </w:tcPr>
          <w:p w14:paraId="07365345">
            <w:pPr>
              <w:spacing w:line="360" w:lineRule="auto"/>
              <w:jc w:val="center"/>
              <w:rPr>
                <w:rFonts w:hint="eastAsia" w:ascii="宋体" w:hAnsi="宋体" w:cs="宋体"/>
              </w:rPr>
            </w:pPr>
            <w:r>
              <w:rPr>
                <w:rFonts w:hint="eastAsia" w:ascii="宋体" w:hAnsi="宋体" w:cs="宋体"/>
              </w:rPr>
              <w:t>10.4</w:t>
            </w:r>
          </w:p>
        </w:tc>
        <w:tc>
          <w:tcPr>
            <w:tcW w:w="2551" w:type="dxa"/>
            <w:vAlign w:val="center"/>
          </w:tcPr>
          <w:p w14:paraId="4A253BE2">
            <w:pPr>
              <w:pStyle w:val="78"/>
              <w:spacing w:line="460" w:lineRule="exact"/>
              <w:jc w:val="center"/>
              <w:rPr>
                <w:rFonts w:hint="eastAsia" w:ascii="宋体" w:hAnsi="宋体" w:cs="宋体"/>
              </w:rPr>
            </w:pPr>
            <w:r>
              <w:rPr>
                <w:rFonts w:hint="eastAsia" w:ascii="宋体" w:hAnsi="宋体" w:cs="宋体"/>
              </w:rPr>
              <w:t>代理服务费缴纳账户</w:t>
            </w:r>
          </w:p>
        </w:tc>
        <w:tc>
          <w:tcPr>
            <w:tcW w:w="5670" w:type="dxa"/>
            <w:vAlign w:val="center"/>
          </w:tcPr>
          <w:p w14:paraId="11772153">
            <w:pPr>
              <w:pStyle w:val="78"/>
              <w:spacing w:line="460" w:lineRule="exact"/>
              <w:jc w:val="left"/>
              <w:rPr>
                <w:rFonts w:hint="eastAsia" w:ascii="宋体" w:hAnsi="宋体" w:cs="宋体"/>
              </w:rPr>
            </w:pPr>
            <w:r>
              <w:rPr>
                <w:rFonts w:hint="eastAsia" w:ascii="宋体" w:hAnsi="宋体" w:cs="宋体"/>
              </w:rPr>
              <w:t>单位名称：</w:t>
            </w:r>
            <w:r>
              <w:rPr>
                <w:rFonts w:hint="eastAsia" w:hAnsi="宋体" w:cs="宋体"/>
                <w:szCs w:val="21"/>
              </w:rPr>
              <w:t>陕西中辉招标造价咨询有限公司</w:t>
            </w:r>
          </w:p>
          <w:p w14:paraId="224626ED">
            <w:pPr>
              <w:pStyle w:val="78"/>
              <w:spacing w:line="460" w:lineRule="exact"/>
              <w:jc w:val="left"/>
              <w:rPr>
                <w:rFonts w:hint="eastAsia" w:ascii="宋体" w:hAnsi="宋体" w:cs="宋体"/>
              </w:rPr>
            </w:pPr>
            <w:r>
              <w:rPr>
                <w:rFonts w:hint="eastAsia" w:ascii="宋体" w:hAnsi="宋体" w:cs="宋体"/>
              </w:rPr>
              <w:t>开户行名称：中国民生银行股份有限公司西安锦业路支行</w:t>
            </w:r>
          </w:p>
          <w:p w14:paraId="7850074B">
            <w:pPr>
              <w:pStyle w:val="78"/>
              <w:spacing w:line="460" w:lineRule="exact"/>
              <w:jc w:val="left"/>
              <w:rPr>
                <w:rFonts w:hint="eastAsia" w:ascii="宋体" w:hAnsi="宋体" w:cs="宋体"/>
              </w:rPr>
            </w:pPr>
            <w:r>
              <w:rPr>
                <w:rFonts w:hint="eastAsia" w:ascii="宋体" w:hAnsi="宋体" w:cs="宋体"/>
              </w:rPr>
              <w:t>账号：171351399</w:t>
            </w:r>
          </w:p>
          <w:p w14:paraId="3134C71A">
            <w:pPr>
              <w:pStyle w:val="78"/>
              <w:spacing w:line="460" w:lineRule="exact"/>
              <w:jc w:val="left"/>
              <w:rPr>
                <w:rFonts w:hint="eastAsia" w:ascii="宋体" w:hAnsi="宋体" w:cs="宋体"/>
              </w:rPr>
            </w:pPr>
            <w:r>
              <w:rPr>
                <w:rFonts w:hint="eastAsia" w:ascii="宋体" w:hAnsi="宋体" w:cs="宋体"/>
              </w:rPr>
              <w:t>请成交供应商按照要求将服务费汇入以上指定账户，如因自身原因发生错误，产生的不利后果均由供应商自行承担。</w:t>
            </w:r>
          </w:p>
        </w:tc>
      </w:tr>
      <w:tr w14:paraId="0F0AFE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72" w:type="dxa"/>
            <w:vAlign w:val="center"/>
          </w:tcPr>
          <w:p w14:paraId="7C1F4401">
            <w:pPr>
              <w:spacing w:line="360" w:lineRule="auto"/>
              <w:jc w:val="center"/>
              <w:rPr>
                <w:rFonts w:hint="eastAsia" w:ascii="宋体" w:hAnsi="宋体" w:cs="宋体"/>
              </w:rPr>
            </w:pPr>
            <w:r>
              <w:rPr>
                <w:rFonts w:hint="eastAsia"/>
              </w:rPr>
              <w:t>10.5</w:t>
            </w:r>
          </w:p>
        </w:tc>
        <w:tc>
          <w:tcPr>
            <w:tcW w:w="2551" w:type="dxa"/>
            <w:vAlign w:val="center"/>
          </w:tcPr>
          <w:p w14:paraId="5680C416">
            <w:pPr>
              <w:pStyle w:val="78"/>
              <w:spacing w:line="460" w:lineRule="exact"/>
              <w:jc w:val="center"/>
              <w:rPr>
                <w:rFonts w:hint="eastAsia" w:ascii="宋体" w:hAnsi="宋体" w:cs="宋体"/>
              </w:rPr>
            </w:pPr>
            <w:r>
              <w:rPr>
                <w:rFonts w:hint="eastAsia" w:ascii="宋体" w:hAnsi="宋体" w:cs="宋体"/>
              </w:rPr>
              <w:t>其他</w:t>
            </w:r>
          </w:p>
        </w:tc>
        <w:tc>
          <w:tcPr>
            <w:tcW w:w="5670" w:type="dxa"/>
            <w:vAlign w:val="center"/>
          </w:tcPr>
          <w:p w14:paraId="24EF6539">
            <w:pPr>
              <w:pStyle w:val="78"/>
              <w:spacing w:line="460" w:lineRule="exact"/>
              <w:jc w:val="left"/>
              <w:rPr>
                <w:rFonts w:hint="eastAsia" w:ascii="宋体" w:hAnsi="宋体" w:cs="宋体"/>
              </w:rPr>
            </w:pPr>
            <w:r>
              <w:rPr>
                <w:rFonts w:hint="eastAsia" w:ascii="宋体" w:hAnsi="宋体" w:cs="宋体"/>
              </w:rPr>
              <w:t>供应商须按照陕西省财政厅关于政府采购供应商注册登记有关事项的通知中的要求，通过陕西省政府采购网（http://www.ccgp-shaanxi.gov.cn/）注册登记，成为陕西省政府采购注册供应商。</w:t>
            </w:r>
          </w:p>
        </w:tc>
      </w:tr>
      <w:bookmarkEnd w:id="17"/>
      <w:bookmarkEnd w:id="18"/>
      <w:bookmarkEnd w:id="19"/>
      <w:bookmarkEnd w:id="20"/>
      <w:bookmarkEnd w:id="21"/>
    </w:tbl>
    <w:p w14:paraId="33CE357E">
      <w:pPr>
        <w:rPr>
          <w:rFonts w:hint="eastAsia" w:ascii="宋体" w:hAnsi="宋体" w:cs="宋体"/>
          <w:b/>
          <w:color w:val="000000"/>
          <w:sz w:val="24"/>
          <w:szCs w:val="24"/>
        </w:rPr>
      </w:pPr>
      <w:r>
        <w:rPr>
          <w:rFonts w:hint="eastAsia" w:ascii="宋体" w:hAnsi="宋体" w:cs="宋体"/>
          <w:b/>
          <w:color w:val="000000"/>
          <w:sz w:val="24"/>
          <w:szCs w:val="24"/>
        </w:rPr>
        <w:br w:type="page"/>
      </w:r>
    </w:p>
    <w:p w14:paraId="08E70396">
      <w:pPr>
        <w:spacing w:line="360" w:lineRule="auto"/>
        <w:jc w:val="left"/>
        <w:rPr>
          <w:rFonts w:hint="eastAsia" w:ascii="宋体" w:hAnsi="宋体" w:cs="宋体"/>
          <w:b/>
          <w:color w:val="000000"/>
          <w:sz w:val="24"/>
          <w:szCs w:val="24"/>
        </w:rPr>
      </w:pPr>
      <w:r>
        <w:rPr>
          <w:rFonts w:hint="eastAsia" w:ascii="宋体" w:hAnsi="宋体" w:cs="宋体"/>
          <w:b/>
          <w:color w:val="000000"/>
          <w:sz w:val="24"/>
          <w:szCs w:val="24"/>
        </w:rPr>
        <w:t>1. 总则</w:t>
      </w:r>
    </w:p>
    <w:p w14:paraId="218138AF">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1.1 项目概况</w:t>
      </w:r>
    </w:p>
    <w:p w14:paraId="756844F9">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1.1.1根据《中华人民共和国政府采购法》、《中华人民共和国政府采购法实施条例》等有关法律、法规和规章的规定，本项目已具备采购条件，现对本项目进行采购。</w:t>
      </w:r>
    </w:p>
    <w:p w14:paraId="3C2AF586">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1.1.2 采购人：见供应商须知前附表。</w:t>
      </w:r>
    </w:p>
    <w:p w14:paraId="5719F344">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1.1.3 采购代理机构：见供应商须知前附表。</w:t>
      </w:r>
    </w:p>
    <w:p w14:paraId="19964C86">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1.1.4 采购项目名称：见供应商须知前附表。</w:t>
      </w:r>
    </w:p>
    <w:p w14:paraId="36027BD5">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1.1.5 交货地点：见供应商须知前附表。</w:t>
      </w:r>
    </w:p>
    <w:p w14:paraId="18557B57">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1.2 采购项目的资金来源和落实情况</w:t>
      </w:r>
    </w:p>
    <w:p w14:paraId="22696DBB">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1.2.1 资金来源及比例：见供应商须知前附表。</w:t>
      </w:r>
    </w:p>
    <w:p w14:paraId="41A37075">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1.2.2 资金落实情况：见供应商须知前附表。</w:t>
      </w:r>
    </w:p>
    <w:p w14:paraId="361E03F5">
      <w:pPr>
        <w:spacing w:line="360" w:lineRule="auto"/>
        <w:jc w:val="left"/>
        <w:rPr>
          <w:rFonts w:hint="eastAsia" w:ascii="宋体" w:hAnsi="宋体" w:cs="宋体"/>
          <w:sz w:val="24"/>
          <w:szCs w:val="24"/>
        </w:rPr>
      </w:pPr>
      <w:r>
        <w:rPr>
          <w:rFonts w:hint="eastAsia" w:ascii="宋体" w:hAnsi="宋体" w:cs="宋体"/>
          <w:sz w:val="24"/>
          <w:szCs w:val="24"/>
        </w:rPr>
        <w:t>1.3采购范围、计划工期、建设地点和质量标准</w:t>
      </w:r>
    </w:p>
    <w:p w14:paraId="388AA479">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1.3.1 采购范围：见供应商须知前附表。</w:t>
      </w:r>
    </w:p>
    <w:p w14:paraId="39D480F6">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1.3.2 交货期限：见供应商须知前附表。</w:t>
      </w:r>
    </w:p>
    <w:p w14:paraId="28643064">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1.3.3 交货地点：见供应商须知前附表。</w:t>
      </w:r>
    </w:p>
    <w:p w14:paraId="26A129B2">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1.3.4 质量标准：见供应商须知前附表。</w:t>
      </w:r>
    </w:p>
    <w:p w14:paraId="0FC96271">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1.4供应商资格要求</w:t>
      </w:r>
    </w:p>
    <w:p w14:paraId="3BD2352F">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1.4.1 供应商应具备承担本采购项目资格要求：见供应商须知前附表。</w:t>
      </w:r>
    </w:p>
    <w:p w14:paraId="0A4F2564">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1.4.2供应商须知前附表规定接受联合体投标的，联合体除应符合本章对供应商应具备承担本采购项目资格要求和供应商须知前附表的要求外，还应遵守以下规定：</w:t>
      </w:r>
    </w:p>
    <w:p w14:paraId="195A3496">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（1）联合体各方应按竞争性谈判文件提供的格式签订联合体协议书，明确联合体牵头人和各方权利义务，并承诺就成交项目向采购人承担连带责任；</w:t>
      </w:r>
    </w:p>
    <w:p w14:paraId="34A02E5E">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（2）由同一专业的单位组成的联合体，按照资质等级较低的单位确定资质等级；</w:t>
      </w:r>
    </w:p>
    <w:p w14:paraId="001F97C1">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（3）联合体各方不得再以自己名义单独或参加其他联合体在本采购项目中投标，否则各相关投标均无效。</w:t>
      </w:r>
    </w:p>
    <w:p w14:paraId="570D8527">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1.4.3 供应商不得存在下列情形之一：</w:t>
      </w:r>
    </w:p>
    <w:p w14:paraId="3CBA124B">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（1）为采购人不具有独立法人资格的附属机构（单位）；</w:t>
      </w:r>
    </w:p>
    <w:p w14:paraId="495CA967">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（2）与采购人（项目单位）存在利害关系且可能影响采购公正性；</w:t>
      </w:r>
    </w:p>
    <w:p w14:paraId="02DBAC50">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（3）与本采购项目的其他供应商为同一个单位负责人；</w:t>
      </w:r>
    </w:p>
    <w:p w14:paraId="406E2F03">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（4）与本采购项目的其他供应商存在控股、管理关系；</w:t>
      </w:r>
    </w:p>
    <w:p w14:paraId="5E0E578A">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（5）为本采购项目的代建人；</w:t>
      </w:r>
    </w:p>
    <w:p w14:paraId="6741249E">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（6）为本采购项目的采购代理机构；</w:t>
      </w:r>
    </w:p>
    <w:p w14:paraId="4926B949">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（7）与本采购项目的代建人或采购代理机构同为一个法定代表人；</w:t>
      </w:r>
    </w:p>
    <w:p w14:paraId="6D9EF0F8">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（8）与本采购项目的代建人或采购代理机构存在控股或参股关系；</w:t>
      </w:r>
    </w:p>
    <w:p w14:paraId="058F56EE">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（9）被依法暂停或者取消投标资格；</w:t>
      </w:r>
    </w:p>
    <w:p w14:paraId="67068D40">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（10）被责令停产停业、暂扣或者吊销许可证、暂扣或者吊销执照；</w:t>
      </w:r>
    </w:p>
    <w:p w14:paraId="0165B136">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（11）进入清算程序，或被宣告破产，或其他丧失履约能力的情形；</w:t>
      </w:r>
    </w:p>
    <w:p w14:paraId="354C19BE">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（12）在最近三年内发生重大质量问题（以相关行业主管部门的行政处罚决定或司法机关出具的有关法律文书为准）；</w:t>
      </w:r>
    </w:p>
    <w:p w14:paraId="43845F8C">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（13）被工商行政管理机关在国家企业信用信息公示系统中列入严重违法失信企业名单；</w:t>
      </w:r>
    </w:p>
    <w:p w14:paraId="485254D0">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（14）被最高人民法院在“信用中国”网站（www.creditchina.gov.cn）或各级信用信息共享平台中列入失信被执行人名单；</w:t>
      </w:r>
    </w:p>
    <w:p w14:paraId="198C94B8">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（15）法律法规或供应商须知前附表规定的其他情形。</w:t>
      </w:r>
    </w:p>
    <w:p w14:paraId="41321290">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16）单位负责人为同一人或者存在直接控股、管理关系的不同供应商，不得参加同一合同项下的政府采购活动。除单一来源采购项目外，为采购项目提供整体设计、规范编制或者项目管理、监理、检测等服务的供应商，不得再参加同一项目同一包号的其他采购活动。</w:t>
      </w:r>
    </w:p>
    <w:p w14:paraId="38FEEF3C">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1.5 费用承担</w:t>
      </w:r>
    </w:p>
    <w:p w14:paraId="272CB13B">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供应商准备和参加谈判活动发生的费用自理。</w:t>
      </w:r>
    </w:p>
    <w:p w14:paraId="7897F581">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1.6保密</w:t>
      </w:r>
    </w:p>
    <w:p w14:paraId="78B2443B">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参与谈判活动的各方应对竞争性谈判文件和谈判响应文件中的商业和技术等秘密保密，否则应承担相应的法律责任。</w:t>
      </w:r>
    </w:p>
    <w:p w14:paraId="69F07AB3">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1.7 语言文字</w:t>
      </w:r>
    </w:p>
    <w:p w14:paraId="49A01B30">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谈判响应文件使用的语言文字为中文。专用术语使用外文的，应附有中文注释。</w:t>
      </w:r>
    </w:p>
    <w:p w14:paraId="1E3FEB70">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1.8计量单位</w:t>
      </w:r>
    </w:p>
    <w:p w14:paraId="1537E9DA">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所有计量均采用中华人民共和国法定计量单位。</w:t>
      </w:r>
    </w:p>
    <w:p w14:paraId="1D131296">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1.9谈判预备会</w:t>
      </w:r>
    </w:p>
    <w:p w14:paraId="7FBCB56B">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1.9.1 供应商须知前附表规定召开谈判预备会的，采购人按供应商须知前附表规定的时间和地点召开谈判预备会，澄清供应商提出的问题。</w:t>
      </w:r>
    </w:p>
    <w:p w14:paraId="0588BB2B">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1.9.2 供应商应按供应商须知前附表规定的时间和形式将提出的问题送达采购人，以便采购人在会议期间澄清。</w:t>
      </w:r>
    </w:p>
    <w:p w14:paraId="6981064F">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1.9.3 谈判预备会后，采购人将对供应商所提问题的澄清，以供应商须知前附表规定的形式通知所有获取竞争性谈判文件的供应商。该澄清内容为竞争性谈判文件的组成部分。</w:t>
      </w:r>
    </w:p>
    <w:p w14:paraId="15DBEC8D">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1.10 分包</w:t>
      </w:r>
    </w:p>
    <w:p w14:paraId="310EAD9F">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本项目不允许分包。</w:t>
      </w:r>
    </w:p>
    <w:p w14:paraId="1B2782C8">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1.11响应和偏差</w:t>
      </w:r>
    </w:p>
    <w:p w14:paraId="55D0FA36">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1.11.1谈判响应文件应当对竞争性谈判文件的实质性要求和条件作出满足性或更有利于采购人的响应，否则，供应商将被否决。</w:t>
      </w:r>
    </w:p>
    <w:p w14:paraId="4D1BD55D">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1.11.2 供应商应根据竞争性谈判文件的要求提供相关服务方案等内容，以对竞争性谈判文件作出响应。</w:t>
      </w:r>
    </w:p>
    <w:p w14:paraId="3FD53244">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1.11.3 供应商须知前附表规定了可以偏差的范围和最高偏差项数的，偏差应当符合供应商须知前附表规定的偏差范围和最高项数，超出偏差范围和最高偏差项数的谈判响应文件将被否决。</w:t>
      </w:r>
    </w:p>
    <w:p w14:paraId="70F6409A">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1.11.4 谈判响应文件对竞争性谈判文件的全部偏差，均应在谈判响应文件的商务和技术偏差表中列明，除列明的内容外，视为供应商响应竞争性谈判文件的全部要求。</w:t>
      </w:r>
    </w:p>
    <w:p w14:paraId="32195559">
      <w:pPr>
        <w:spacing w:line="360" w:lineRule="auto"/>
        <w:jc w:val="left"/>
        <w:rPr>
          <w:rFonts w:hint="eastAsia" w:ascii="宋体" w:hAnsi="宋体" w:cs="宋体"/>
          <w:b/>
          <w:color w:val="000000"/>
          <w:sz w:val="24"/>
          <w:szCs w:val="24"/>
        </w:rPr>
      </w:pPr>
      <w:r>
        <w:rPr>
          <w:rFonts w:hint="eastAsia" w:ascii="宋体" w:hAnsi="宋体" w:cs="宋体"/>
          <w:b/>
          <w:color w:val="000000"/>
          <w:sz w:val="24"/>
          <w:szCs w:val="24"/>
        </w:rPr>
        <w:t>2. 竞争性谈判文件</w:t>
      </w:r>
    </w:p>
    <w:p w14:paraId="10EC057C">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2.1 竞争性谈判文件的组成</w:t>
      </w:r>
    </w:p>
    <w:p w14:paraId="499B2AD5">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本竞争性谈判文件包括：</w:t>
      </w:r>
    </w:p>
    <w:p w14:paraId="60C6FD7A">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（1）竞争性谈判公告；</w:t>
      </w:r>
    </w:p>
    <w:p w14:paraId="4CF711D4">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（2）供应商须知；</w:t>
      </w:r>
    </w:p>
    <w:p w14:paraId="3D73CA0F">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（3）评审办法；</w:t>
      </w:r>
    </w:p>
    <w:p w14:paraId="1E1B6556">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（4）采购内容及要求；</w:t>
      </w:r>
    </w:p>
    <w:p w14:paraId="1C0B5D73">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（5）合同条款及格式；</w:t>
      </w:r>
    </w:p>
    <w:p w14:paraId="7B0CCA02">
      <w:pPr>
        <w:spacing w:line="360" w:lineRule="auto"/>
        <w:ind w:firstLine="480" w:firstLineChars="200"/>
        <w:jc w:val="left"/>
        <w:rPr>
          <w:rFonts w:hint="eastAsia" w:ascii="宋体" w:hAnsi="宋体" w:cs="宋体"/>
          <w:color w:val="000000"/>
          <w:sz w:val="24"/>
          <w:szCs w:val="24"/>
        </w:rPr>
      </w:pPr>
      <w:r>
        <w:rPr>
          <w:rFonts w:hint="eastAsia" w:ascii="宋体" w:hAnsi="宋体" w:cs="宋体"/>
          <w:sz w:val="24"/>
          <w:szCs w:val="24"/>
        </w:rPr>
        <w:t>（6）竞争性谈判响应文件格式。</w:t>
      </w:r>
    </w:p>
    <w:p w14:paraId="34AEA8A3">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根据本章规定对竞争性谈判文件所作的澄清、修改，构成竞争性谈判文件的组成部分。</w:t>
      </w:r>
    </w:p>
    <w:p w14:paraId="2B883D13">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2.2 竞争性谈判文件的澄清</w:t>
      </w:r>
    </w:p>
    <w:p w14:paraId="249BBCCC">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2.2.1 供应商应仔细阅读和检查竞争性谈判文件的全部内容。如发现缺页或附件不全，应及时向采购人提出，以便补齐。如有疑问，应按供应商须知前附表规定的时间和形式将提出的问题送达采购人，要求采购人对竞争性谈判文件予以澄清。</w:t>
      </w:r>
    </w:p>
    <w:p w14:paraId="05A6AF1C">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2.2.2竞争性谈判文件的澄清以供应商须知前附表规定的形式发给所有获取竞争性谈判文件的供应商，但不指明澄清问题的来源。澄清发出的时间距响应文件递交截止时间不足3日的，并且澄清内容可能影响谈判响应文件编制的，将相应延长</w:t>
      </w:r>
      <w:r>
        <w:rPr>
          <w:rFonts w:ascii="宋体" w:hAnsi="宋体" w:cs="宋体"/>
          <w:color w:val="000000"/>
          <w:sz w:val="24"/>
          <w:szCs w:val="24"/>
        </w:rPr>
        <w:t>响应文件递交</w:t>
      </w:r>
      <w:r>
        <w:rPr>
          <w:rFonts w:hint="eastAsia" w:ascii="宋体" w:hAnsi="宋体" w:cs="宋体"/>
          <w:color w:val="000000"/>
          <w:sz w:val="24"/>
          <w:szCs w:val="24"/>
        </w:rPr>
        <w:t>截止时间。</w:t>
      </w:r>
    </w:p>
    <w:p w14:paraId="66988635">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2.2.3 供应商在收到澄清后，应按供应商须知前附表规定的时间和形式通知采购人，确认已收到该澄清。</w:t>
      </w:r>
    </w:p>
    <w:p w14:paraId="04619293">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2.2.4 除非采购人认为确有必要答复，否则，采购人有权拒绝回复供应商在本章规定的时间后的任何澄清要求。</w:t>
      </w:r>
    </w:p>
    <w:p w14:paraId="2E40B36C">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2.3 竞争性谈判文件的修改</w:t>
      </w:r>
    </w:p>
    <w:p w14:paraId="032FFB8C">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2.3.1采购人以供应商须知前附表规定的形式修改竞争性谈判文件，并通知所有已获取竞争性谈判文件的供应商。修改竞争性谈判文件的时间距本章规定的</w:t>
      </w:r>
      <w:r>
        <w:rPr>
          <w:rFonts w:ascii="宋体" w:hAnsi="宋体" w:cs="宋体"/>
          <w:color w:val="000000"/>
          <w:sz w:val="24"/>
          <w:szCs w:val="24"/>
        </w:rPr>
        <w:t>响应文件递交</w:t>
      </w:r>
      <w:r>
        <w:rPr>
          <w:rFonts w:hint="eastAsia" w:ascii="宋体" w:hAnsi="宋体" w:cs="宋体"/>
          <w:color w:val="000000"/>
          <w:sz w:val="24"/>
          <w:szCs w:val="24"/>
        </w:rPr>
        <w:t>截止时间不足3日的，并且修改内容可能影响谈判响应文件编制的，将相应延长</w:t>
      </w:r>
      <w:r>
        <w:rPr>
          <w:rFonts w:ascii="宋体" w:hAnsi="宋体" w:cs="宋体"/>
          <w:color w:val="000000"/>
          <w:sz w:val="24"/>
          <w:szCs w:val="24"/>
        </w:rPr>
        <w:t>响应文件递交</w:t>
      </w:r>
      <w:r>
        <w:rPr>
          <w:rFonts w:hint="eastAsia" w:ascii="宋体" w:hAnsi="宋体" w:cs="宋体"/>
          <w:color w:val="000000"/>
          <w:sz w:val="24"/>
          <w:szCs w:val="24"/>
        </w:rPr>
        <w:t>截止时间。</w:t>
      </w:r>
    </w:p>
    <w:p w14:paraId="62D1DE02">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2.3.2 供应商收到修改内容后，应按供应商须知前附表规定的时间和形式通知采购人，确认已收到该修改。</w:t>
      </w:r>
    </w:p>
    <w:p w14:paraId="283EDCC1">
      <w:pPr>
        <w:spacing w:line="360" w:lineRule="auto"/>
        <w:jc w:val="left"/>
        <w:rPr>
          <w:rFonts w:hint="eastAsia" w:ascii="宋体" w:hAnsi="宋体" w:cs="宋体"/>
          <w:b/>
          <w:color w:val="000000"/>
          <w:sz w:val="24"/>
          <w:szCs w:val="24"/>
        </w:rPr>
      </w:pPr>
      <w:r>
        <w:rPr>
          <w:rFonts w:hint="eastAsia" w:ascii="宋体" w:hAnsi="宋体" w:cs="宋体"/>
          <w:b/>
          <w:color w:val="000000"/>
          <w:sz w:val="24"/>
          <w:szCs w:val="24"/>
        </w:rPr>
        <w:t>3. 谈判响应文件</w:t>
      </w:r>
    </w:p>
    <w:p w14:paraId="0EA7A36B">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3.1 谈判响应文件的组成</w:t>
      </w:r>
    </w:p>
    <w:p w14:paraId="50350867">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 xml:space="preserve"> 3.1.1 谈判响应文件应包括下列内容：</w:t>
      </w:r>
    </w:p>
    <w:p w14:paraId="1D902AAA">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一、谈判响应函</w:t>
      </w:r>
    </w:p>
    <w:p w14:paraId="3EC18E08">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 xml:space="preserve">二、第一次谈判报价表          </w:t>
      </w:r>
    </w:p>
    <w:p w14:paraId="22728D51">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三、法定代表人（单位负责人）身份证明或授权委托书；</w:t>
      </w:r>
    </w:p>
    <w:p w14:paraId="1FA4300C">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四、资格审查资料；</w:t>
      </w:r>
    </w:p>
    <w:p w14:paraId="78D40B1B">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五、供应商认为需要提供的其他资料。</w:t>
      </w:r>
    </w:p>
    <w:p w14:paraId="79BB0756">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供应商在谈判过程中作出的符合法律法规和竞争性谈判文件规定的澄清确认，构成谈判响应文件的组成部分。</w:t>
      </w:r>
    </w:p>
    <w:p w14:paraId="17156A40">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3.2 谈判响应报价</w:t>
      </w:r>
    </w:p>
    <w:p w14:paraId="2B99E468">
      <w:pPr>
        <w:pStyle w:val="12"/>
        <w:spacing w:line="360" w:lineRule="auto"/>
        <w:ind w:left="0" w:right="0" w:firstLine="482" w:firstLineChars="200"/>
        <w:rPr>
          <w:rFonts w:hint="eastAsia" w:ascii="宋体" w:hAnsi="宋体" w:cs="宋体"/>
          <w:b/>
          <w:bCs/>
          <w:color w:val="000000"/>
          <w:szCs w:val="24"/>
        </w:rPr>
      </w:pPr>
      <w:r>
        <w:rPr>
          <w:rFonts w:hint="eastAsia" w:ascii="宋体" w:hAnsi="宋体" w:cs="宋体"/>
          <w:b/>
          <w:bCs/>
          <w:color w:val="000000"/>
          <w:szCs w:val="24"/>
        </w:rPr>
        <w:t>3.2.1 谈判原则上实行两轮报价。第一轮报价后，谈判小组可以根据项目实施情况调整采购需求，第二轮报价为最终报价。若第二轮报价出现相同最低报价的，可再次报价，直至产生唯一最低报价。</w:t>
      </w:r>
    </w:p>
    <w:p w14:paraId="49DC2460">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3.2.2 凡因供应商对竞争性谈判文件阅读不深、理解不透、误解、疏漏、或因市场行情了解不清造成的后果和风险均由供应商自行负责。</w:t>
      </w:r>
    </w:p>
    <w:p w14:paraId="1D6C525D">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3.2.3 谈判过程中所产生的一切费用由供应商自行承担。</w:t>
      </w:r>
    </w:p>
    <w:p w14:paraId="5FA08B4E">
      <w:pPr>
        <w:spacing w:line="360" w:lineRule="auto"/>
        <w:ind w:firstLine="482" w:firstLineChars="200"/>
        <w:jc w:val="left"/>
        <w:rPr>
          <w:rFonts w:hint="eastAsia" w:ascii="宋体" w:hAnsi="宋体" w:cs="宋体"/>
          <w:b/>
          <w:bCs/>
          <w:color w:val="000000"/>
          <w:sz w:val="24"/>
          <w:szCs w:val="24"/>
        </w:rPr>
      </w:pPr>
      <w:r>
        <w:rPr>
          <w:rFonts w:hint="eastAsia" w:ascii="宋体" w:hAnsi="宋体" w:cs="宋体"/>
          <w:b/>
          <w:bCs/>
          <w:color w:val="000000"/>
          <w:sz w:val="24"/>
          <w:szCs w:val="24"/>
        </w:rPr>
        <w:t>3.2.4 根据财政部《关于推动解决政府采购异常低价问题的通知》（财库〔2026〕2号）“政府采购评审中出现下列情形之一的，评审委员会应当启动异常低价投标（响应）审查程序”：</w:t>
      </w:r>
    </w:p>
    <w:p w14:paraId="2D0D2127">
      <w:pPr>
        <w:spacing w:line="360" w:lineRule="auto"/>
        <w:ind w:firstLine="482" w:firstLineChars="200"/>
        <w:jc w:val="left"/>
        <w:rPr>
          <w:rFonts w:hint="eastAsia" w:ascii="宋体" w:hAnsi="宋体" w:cs="宋体"/>
          <w:b/>
          <w:bCs/>
          <w:color w:val="000000"/>
          <w:sz w:val="24"/>
          <w:szCs w:val="24"/>
        </w:rPr>
      </w:pPr>
      <w:r>
        <w:rPr>
          <w:rFonts w:hint="eastAsia" w:ascii="宋体" w:hAnsi="宋体" w:cs="宋体"/>
          <w:b/>
          <w:bCs/>
          <w:color w:val="000000"/>
          <w:sz w:val="24"/>
          <w:szCs w:val="24"/>
        </w:rPr>
        <w:t>（1）投标（响应）报价低于全部通过符合性审查供应商投标（响应）报价平均值50%的，即投标（响应）报价&lt;全部通过符合性审查供应商投标（响应）报价平均值×50%；</w:t>
      </w:r>
    </w:p>
    <w:p w14:paraId="6BBDABA2">
      <w:pPr>
        <w:spacing w:line="360" w:lineRule="auto"/>
        <w:ind w:firstLine="482" w:firstLineChars="200"/>
        <w:jc w:val="left"/>
        <w:rPr>
          <w:rFonts w:hint="eastAsia" w:ascii="宋体" w:hAnsi="宋体" w:cs="宋体"/>
          <w:b/>
          <w:bCs/>
          <w:color w:val="000000"/>
          <w:sz w:val="24"/>
          <w:szCs w:val="24"/>
        </w:rPr>
      </w:pPr>
      <w:r>
        <w:rPr>
          <w:rFonts w:hint="eastAsia" w:ascii="宋体" w:hAnsi="宋体" w:cs="宋体"/>
          <w:b/>
          <w:bCs/>
          <w:color w:val="000000"/>
          <w:sz w:val="24"/>
          <w:szCs w:val="24"/>
        </w:rPr>
        <w:t>（2）投标（响应）报价低于通过符合性审查的次低报价供应商投标（响应）报价50%的，即投标（响应）报价&lt;通过符合性审查的次低报价供应商投标（响应）报价×50%；</w:t>
      </w:r>
    </w:p>
    <w:p w14:paraId="666E5737">
      <w:pPr>
        <w:spacing w:line="360" w:lineRule="auto"/>
        <w:ind w:firstLine="482" w:firstLineChars="200"/>
        <w:jc w:val="left"/>
        <w:rPr>
          <w:rFonts w:hint="eastAsia" w:ascii="宋体" w:hAnsi="宋体" w:cs="宋体"/>
          <w:b/>
          <w:bCs/>
          <w:color w:val="000000"/>
          <w:sz w:val="24"/>
          <w:szCs w:val="24"/>
        </w:rPr>
      </w:pPr>
      <w:r>
        <w:rPr>
          <w:rFonts w:hint="eastAsia" w:ascii="宋体" w:hAnsi="宋体" w:cs="宋体"/>
          <w:b/>
          <w:bCs/>
          <w:color w:val="000000"/>
          <w:sz w:val="24"/>
          <w:szCs w:val="24"/>
        </w:rPr>
        <w:t>（3）投标（响应）报价低于采购项目最高限价45%的，即投标（响应）报价&lt;采购项目最高限价×45%；</w:t>
      </w:r>
    </w:p>
    <w:p w14:paraId="3214D271">
      <w:pPr>
        <w:spacing w:line="360" w:lineRule="auto"/>
        <w:ind w:firstLine="482" w:firstLineChars="200"/>
        <w:jc w:val="left"/>
        <w:rPr>
          <w:rFonts w:hint="eastAsia" w:ascii="宋体" w:hAnsi="宋体" w:cs="宋体"/>
          <w:b/>
          <w:bCs/>
          <w:color w:val="000000"/>
          <w:sz w:val="24"/>
          <w:szCs w:val="24"/>
        </w:rPr>
      </w:pPr>
      <w:r>
        <w:rPr>
          <w:rFonts w:hint="eastAsia" w:ascii="宋体" w:hAnsi="宋体" w:cs="宋体"/>
          <w:b/>
          <w:bCs/>
          <w:color w:val="000000"/>
          <w:sz w:val="24"/>
          <w:szCs w:val="24"/>
        </w:rPr>
        <w:t>（4）评审委员会基于专业判断，认为供应商报价过低，有可能影响产品质量或者不能诚信履约的其他情形。</w:t>
      </w:r>
    </w:p>
    <w:p w14:paraId="63D9FD62">
      <w:pPr>
        <w:spacing w:line="360" w:lineRule="auto"/>
        <w:ind w:firstLine="482" w:firstLineChars="200"/>
        <w:jc w:val="left"/>
        <w:rPr>
          <w:rFonts w:hint="eastAsia" w:ascii="宋体" w:hAnsi="宋体" w:cs="宋体"/>
          <w:b/>
          <w:bCs/>
          <w:color w:val="000000"/>
          <w:sz w:val="24"/>
          <w:szCs w:val="24"/>
        </w:rPr>
      </w:pPr>
      <w:r>
        <w:rPr>
          <w:rFonts w:hint="eastAsia" w:ascii="宋体" w:hAnsi="宋体" w:cs="宋体"/>
          <w:b/>
          <w:bCs/>
          <w:color w:val="000000"/>
          <w:sz w:val="24"/>
          <w:szCs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相关供应商应于30分钟内按评标委员会要求提供相应证明材料。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CDA8B9E">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3.2.5 谈判响应报价应包括国家规定的增值税税金，除供应商须知前附表另有规定外，增值税税金按一般计税方法计算。供应商应按第六章“竞争性谈判响应文件格式”的要求在谈判响应函中进行报价并填写分项报价表（如有）。</w:t>
      </w:r>
    </w:p>
    <w:p w14:paraId="272AFF45">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3.2.6 供应商应充分了解该项目的总体情况以及影响谈判响应报价的其他要素。</w:t>
      </w:r>
    </w:p>
    <w:p w14:paraId="378FCFDC">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3.2.7 谈判响应报价为各分项报价金额之和，谈判响应报价与分项报价的合价不一致的，应以各分项合价累计数为准，修正谈判响应报价。供应商在谈判截止时间前修改谈判响应函中的谈判响应报价总额，应同时修改谈判响应文件“分项报价表”中的相应报价。此修改须符合本章规定的有关要求。</w:t>
      </w:r>
    </w:p>
    <w:p w14:paraId="232603F0">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3.2.8 采购人设有最高限价的，供应商的谈判响应报价不得超过最高限价，最高限价在供应商须知前附表中载明。</w:t>
      </w:r>
    </w:p>
    <w:p w14:paraId="0471DFF0">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3.2.9 谈判响应报价的其他要求见供应商须知前附表。</w:t>
      </w:r>
    </w:p>
    <w:p w14:paraId="1FA8B42F">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3.3 谈判响应文件有效期</w:t>
      </w:r>
    </w:p>
    <w:p w14:paraId="2615392E">
      <w:pPr>
        <w:spacing w:line="360" w:lineRule="auto"/>
        <w:ind w:left="479" w:leftChars="228"/>
        <w:jc w:val="left"/>
        <w:rPr>
          <w:rFonts w:hint="eastAsia" w:ascii="宋体" w:hAnsi="宋体" w:cs="宋体"/>
          <w:color w:val="000000"/>
          <w:sz w:val="24"/>
          <w:szCs w:val="24"/>
        </w:rPr>
      </w:pPr>
      <w:r>
        <w:rPr>
          <w:rFonts w:hint="eastAsia" w:ascii="宋体" w:hAnsi="宋体" w:cs="宋体"/>
          <w:color w:val="000000"/>
          <w:sz w:val="24"/>
          <w:szCs w:val="24"/>
        </w:rPr>
        <w:t>3.3.1 除供应商须知前附表另有规定外，谈判响应文件有效期为九十个日历天。3.3.2 在谈判有效期内，供应商撤销谈判响应文件的，应承担竞争性谈判文件和法律规定的责任。</w:t>
      </w:r>
    </w:p>
    <w:p w14:paraId="173F65D7">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3.3.3 出现特殊情况需要延长谈判有效期的，采购人以书面形式通知所有供应商延长谈判有效期。供应商应予以书面答复，同意延长的，应相应延长其谈判保证金的有效期，但不得要求或被允许修改其谈判响应文件；供应商拒绝延长的，其谈判失效，但供应商有权收回其谈判保证金及以现金或者支票形式递交的谈判保证金的银行同期存款利息。</w:t>
      </w:r>
    </w:p>
    <w:p w14:paraId="7632B18F">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3.4 谈判保证金</w:t>
      </w:r>
    </w:p>
    <w:p w14:paraId="11D2AD98">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本项目不收取保证金。</w:t>
      </w:r>
    </w:p>
    <w:p w14:paraId="5A5A5065">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3.5 资格审查资料</w:t>
      </w:r>
    </w:p>
    <w:p w14:paraId="55CB2B06">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详见供应商须知前附表。</w:t>
      </w:r>
    </w:p>
    <w:p w14:paraId="6E3E7A71">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3.6 备选谈判方案</w:t>
      </w:r>
    </w:p>
    <w:p w14:paraId="6DEC2527">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3.6.1 除供应商须知前附表规定允许外，供应商不得递交备选谈判方案，否则其谈判将被否决。</w:t>
      </w:r>
    </w:p>
    <w:p w14:paraId="175A3CC9">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3.6.2 允许供应商递交备选谈判方案的，只有成交供应商所递交的备选谈判方案方可予以考虑。谈判小组认为成交供应商的备选谈判方案优于其按照竞争性谈判文件要求编制的谈判方案的，采购人可以接受该备选谈判方案。</w:t>
      </w:r>
    </w:p>
    <w:p w14:paraId="7BDAA8FB">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3.6.3 供应商提供两个或两个以上谈判响应报价，或者在谈判响应文件中提供一个报价，但同时提供两个或两个以上实施方案的，视为提供备选方案。</w:t>
      </w:r>
    </w:p>
    <w:p w14:paraId="0E91ADB5">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3.7 谈判响应文件的编制</w:t>
      </w:r>
    </w:p>
    <w:p w14:paraId="05C1AA6F">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3.7.1 谈判响应文件应按第六章“谈判响应文件格式”进行编写，如有必要，可以增加附页，作为谈判响应文件的组成部分。</w:t>
      </w:r>
    </w:p>
    <w:p w14:paraId="71B42835">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3.7.2 谈判响应文件应当对竞争性谈判文件有关交货期限、地点、质量标准、采购内容作出实质性响应。谈判响应文件在满足竞争性谈判文件实质性要求的基础上，可以提出比竞争性谈判文件要求更有利于采购人的承诺。</w:t>
      </w:r>
    </w:p>
    <w:p w14:paraId="277768D3">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3.7.3（1）谈判响应文件应用不褪色的材料书写或打印，谈判响应文件及对谈判响应文件的澄清、说明和补正应按照谈判响应文件格式要求加盖公章及签字。由供应商的法定代表人（单位负责人）签字的，应附法定代表人（单位负责人）身份证明，由代理人签字的，应附授权委托书，身份证明或授权委托书应符合第六章“谈判响应文件格式”的要求。谈判响应文件应尽量避免涂改、行间插字或删除。如果出现上述情况，改动之处应由供应商加盖单位公章或其法定代表人（单位负责人）或其授权的代理人签字或盖章。</w:t>
      </w:r>
    </w:p>
    <w:p w14:paraId="2AFD2BF6">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（2）谈判响应文件正本壹份，副本份数见供应商须知前附表。正本和副本的封面右上角上应清楚地标记“正本 ”或“副本”的字样。供应商应根据供应商须知前附表要求提供电子版文件。当副本和正本不一致或电子版文件和纸质正本文件不一致时，以纸质正本文件为准。</w:t>
      </w:r>
    </w:p>
    <w:p w14:paraId="4D8C56E1">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（3）谈判响应文件的正本与副本应分别装订成册，并密封完好。谈判响应文件需分册装订的，具体分册装订要求见供应商须知前附表规定。</w:t>
      </w:r>
    </w:p>
    <w:p w14:paraId="1BEDDFC4">
      <w:pPr>
        <w:spacing w:line="360" w:lineRule="auto"/>
        <w:jc w:val="left"/>
        <w:rPr>
          <w:rFonts w:hint="eastAsia" w:ascii="宋体" w:hAnsi="宋体" w:cs="宋体"/>
          <w:b/>
          <w:color w:val="000000"/>
          <w:sz w:val="24"/>
          <w:szCs w:val="24"/>
        </w:rPr>
      </w:pPr>
      <w:r>
        <w:rPr>
          <w:rFonts w:hint="eastAsia" w:ascii="宋体" w:hAnsi="宋体" w:cs="宋体"/>
          <w:b/>
          <w:color w:val="000000"/>
          <w:sz w:val="24"/>
          <w:szCs w:val="24"/>
        </w:rPr>
        <w:t>4. 谈判</w:t>
      </w:r>
    </w:p>
    <w:p w14:paraId="0FAE1682">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4.1 谈判响应文件的密封和标记</w:t>
      </w:r>
    </w:p>
    <w:p w14:paraId="24A22476">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4.1.1 谈判响应文件应密封包装。</w:t>
      </w:r>
    </w:p>
    <w:p w14:paraId="7B5D9549">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4.1.2 谈判响应文件封套上应写明的内容见供应商须知前附表。</w:t>
      </w:r>
    </w:p>
    <w:p w14:paraId="50350A3A">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4.1.3 未按本章要求密封的谈判响应文件，采购人或采购代理机构将予以拒收。</w:t>
      </w:r>
    </w:p>
    <w:p w14:paraId="1DD644E4">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4.2 谈判响应文件的递交</w:t>
      </w:r>
    </w:p>
    <w:p w14:paraId="401D8EEF">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4.2.1 供应商应在供应商须知前附表规定的谈判截止时间前递交谈判响应文件。</w:t>
      </w:r>
    </w:p>
    <w:p w14:paraId="490131D4">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4.2.2 供应商递交谈判响应文件的地点：见供应商须知前附表。</w:t>
      </w:r>
    </w:p>
    <w:p w14:paraId="4DE16509">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4.2.3 除供应商须知前附表另有规定外，供应商所递交的谈判响应文件不予退还。</w:t>
      </w:r>
    </w:p>
    <w:p w14:paraId="5AEDEDFF">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4.2.4 逾期送达的谈判响应文件，采购人或采购代理机构将予以拒收。</w:t>
      </w:r>
    </w:p>
    <w:p w14:paraId="74D046C5">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4.3 谈判响应文件的修改与撤回</w:t>
      </w:r>
    </w:p>
    <w:p w14:paraId="7537EC6C">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4.3.1 在本章规定的谈判截止时间前，供应商可以修改或撤回已递交的谈判响应文件，但应以书面形式通知采购人或采购代理机构。</w:t>
      </w:r>
    </w:p>
    <w:p w14:paraId="7D75EAFC">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4.3.2 供应商修改或撤回已递交谈判响应文件的书面通知应按照本章的要求签字或盖章。</w:t>
      </w:r>
    </w:p>
    <w:p w14:paraId="2FC4BA36">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4.3.3 修改的内容为谈判响应文件的组成部分。修改的谈判响应文件应按照本章的规定进行编制、密封、标记和递交，并标明“修改”字样。</w:t>
      </w:r>
    </w:p>
    <w:p w14:paraId="29287C6A">
      <w:pPr>
        <w:spacing w:line="360" w:lineRule="auto"/>
        <w:jc w:val="left"/>
        <w:rPr>
          <w:rFonts w:hint="eastAsia" w:ascii="宋体" w:hAnsi="宋体" w:cs="宋体"/>
          <w:b/>
          <w:color w:val="000000"/>
          <w:sz w:val="24"/>
          <w:szCs w:val="24"/>
        </w:rPr>
      </w:pPr>
      <w:r>
        <w:rPr>
          <w:rFonts w:hint="eastAsia" w:ascii="宋体" w:hAnsi="宋体" w:cs="宋体"/>
          <w:b/>
          <w:color w:val="000000"/>
          <w:sz w:val="24"/>
          <w:szCs w:val="24"/>
        </w:rPr>
        <w:t>5. 谈判</w:t>
      </w:r>
    </w:p>
    <w:p w14:paraId="1139BD56">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5.1 谈判时间和地点</w:t>
      </w:r>
    </w:p>
    <w:p w14:paraId="6F214303">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采购人或采购代理机构在本章规定的谈判截止时间（谈判时间）和供应商须知前附表规定的地点公开谈判，并邀请所有供应商的法定代表人（单位负责人）或其委托代理人准时参加。</w:t>
      </w:r>
    </w:p>
    <w:p w14:paraId="6A14C1D3">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5.2 评审程序</w:t>
      </w:r>
    </w:p>
    <w:p w14:paraId="395C9FAF">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5.2.1谈判会议</w:t>
      </w:r>
    </w:p>
    <w:p w14:paraId="3166C2DC">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（1）在谈判文件规定的时间和地点，由采购代理机构组织谈判工作，供应商须委派代表参加，签名报到以证明其出席。</w:t>
      </w:r>
    </w:p>
    <w:p w14:paraId="4E4E33EF">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（2）由供应商或其推荐的代表与监督人共同检查谈判响应文件的密封情况，经检查无误后，签字确认。</w:t>
      </w:r>
    </w:p>
    <w:p w14:paraId="292B32A4">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（3）采购代理机构工作人员按照顺序，将供应商谈判响应文件的份数等内容做好记录并由监督人确认。</w:t>
      </w:r>
    </w:p>
    <w:p w14:paraId="794276BF">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（4）谈判过程由采购代理机构指定专人记录。</w:t>
      </w:r>
    </w:p>
    <w:p w14:paraId="05D26DEF">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5.2.2谈判响应文件初审</w:t>
      </w:r>
    </w:p>
    <w:p w14:paraId="74D016B4">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（1）谈判响应文件的资格性审查：依据法律法规和谈判文件的规定，由采购人对供应商递交的谈判响应文件中资格内容进行审查，以确定供应商是否具备相应资格。</w:t>
      </w:r>
    </w:p>
    <w:p w14:paraId="6E03F006">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（2）谈判响应文件符合性审查：依据谈判文件的规定，由谈判小组对谈判响应文件的有效性、完整性和对谈判文件的响应程度进行审查，以确定供应商谈判文件的响应文件符合性是否合格。</w:t>
      </w:r>
    </w:p>
    <w:p w14:paraId="281C011B">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5.2.3谈判：谈判小组所有成员集中与通过初审的供应商分别进行谈判。</w:t>
      </w:r>
    </w:p>
    <w:p w14:paraId="55632413">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（1）谈判小组以书面形式要求供应商对响应文件中含义不明确、同类问题表述不一致、或者明显文字和计算错误的内容做出必要的澄清、说明或更正。</w:t>
      </w:r>
    </w:p>
    <w:p w14:paraId="576BE0BE">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（2）供应商澄清、说明或者更正应当由法定代表人或者授权代表签字或者加盖公章。澄清、说明或者更正不得超出响应范围，或者改变响应文件的实质性内容。</w:t>
      </w:r>
    </w:p>
    <w:p w14:paraId="6099ABD1">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（3）谈判过程中，谈判小组可以根据项目实施情况调整采购需求，但不得变动谈判文件中的其他内容。实质性变动的内容，须经采购人代表确认，并成为谈判文件的有效组成部分。</w:t>
      </w:r>
    </w:p>
    <w:p w14:paraId="0261661E">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（4）供应商应当按照谈判文件的变动情况和谈判小组的要求重新提交响应文件，并由其法定代表人或授权代表签字或者加盖公章。</w:t>
      </w:r>
    </w:p>
    <w:p w14:paraId="6D9743AB">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5.2.4谈判报价</w:t>
      </w:r>
    </w:p>
    <w:p w14:paraId="5F0BEEDB">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谈判结束后，有效响应供应商不少于三家。谈判小组要求谈判后合格供应商在规定时间内提交谈判报价，所有的谈判报价是供应商响应文件的有效组成部分，且由法定代表人（或授权代表人）签字或者盖章。</w:t>
      </w:r>
    </w:p>
    <w:p w14:paraId="67D74284">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（2）本项目合同采用固定总价合同。</w:t>
      </w:r>
    </w:p>
    <w:p w14:paraId="481F9E90">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3）谈判响应报价中包括本项目施工中所涉及的：人工、服务费、税金、利润、风险等一切费用。供应商应充分了解该项目的总体情况以及影响响应报价的其他要素，根据谈判文件要求结合企业自身技术力量、设备装备水平、企业管理水平、市场价格行情自主编制进行报价。任何有选择的报价采购代理机构不予接受。</w:t>
      </w:r>
    </w:p>
    <w:p w14:paraId="0012E7A3">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（4）谈判过程中所产生的一切费用由供应商自行承担。</w:t>
      </w:r>
    </w:p>
    <w:p w14:paraId="704D0C36">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（5）谈判响应报价应包括国家规定的增值税税金，除供应商须知前附表另有规定外，增值税税金按一般计税方法计算。供应商应按第六章“竞争性谈判响应文件格式”的要求在谈判响应函中进行报价。</w:t>
      </w:r>
    </w:p>
    <w:p w14:paraId="56DA7611">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（6）供应商应充分了解该项目的总体情况以及影响谈判响应报价的其他要素。凡因供应商对竞争性谈判文件阅读不深、理解不透、误解、疏漏、或因市场行情了解不清造成的后果和风险均由供应商自行负责。</w:t>
      </w:r>
    </w:p>
    <w:p w14:paraId="15F05ACC">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（7）采购人设有最高限价的，供应商的谈判响应报价不得超过最高限价，最高限价在供应商须知前附表中载明。</w:t>
      </w:r>
    </w:p>
    <w:p w14:paraId="40D7F7CF">
      <w:pPr>
        <w:spacing w:line="360" w:lineRule="auto"/>
        <w:ind w:firstLine="480" w:firstLineChars="200"/>
        <w:jc w:val="left"/>
        <w:rPr>
          <w:rFonts w:hint="eastAsia" w:ascii="宋体" w:hAnsi="宋体" w:cs="宋体"/>
          <w:color w:val="000000"/>
          <w:sz w:val="24"/>
          <w:szCs w:val="24"/>
        </w:rPr>
      </w:pPr>
      <w:r>
        <w:rPr>
          <w:rFonts w:hint="eastAsia" w:ascii="宋体" w:hAnsi="宋体" w:cs="宋体"/>
          <w:sz w:val="24"/>
          <w:szCs w:val="24"/>
        </w:rPr>
        <w:t>（8）谈判响应报价的其他要求见供应商须知前附表。</w:t>
      </w:r>
    </w:p>
    <w:p w14:paraId="384AA6C7">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5.2.5比较与评价</w:t>
      </w:r>
    </w:p>
    <w:p w14:paraId="22ECED52">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谈判小组在评审过程中，发现响应文件出现下列情况之一者，按以下原则修正：</w:t>
      </w:r>
    </w:p>
    <w:p w14:paraId="76593223">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（1）大写金额与小写金额不一致的，以大写金额为准；</w:t>
      </w:r>
    </w:p>
    <w:p w14:paraId="56E55044">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（2）总价金额与按单价汇总金额不一致的，以单价金额计算结果为准；</w:t>
      </w:r>
    </w:p>
    <w:p w14:paraId="36451BBE">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（3）单价金额小数点有明显错位的，应以总价为准，并修改单价；</w:t>
      </w:r>
    </w:p>
    <w:p w14:paraId="1446161A">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（4）对不同文字文本响应文件的解释发生异议的，以中文文本为准；</w:t>
      </w:r>
    </w:p>
    <w:p w14:paraId="5FCAA142">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（5）文字与图表不一致的，以文字为准；</w:t>
      </w:r>
    </w:p>
    <w:p w14:paraId="7B995B8E">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（6）正本与副本不一致的，以正本为准；</w:t>
      </w:r>
    </w:p>
    <w:p w14:paraId="455A5D15">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5.2.6开标异议</w:t>
      </w:r>
    </w:p>
    <w:p w14:paraId="36B1CA44">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供应商对开标有异议的，应当在谈判现场提出，采购代理机构或采购人当场作出答复，并制作记录。</w:t>
      </w:r>
    </w:p>
    <w:p w14:paraId="5DA97229">
      <w:pPr>
        <w:spacing w:line="360" w:lineRule="auto"/>
        <w:jc w:val="left"/>
        <w:rPr>
          <w:rFonts w:hint="eastAsia" w:ascii="宋体" w:hAnsi="宋体" w:cs="宋体"/>
          <w:b/>
          <w:color w:val="000000"/>
          <w:sz w:val="24"/>
          <w:szCs w:val="24"/>
        </w:rPr>
      </w:pPr>
      <w:r>
        <w:rPr>
          <w:rFonts w:hint="eastAsia" w:ascii="宋体" w:hAnsi="宋体" w:cs="宋体"/>
          <w:b/>
          <w:color w:val="000000"/>
          <w:sz w:val="24"/>
          <w:szCs w:val="24"/>
        </w:rPr>
        <w:t>6. 评审</w:t>
      </w:r>
    </w:p>
    <w:p w14:paraId="488D7878">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6.1 谈判小组</w:t>
      </w:r>
    </w:p>
    <w:p w14:paraId="76536ACF">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6.1.1 评审由采购人依法组建的谈判小组负责。谈判小组由采购人或其委托的采购代理机构熟悉相关业务的代表，以及有关技术、经济等方面的专家组成。谈判小组成员人数以及技术、经济等方面专家的确定方式见供应商须知前附表。</w:t>
      </w:r>
    </w:p>
    <w:p w14:paraId="79357185">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6.1.2 谈判小组成员有下列情形之一的，应当回避：</w:t>
      </w:r>
    </w:p>
    <w:p w14:paraId="1250F1EE">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（1）参加采购活动前三年内，与供应商存在劳动关系,或者担任过供应商的董事、监事,或者是供应商的控股股东或实际控制人；</w:t>
      </w:r>
    </w:p>
    <w:p w14:paraId="465DFF9E">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（2）与供应商的法定代表人或者负责人有夫妻、直系血亲、三代以内旁系血亲或者近姻亲关系；</w:t>
      </w:r>
    </w:p>
    <w:p w14:paraId="1F24272B">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（3）与供应商有其他可能影响政府采购活动公平、公正进行的关系。</w:t>
      </w:r>
    </w:p>
    <w:p w14:paraId="48FF5D22">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6.1.3 评审过程中，谈判小组成员有回避事由、擅离职守或者因健康等原因不能继续评审的，采购人有权更换。被更换的谈判小组成员作出的评审结论无效，由更换后的谈判小组成员重新进行评审。</w:t>
      </w:r>
    </w:p>
    <w:p w14:paraId="07A4CA41">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6.2 评审原则</w:t>
      </w:r>
    </w:p>
    <w:p w14:paraId="57EFDE7A">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评审活动遵循公平、公正、科学择优的原则。</w:t>
      </w:r>
    </w:p>
    <w:p w14:paraId="2836D75F">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6.3 评审</w:t>
      </w:r>
    </w:p>
    <w:p w14:paraId="5AF12450">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6.3.1谈判小组按照第三章“评审办法”规定的方法、评审因素、标准和程序对谈判响应文件进行评审。第三章“评审办法”没有规定的方法、评审因素和标准，不作为评审依据。</w:t>
      </w:r>
    </w:p>
    <w:p w14:paraId="700AF1DE">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6.3.2评审完成后，谈判小组应当向采购人提交书面评审报告和成交候选供应商名单。谈判小组推荐成交候选供应商的人数见供应商须知前附表。</w:t>
      </w:r>
    </w:p>
    <w:p w14:paraId="6EEDC58F">
      <w:pPr>
        <w:spacing w:line="360" w:lineRule="auto"/>
        <w:jc w:val="left"/>
        <w:rPr>
          <w:rFonts w:hint="eastAsia" w:ascii="宋体" w:hAnsi="宋体" w:cs="宋体"/>
          <w:b/>
          <w:color w:val="000000"/>
          <w:sz w:val="24"/>
          <w:szCs w:val="24"/>
        </w:rPr>
      </w:pPr>
      <w:r>
        <w:rPr>
          <w:rFonts w:hint="eastAsia" w:ascii="宋体" w:hAnsi="宋体" w:cs="宋体"/>
          <w:b/>
          <w:color w:val="000000"/>
          <w:sz w:val="24"/>
          <w:szCs w:val="24"/>
        </w:rPr>
        <w:t>7. 合同授予</w:t>
      </w:r>
    </w:p>
    <w:p w14:paraId="32C0FF27">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7.1 成交结果公示</w:t>
      </w:r>
    </w:p>
    <w:p w14:paraId="31094CEA">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采购人或者采购代理机构应当自成交供应商确定之日起2个工作日内，在省级以上财政部门指定的媒体上公告成交结果，公示期不得少于1个工作日。</w:t>
      </w:r>
    </w:p>
    <w:p w14:paraId="4CD88D5D">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7.2 成交候选供应商履约能力审查</w:t>
      </w:r>
    </w:p>
    <w:p w14:paraId="2AB41941">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成交候选供应商的经营、财务状况发生较大变化或存在违法行为，采购人认为可能影响其履约能力的，将汇报同级财政部门并提请原谈判小组按照竞争性谈判文件规定的标准和方法进行审查确认。</w:t>
      </w:r>
    </w:p>
    <w:p w14:paraId="5A399EBD">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7.3 定标</w:t>
      </w:r>
    </w:p>
    <w:p w14:paraId="6F8BA77A">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7.3.1按照供应商须知前附表的规定，采购人或采购人授权的谈判小组依法确定成交供应商。</w:t>
      </w:r>
    </w:p>
    <w:p w14:paraId="5BA4E5F6">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7.4 成交通知</w:t>
      </w:r>
    </w:p>
    <w:p w14:paraId="6016E4E8">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在成交结果公告当天，以书面形式向成交供应商发出成交通知书，同时将成交结果通知未成交的供应商。</w:t>
      </w:r>
    </w:p>
    <w:p w14:paraId="6958909D">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7.5 履约保证金</w:t>
      </w:r>
    </w:p>
    <w:p w14:paraId="05B0CC4D">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见供应商须知前附表。</w:t>
      </w:r>
    </w:p>
    <w:p w14:paraId="6A9A63B6">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7.6 签订合同</w:t>
      </w:r>
    </w:p>
    <w:p w14:paraId="3FF030BB">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7.6.1 采购人和成交供应商应当在成交通知书发出之日起25日内，根据竞争性谈判文件和成交供应商的谈判响应文件订立书面合同。成交供应商无正当理由拒签合同，在签订合同时向采购人提出附加条件，或者不按照竞争性谈判文件要求提交履约保证金的，采购人有权取消其成交资格，其谈判保证金采购人有权不予退还；给采购人造成的损失超过谈判保证金数额的，成交供应商还应当对超过部分予以赔偿。确定成交单位后，成交供应商因自身原因未按程序签订合同，采购人将取消其成交资格，同时报请监督机构备案。在此情况下，采购人可按评审结果顺序将合同授予下一成交候选供应商或重新采购。</w:t>
      </w:r>
    </w:p>
    <w:p w14:paraId="7C8A5A2F">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7.6.2 发出成交通知书后，采购人无正当理由拒签合同，或者在签订合同时向成交供应商提出附加条件的，采购人向成交供应商退还谈判保证金；给成交供应商造成损失的，采购人应当赔偿损失。</w:t>
      </w:r>
    </w:p>
    <w:p w14:paraId="62B2BEA0">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7.6.3 联合体成交的，联合体各方应当共同与采购人签订合同，就成交项目向采购人承担连带责任。</w:t>
      </w:r>
    </w:p>
    <w:p w14:paraId="7E47DC35">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7.6.4 采购人应在合同签订后2个工作日内将政府采购合同在省级以上人民政府财政部门指定的媒体上进行公告。但政府采购合同中涉及国家秘密、商业秘密的内容除外。</w:t>
      </w:r>
    </w:p>
    <w:p w14:paraId="25D7E686">
      <w:pPr>
        <w:spacing w:line="360" w:lineRule="auto"/>
        <w:jc w:val="left"/>
        <w:rPr>
          <w:rFonts w:hint="eastAsia" w:ascii="宋体" w:hAnsi="宋体" w:cs="宋体"/>
          <w:b/>
          <w:color w:val="000000"/>
          <w:sz w:val="24"/>
          <w:szCs w:val="24"/>
        </w:rPr>
      </w:pPr>
      <w:r>
        <w:rPr>
          <w:rFonts w:hint="eastAsia" w:ascii="宋体" w:hAnsi="宋体" w:cs="宋体"/>
          <w:b/>
          <w:color w:val="000000"/>
          <w:sz w:val="24"/>
          <w:szCs w:val="24"/>
        </w:rPr>
        <w:t>8.纪律和监督</w:t>
      </w:r>
    </w:p>
    <w:p w14:paraId="66B37386">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8.1 对采购人的纪律要求</w:t>
      </w:r>
    </w:p>
    <w:p w14:paraId="0D63DB83">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采购人不得泄露采购谈判活动中应当保密的情况和资料，不得与供应商串通损害国家利益、社会公共利益或者他人合法权益。</w:t>
      </w:r>
    </w:p>
    <w:p w14:paraId="4AE8DF6B">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8.2 对供应商的纪律要求</w:t>
      </w:r>
    </w:p>
    <w:p w14:paraId="62CFF9DD">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供应商不得相互串通谈判或者与采购人串通，不得向采购人或者谈判小组成员行贿谋取成交，不得以他人名义谈判或者以其他方式弄虚作假骗取成交；供应商不得以任何方式干扰、影响评审工作。</w:t>
      </w:r>
    </w:p>
    <w:p w14:paraId="5FB18600">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8.3 对谈判小组成员的纪律要求</w:t>
      </w:r>
    </w:p>
    <w:p w14:paraId="386E8B5D">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谈判小组成员不得收受他人的财物或者其他好处，不得向他人透露对谈判响应文件的评审和比较、成交候选供应商的推荐情况以及评审有关的其他情况。在评审活动中，谈判小组成员应当客观、公正地履行职责，遵守职业道德，不得擅离职守，影响评审程序正常进行，不得使用第三章“评审办法”没有规定的评审因素和标准进行评审。</w:t>
      </w:r>
    </w:p>
    <w:p w14:paraId="03E52EB4">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8.4 对与评审活动有关的工作人员的纪律要求</w:t>
      </w:r>
    </w:p>
    <w:p w14:paraId="0A3D608C">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与评审活动有关的工作人员不得收受他人的财物或者其他好处，不得向他人透露对谈判响应文件的评审和比较、成交候选供应商的推荐情况以及评审有关的其他情况。在评审活动中，与评审活动有关的工作人员不得擅离职守，影响评审程序正常进行。</w:t>
      </w:r>
    </w:p>
    <w:p w14:paraId="6FAD9454">
      <w:pPr>
        <w:spacing w:line="360" w:lineRule="auto"/>
        <w:jc w:val="left"/>
        <w:rPr>
          <w:rFonts w:hint="eastAsia" w:ascii="宋体" w:hAnsi="宋体" w:cs="宋体"/>
          <w:b/>
          <w:color w:val="000000"/>
          <w:sz w:val="24"/>
          <w:szCs w:val="24"/>
        </w:rPr>
      </w:pPr>
      <w:r>
        <w:rPr>
          <w:rFonts w:hint="eastAsia" w:ascii="宋体" w:hAnsi="宋体" w:cs="宋体"/>
          <w:b/>
          <w:color w:val="000000"/>
          <w:sz w:val="24"/>
          <w:szCs w:val="24"/>
        </w:rPr>
        <w:t>9. 是否采用电子采购</w:t>
      </w:r>
    </w:p>
    <w:p w14:paraId="71204091">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见供应商须知前附表。</w:t>
      </w:r>
    </w:p>
    <w:p w14:paraId="7D59E3CC">
      <w:pPr>
        <w:spacing w:line="360" w:lineRule="auto"/>
        <w:jc w:val="left"/>
        <w:rPr>
          <w:rFonts w:hint="eastAsia" w:ascii="宋体" w:hAnsi="宋体" w:cs="宋体"/>
          <w:b/>
          <w:color w:val="000000"/>
          <w:sz w:val="24"/>
          <w:szCs w:val="24"/>
        </w:rPr>
      </w:pPr>
      <w:r>
        <w:rPr>
          <w:rFonts w:hint="eastAsia" w:ascii="宋体" w:hAnsi="宋体" w:cs="宋体"/>
          <w:b/>
          <w:color w:val="000000"/>
          <w:sz w:val="24"/>
          <w:szCs w:val="24"/>
        </w:rPr>
        <w:t>10. 需要补充的其他内容</w:t>
      </w:r>
    </w:p>
    <w:p w14:paraId="7C850350">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需要补充的其他内容：见供应商须知前附表。</w:t>
      </w:r>
    </w:p>
    <w:p w14:paraId="15DD1E29">
      <w:pPr>
        <w:spacing w:line="360" w:lineRule="auto"/>
        <w:jc w:val="left"/>
        <w:rPr>
          <w:rFonts w:hint="eastAsia" w:ascii="宋体" w:hAnsi="宋体" w:cs="宋体"/>
          <w:b/>
          <w:bCs/>
          <w:color w:val="000000"/>
          <w:sz w:val="24"/>
          <w:szCs w:val="24"/>
        </w:rPr>
      </w:pPr>
      <w:r>
        <w:rPr>
          <w:rFonts w:hint="eastAsia" w:ascii="宋体" w:hAnsi="宋体" w:cs="宋体"/>
          <w:b/>
          <w:bCs/>
          <w:color w:val="000000"/>
          <w:sz w:val="24"/>
          <w:szCs w:val="24"/>
        </w:rPr>
        <w:t>11. 谈判响应文件符合性</w:t>
      </w:r>
    </w:p>
    <w:p w14:paraId="5EDAB561">
      <w:pPr>
        <w:spacing w:line="360" w:lineRule="auto"/>
        <w:ind w:firstLine="420"/>
        <w:rPr>
          <w:rFonts w:hint="eastAsia" w:ascii="宋体" w:hAnsi="宋体" w:cs="宋体"/>
          <w:color w:val="000000"/>
          <w:sz w:val="24"/>
          <w:szCs w:val="24"/>
        </w:rPr>
      </w:pPr>
      <w:bookmarkStart w:id="22" w:name="_Toc217446072"/>
      <w:r>
        <w:rPr>
          <w:rFonts w:hint="eastAsia" w:ascii="宋体" w:hAnsi="宋体" w:cs="宋体"/>
          <w:color w:val="000000"/>
          <w:sz w:val="24"/>
          <w:szCs w:val="24"/>
        </w:rPr>
        <w:t>供应商有以下情形之一的，符合性不合格：</w:t>
      </w:r>
    </w:p>
    <w:p w14:paraId="076D23B5">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（1）供应商未经过正常渠道获取竞争性谈判文件的或供应商名称与获取竞争性谈判文件单位的名称不一致的；</w:t>
      </w:r>
    </w:p>
    <w:p w14:paraId="00FF8597">
      <w:pPr>
        <w:spacing w:line="360" w:lineRule="auto"/>
        <w:ind w:firstLine="420"/>
        <w:rPr>
          <w:rFonts w:hint="eastAsia" w:ascii="宋体" w:hAnsi="宋体" w:cs="宋体"/>
          <w:sz w:val="24"/>
          <w:szCs w:val="24"/>
        </w:rPr>
      </w:pPr>
      <w:r>
        <w:rPr>
          <w:rFonts w:hint="eastAsia" w:ascii="宋体" w:hAnsi="宋体" w:cs="宋体"/>
          <w:color w:val="000000"/>
          <w:sz w:val="24"/>
          <w:szCs w:val="24"/>
        </w:rPr>
        <w:t>（2）</w:t>
      </w:r>
      <w:r>
        <w:rPr>
          <w:rFonts w:hint="eastAsia" w:ascii="宋体" w:hAnsi="宋体" w:cs="宋体"/>
          <w:sz w:val="24"/>
          <w:szCs w:val="24"/>
        </w:rPr>
        <w:t>谈判响应文件份数不符合竞争性谈判文件要求的；</w:t>
      </w:r>
    </w:p>
    <w:p w14:paraId="65B4931F">
      <w:pPr>
        <w:spacing w:line="360" w:lineRule="auto"/>
        <w:ind w:firstLine="420"/>
        <w:rPr>
          <w:rFonts w:hint="eastAsia" w:ascii="宋体" w:hAnsi="宋体" w:cs="宋体"/>
          <w:color w:val="000000"/>
          <w:sz w:val="24"/>
          <w:szCs w:val="24"/>
        </w:rPr>
      </w:pPr>
      <w:r>
        <w:rPr>
          <w:rFonts w:hint="eastAsia" w:ascii="宋体" w:hAnsi="宋体" w:cs="宋体"/>
          <w:sz w:val="24"/>
          <w:szCs w:val="24"/>
        </w:rPr>
        <w:t>（3）</w:t>
      </w:r>
      <w:r>
        <w:rPr>
          <w:rFonts w:hint="eastAsia" w:ascii="宋体" w:hAnsi="宋体" w:cs="宋体"/>
          <w:color w:val="000000"/>
          <w:sz w:val="24"/>
          <w:szCs w:val="24"/>
        </w:rPr>
        <w:t>未按照竞争性谈判文件规定交纳谈判保证金（如有要求）或未在谈判响应文件中附入谈判保证金交纳凭证的；</w:t>
      </w:r>
    </w:p>
    <w:p w14:paraId="5B7CFEFA">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（4）未按照竞争性谈判文件规定和要求密封、签署、盖章的；</w:t>
      </w:r>
    </w:p>
    <w:p w14:paraId="654EA5A5">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（5）未按照竞争性谈判文件规定的格式要求编制的；</w:t>
      </w:r>
    </w:p>
    <w:p w14:paraId="15358934">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（6）采购内容及参数不实质响应竞争性谈判文件的；</w:t>
      </w:r>
    </w:p>
    <w:p w14:paraId="41DD56B3">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（7）谈判小组需核查备查的原件（或资料）的未按要求时间及时提交合格原件（或资料）或所提交的原件不合格的；</w:t>
      </w:r>
    </w:p>
    <w:p w14:paraId="6353DD74">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（8）谈判响应文件对竞争性谈判文件的实质性条款响应不符合采购项目的要求；</w:t>
      </w:r>
    </w:p>
    <w:p w14:paraId="23638F79">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（9）供应商的谈判响应报价超过本项目最高限价的；</w:t>
      </w:r>
    </w:p>
    <w:p w14:paraId="3D83D0C0">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（10）谈判响应文件无有效期或有效期不符合竞争性谈判文件要求的；</w:t>
      </w:r>
    </w:p>
    <w:p w14:paraId="04EC2DA5">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（11）拒绝或不按谈判小组要求澄清、说明或补正的；</w:t>
      </w:r>
    </w:p>
    <w:p w14:paraId="739FC8E3">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（12）谈判响应文件中附有采购人不能接受的条件；</w:t>
      </w:r>
    </w:p>
    <w:p w14:paraId="53EAA446">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（13）谈判响应文件的关键内容字迹模糊和无法辨认的；</w:t>
      </w:r>
    </w:p>
    <w:p w14:paraId="6BACFC5A">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（14）谈判响应文件不符合竞争性谈判文件规定的，有其谈判将被否决的条款或其他无效情形的；</w:t>
      </w:r>
    </w:p>
    <w:p w14:paraId="6659EA40">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（15）谈判响应文件不符合法律、法规要求的；</w:t>
      </w:r>
    </w:p>
    <w:p w14:paraId="227C8646">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（16）提供虚假证明，开具虚假资质，除按无效谈判响应文件处理外，还应由国家管理机关依据相关法律法规进行相应的处罚。</w:t>
      </w:r>
    </w:p>
    <w:p w14:paraId="1E37E9EC">
      <w:pPr>
        <w:spacing w:line="360" w:lineRule="auto"/>
        <w:jc w:val="left"/>
        <w:rPr>
          <w:rFonts w:hint="eastAsia" w:ascii="宋体" w:hAnsi="宋体" w:cs="宋体"/>
          <w:b/>
          <w:bCs/>
          <w:color w:val="000000"/>
          <w:sz w:val="24"/>
          <w:szCs w:val="24"/>
        </w:rPr>
      </w:pPr>
      <w:r>
        <w:rPr>
          <w:rFonts w:hint="eastAsia" w:ascii="宋体" w:hAnsi="宋体" w:cs="宋体"/>
          <w:b/>
          <w:bCs/>
          <w:color w:val="000000"/>
          <w:sz w:val="24"/>
          <w:szCs w:val="24"/>
        </w:rPr>
        <w:t>12.废标与采购方式的变更</w:t>
      </w:r>
    </w:p>
    <w:p w14:paraId="6215C8F1">
      <w:pPr>
        <w:spacing w:line="360" w:lineRule="auto"/>
        <w:ind w:firstLine="420"/>
        <w:jc w:val="left"/>
        <w:rPr>
          <w:rFonts w:hint="eastAsia" w:ascii="宋体" w:hAnsi="宋体" w:cs="宋体"/>
          <w:color w:val="000000"/>
          <w:sz w:val="24"/>
          <w:szCs w:val="24"/>
        </w:rPr>
      </w:pPr>
      <w:r>
        <w:rPr>
          <w:rFonts w:hint="eastAsia" w:ascii="宋体" w:hAnsi="宋体" w:cs="宋体"/>
          <w:bCs/>
          <w:color w:val="000000"/>
          <w:sz w:val="24"/>
          <w:szCs w:val="24"/>
        </w:rPr>
        <w:t>12.</w:t>
      </w:r>
      <w:bookmarkEnd w:id="22"/>
      <w:r>
        <w:rPr>
          <w:rFonts w:hint="eastAsia" w:ascii="宋体" w:hAnsi="宋体" w:cs="宋体"/>
          <w:bCs/>
          <w:color w:val="000000"/>
          <w:sz w:val="24"/>
          <w:szCs w:val="24"/>
        </w:rPr>
        <w:t>1</w:t>
      </w:r>
      <w:r>
        <w:rPr>
          <w:rFonts w:hint="eastAsia" w:ascii="宋体" w:hAnsi="宋体" w:cs="宋体"/>
          <w:color w:val="000000"/>
          <w:sz w:val="24"/>
          <w:szCs w:val="24"/>
        </w:rPr>
        <w:t>采购采购中，出现下列情形之一的，应予以废标：</w:t>
      </w:r>
    </w:p>
    <w:p w14:paraId="78CAA6F4">
      <w:pPr>
        <w:snapToGrid w:val="0"/>
        <w:spacing w:line="360" w:lineRule="auto"/>
        <w:ind w:firstLine="470" w:firstLineChars="196"/>
        <w:rPr>
          <w:rFonts w:hint="eastAsia" w:ascii="宋体" w:hAnsi="宋体" w:cs="宋体"/>
          <w:color w:val="000000"/>
          <w:sz w:val="24"/>
          <w:szCs w:val="24"/>
        </w:rPr>
      </w:pPr>
      <w:r>
        <w:rPr>
          <w:rFonts w:hint="eastAsia" w:ascii="宋体" w:hAnsi="宋体" w:cs="宋体"/>
          <w:color w:val="000000"/>
          <w:sz w:val="24"/>
          <w:szCs w:val="24"/>
        </w:rPr>
        <w:t>（1）符合专业条件的供应商或者对竞争性谈判文件作实质响应的供应商不足3家的；</w:t>
      </w:r>
    </w:p>
    <w:p w14:paraId="1173E3F1">
      <w:pPr>
        <w:snapToGrid w:val="0"/>
        <w:spacing w:line="360" w:lineRule="auto"/>
        <w:ind w:firstLine="470" w:firstLineChars="196"/>
        <w:rPr>
          <w:rFonts w:hint="eastAsia" w:ascii="宋体" w:hAnsi="宋体" w:cs="宋体"/>
          <w:color w:val="000000"/>
          <w:sz w:val="24"/>
          <w:szCs w:val="24"/>
        </w:rPr>
      </w:pPr>
      <w:r>
        <w:rPr>
          <w:rFonts w:hint="eastAsia" w:ascii="宋体" w:hAnsi="宋体" w:cs="宋体"/>
          <w:color w:val="000000"/>
          <w:sz w:val="24"/>
          <w:szCs w:val="24"/>
        </w:rPr>
        <w:t>（2）出现影响采购公正的违法、违规行为的；</w:t>
      </w:r>
    </w:p>
    <w:p w14:paraId="25FC4D6C">
      <w:pPr>
        <w:snapToGrid w:val="0"/>
        <w:spacing w:line="360" w:lineRule="auto"/>
        <w:ind w:firstLine="470" w:firstLineChars="196"/>
        <w:rPr>
          <w:rFonts w:hint="eastAsia" w:ascii="宋体" w:hAnsi="宋体" w:cs="宋体"/>
          <w:color w:val="000000"/>
          <w:sz w:val="24"/>
          <w:szCs w:val="24"/>
        </w:rPr>
      </w:pPr>
      <w:r>
        <w:rPr>
          <w:rFonts w:hint="eastAsia" w:ascii="宋体" w:hAnsi="宋体" w:cs="宋体"/>
          <w:color w:val="000000"/>
          <w:sz w:val="24"/>
          <w:szCs w:val="24"/>
        </w:rPr>
        <w:t>（3）因重大变故，采购任务取消的。</w:t>
      </w:r>
    </w:p>
    <w:p w14:paraId="5B32FCE7">
      <w:pPr>
        <w:snapToGrid w:val="0"/>
        <w:spacing w:line="360" w:lineRule="auto"/>
        <w:ind w:firstLine="470" w:firstLineChars="196"/>
        <w:rPr>
          <w:rFonts w:hint="eastAsia" w:ascii="宋体" w:hAnsi="宋体" w:cs="宋体"/>
          <w:color w:val="000000"/>
          <w:sz w:val="24"/>
          <w:szCs w:val="24"/>
        </w:rPr>
      </w:pPr>
      <w:r>
        <w:rPr>
          <w:rFonts w:hint="eastAsia" w:ascii="宋体" w:hAnsi="宋体" w:cs="宋体"/>
          <w:color w:val="000000"/>
          <w:sz w:val="24"/>
          <w:szCs w:val="24"/>
        </w:rPr>
        <w:t>废标后，采购代理机构应在财政部门指定采购网上公告，并公告废标的详细理由。</w:t>
      </w:r>
    </w:p>
    <w:p w14:paraId="4E1D0D7F">
      <w:pPr>
        <w:snapToGrid w:val="0"/>
        <w:spacing w:line="360" w:lineRule="auto"/>
        <w:ind w:firstLine="470" w:firstLineChars="196"/>
        <w:rPr>
          <w:rFonts w:hint="eastAsia" w:ascii="宋体" w:hAnsi="宋体" w:cs="宋体"/>
          <w:color w:val="000000"/>
          <w:sz w:val="24"/>
          <w:szCs w:val="24"/>
        </w:rPr>
      </w:pPr>
      <w:r>
        <w:rPr>
          <w:rFonts w:hint="eastAsia" w:ascii="宋体" w:hAnsi="宋体" w:cs="宋体"/>
          <w:color w:val="000000"/>
          <w:sz w:val="24"/>
          <w:szCs w:val="24"/>
        </w:rPr>
        <w:t>12.2废标后，除采购任务取消情形外，按照以下方式处理：</w:t>
      </w:r>
    </w:p>
    <w:p w14:paraId="4B9BAA56">
      <w:pPr>
        <w:snapToGrid w:val="0"/>
        <w:spacing w:line="360" w:lineRule="auto"/>
        <w:ind w:firstLine="470" w:firstLineChars="196"/>
        <w:rPr>
          <w:rFonts w:hint="eastAsia" w:ascii="宋体" w:hAnsi="宋体" w:cs="宋体"/>
          <w:color w:val="000000"/>
          <w:sz w:val="24"/>
          <w:szCs w:val="24"/>
        </w:rPr>
      </w:pPr>
      <w:r>
        <w:rPr>
          <w:rFonts w:hint="eastAsia" w:ascii="宋体" w:hAnsi="宋体" w:cs="宋体"/>
          <w:color w:val="000000"/>
          <w:sz w:val="24"/>
          <w:szCs w:val="24"/>
        </w:rPr>
        <w:t>（1）竞争性谈判文件存在不合理条款或者采购程序不符合规定的，采购人、采购代理机构改正后依法重新采购；</w:t>
      </w:r>
    </w:p>
    <w:p w14:paraId="2DE27FFB">
      <w:pPr>
        <w:snapToGrid w:val="0"/>
        <w:spacing w:line="360" w:lineRule="auto"/>
        <w:ind w:firstLine="470" w:firstLineChars="196"/>
        <w:rPr>
          <w:rFonts w:hint="eastAsia" w:ascii="宋体" w:hAnsi="宋体" w:cs="宋体"/>
          <w:color w:val="000000"/>
          <w:sz w:val="24"/>
          <w:szCs w:val="24"/>
        </w:rPr>
      </w:pPr>
      <w:r>
        <w:rPr>
          <w:rFonts w:hint="eastAsia" w:ascii="宋体" w:hAnsi="宋体" w:cs="宋体"/>
          <w:color w:val="000000"/>
          <w:sz w:val="24"/>
          <w:szCs w:val="24"/>
        </w:rPr>
        <w:t>（2）竞争性谈判文件没有不合理条款、采购程序符合规定，需要采用其他采购方式采购的，采购人应当依法报财政部门批准。</w:t>
      </w:r>
    </w:p>
    <w:p w14:paraId="655498BF">
      <w:pPr>
        <w:spacing w:line="360" w:lineRule="auto"/>
        <w:jc w:val="left"/>
        <w:rPr>
          <w:rFonts w:hint="eastAsia" w:ascii="宋体" w:hAnsi="宋体" w:cs="宋体"/>
          <w:b/>
          <w:bCs/>
          <w:color w:val="000000"/>
          <w:sz w:val="24"/>
          <w:szCs w:val="24"/>
        </w:rPr>
      </w:pPr>
      <w:r>
        <w:rPr>
          <w:rFonts w:hint="eastAsia" w:ascii="宋体" w:hAnsi="宋体" w:cs="宋体"/>
          <w:b/>
          <w:bCs/>
          <w:color w:val="000000"/>
          <w:sz w:val="24"/>
          <w:szCs w:val="24"/>
        </w:rPr>
        <w:t>13. 串标认定</w:t>
      </w:r>
    </w:p>
    <w:p w14:paraId="7974CC0C">
      <w:pPr>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供应商有下列情形之一的，应认定为串通行为：</w:t>
      </w:r>
    </w:p>
    <w:p w14:paraId="10C4E172">
      <w:pPr>
        <w:snapToGrid w:val="0"/>
        <w:spacing w:line="360" w:lineRule="auto"/>
        <w:ind w:firstLine="470" w:firstLineChars="196"/>
        <w:rPr>
          <w:rFonts w:hint="eastAsia" w:ascii="宋体" w:hAnsi="宋体" w:cs="宋体"/>
          <w:color w:val="000000"/>
          <w:sz w:val="24"/>
          <w:szCs w:val="24"/>
        </w:rPr>
      </w:pPr>
      <w:r>
        <w:rPr>
          <w:rFonts w:hint="eastAsia" w:ascii="宋体" w:hAnsi="宋体" w:cs="宋体"/>
          <w:color w:val="000000"/>
          <w:sz w:val="24"/>
          <w:szCs w:val="24"/>
        </w:rPr>
        <w:t>（1）不同供应商的谈判响应文件由同一单位或者个人编制；</w:t>
      </w:r>
    </w:p>
    <w:p w14:paraId="6C099A45">
      <w:pPr>
        <w:snapToGrid w:val="0"/>
        <w:spacing w:line="360" w:lineRule="auto"/>
        <w:ind w:firstLine="470" w:firstLineChars="196"/>
        <w:rPr>
          <w:rFonts w:hint="eastAsia" w:ascii="宋体" w:hAnsi="宋体" w:cs="宋体"/>
          <w:color w:val="000000"/>
          <w:sz w:val="24"/>
          <w:szCs w:val="24"/>
        </w:rPr>
      </w:pPr>
      <w:r>
        <w:rPr>
          <w:rFonts w:hint="eastAsia" w:ascii="宋体" w:hAnsi="宋体" w:cs="宋体"/>
          <w:color w:val="000000"/>
          <w:sz w:val="24"/>
          <w:szCs w:val="24"/>
        </w:rPr>
        <w:t>（2）不同供应商委托同一单位或者个人办理谈判事宜；</w:t>
      </w:r>
    </w:p>
    <w:p w14:paraId="47702A53">
      <w:pPr>
        <w:snapToGrid w:val="0"/>
        <w:spacing w:line="360" w:lineRule="auto"/>
        <w:ind w:firstLine="470" w:firstLineChars="196"/>
        <w:rPr>
          <w:rFonts w:hint="eastAsia" w:ascii="宋体" w:hAnsi="宋体" w:cs="宋体"/>
          <w:color w:val="000000"/>
          <w:sz w:val="24"/>
          <w:szCs w:val="24"/>
        </w:rPr>
      </w:pPr>
      <w:r>
        <w:rPr>
          <w:rFonts w:hint="eastAsia" w:ascii="宋体" w:hAnsi="宋体" w:cs="宋体"/>
          <w:color w:val="000000"/>
          <w:sz w:val="24"/>
          <w:szCs w:val="24"/>
        </w:rPr>
        <w:t>（3）不同供应商的谈判响应文件载明的项目管理成员或者联系人员为同一人；</w:t>
      </w:r>
    </w:p>
    <w:p w14:paraId="3514834D">
      <w:pPr>
        <w:snapToGrid w:val="0"/>
        <w:spacing w:line="360" w:lineRule="auto"/>
        <w:ind w:firstLine="470" w:firstLineChars="196"/>
        <w:rPr>
          <w:rFonts w:hint="eastAsia" w:ascii="宋体" w:hAnsi="宋体" w:cs="宋体"/>
          <w:color w:val="000000"/>
          <w:sz w:val="24"/>
          <w:szCs w:val="24"/>
        </w:rPr>
      </w:pPr>
      <w:r>
        <w:rPr>
          <w:rFonts w:hint="eastAsia" w:ascii="宋体" w:hAnsi="宋体" w:cs="宋体"/>
          <w:color w:val="000000"/>
          <w:sz w:val="24"/>
          <w:szCs w:val="24"/>
        </w:rPr>
        <w:t>（4）不同供应商的谈判响应文件异常一致或者谈判响应报价呈规律性差异；</w:t>
      </w:r>
    </w:p>
    <w:p w14:paraId="6EFDEFF2">
      <w:pPr>
        <w:snapToGrid w:val="0"/>
        <w:spacing w:line="360" w:lineRule="auto"/>
        <w:ind w:firstLine="470" w:firstLineChars="196"/>
        <w:rPr>
          <w:rFonts w:hint="eastAsia" w:ascii="宋体" w:hAnsi="宋体" w:cs="宋体"/>
          <w:color w:val="000000"/>
          <w:sz w:val="24"/>
          <w:szCs w:val="24"/>
        </w:rPr>
      </w:pPr>
      <w:r>
        <w:rPr>
          <w:rFonts w:hint="eastAsia" w:ascii="宋体" w:hAnsi="宋体" w:cs="宋体"/>
          <w:color w:val="000000"/>
          <w:sz w:val="24"/>
          <w:szCs w:val="24"/>
        </w:rPr>
        <w:t>（5）不同供应商的谈判响应文件相互混装；</w:t>
      </w:r>
    </w:p>
    <w:p w14:paraId="1EEB01FD">
      <w:pPr>
        <w:snapToGrid w:val="0"/>
        <w:spacing w:line="360" w:lineRule="auto"/>
        <w:ind w:firstLine="470" w:firstLineChars="196"/>
        <w:rPr>
          <w:rFonts w:hint="eastAsia" w:ascii="宋体" w:hAnsi="宋体" w:cs="宋体"/>
          <w:color w:val="000000"/>
          <w:sz w:val="24"/>
          <w:szCs w:val="24"/>
        </w:rPr>
      </w:pPr>
      <w:r>
        <w:rPr>
          <w:rFonts w:hint="eastAsia" w:ascii="宋体" w:hAnsi="宋体" w:cs="宋体"/>
          <w:color w:val="000000"/>
          <w:sz w:val="24"/>
          <w:szCs w:val="24"/>
        </w:rPr>
        <w:t>（6）不同供应商的谈判保证金从同一单位或者个人的账户转出。</w:t>
      </w:r>
    </w:p>
    <w:p w14:paraId="38B8101E">
      <w:pPr>
        <w:spacing w:line="360" w:lineRule="auto"/>
        <w:jc w:val="left"/>
        <w:rPr>
          <w:rFonts w:hint="eastAsia" w:ascii="宋体" w:hAnsi="宋体" w:cs="宋体"/>
          <w:b/>
          <w:color w:val="000000"/>
          <w:sz w:val="24"/>
          <w:szCs w:val="24"/>
        </w:rPr>
      </w:pPr>
      <w:r>
        <w:rPr>
          <w:rFonts w:hint="eastAsia" w:ascii="宋体" w:hAnsi="宋体" w:cs="宋体"/>
          <w:b/>
          <w:color w:val="000000"/>
          <w:sz w:val="24"/>
          <w:szCs w:val="24"/>
        </w:rPr>
        <w:t>14. 质疑和投诉</w:t>
      </w:r>
    </w:p>
    <w:p w14:paraId="084F1423">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质疑、投诉的接收和处理严格按照《中华人共和国政府采购法》、《政府采购质疑和投诉办法》财政部令第94号、《财政部关于加强政府采购供应商投诉受理审查工作的通知》等的相关规定办理。</w:t>
      </w:r>
    </w:p>
    <w:p w14:paraId="5CC42FE5">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14.1 供应商认为竞争性谈判文件、采购过程和成交或者成交结果使自己的权益受到损害的，可以在知道或者应知其权益受到损害之日起七个工作日内，一次性以书面原件形式向采购代理机构提出质疑，逾期质疑无效。质疑、投诉的接收和处理严格按照《中华人共和国政府采购法》、《政府采购供应商投诉处理办法》、《财政部关于加强政府采购供应商投诉受理审查工作的通知》等的相关规定办理。</w:t>
      </w:r>
    </w:p>
    <w:p w14:paraId="6D6E5255">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供应商应知其权益受到损害之日是指：</w:t>
      </w:r>
    </w:p>
    <w:p w14:paraId="3C598788">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1）对竞争性谈判文件提出质疑的，为收到竞争性谈判文件之日；</w:t>
      </w:r>
    </w:p>
    <w:p w14:paraId="51B14199">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2）对采购过程提出质疑的，为各采购程序环节结束之日；</w:t>
      </w:r>
    </w:p>
    <w:p w14:paraId="182E7894">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3）对成交或者成交结果提出质疑的，为成交或者成交结果公告发布之日。</w:t>
      </w:r>
    </w:p>
    <w:p w14:paraId="49D4921E">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14.1.1 质疑文件应当包括下列主要内容：</w:t>
      </w:r>
    </w:p>
    <w:p w14:paraId="7AF66641">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1）质疑供应商和相关供应商的名称、地址、联系人及联系电话等；</w:t>
      </w:r>
    </w:p>
    <w:p w14:paraId="59BDD841">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2）质疑项目及编号、质疑事项；</w:t>
      </w:r>
    </w:p>
    <w:p w14:paraId="631E0D34">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3）认为竞争性谈判文件、采购过程、成交或者成交结果使自己的合法权益受到损害的法律依据、事实依据、相关证明材料及证据来源；</w:t>
      </w:r>
    </w:p>
    <w:p w14:paraId="12ED6AB2">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4）提出质疑的日期。</w:t>
      </w:r>
    </w:p>
    <w:p w14:paraId="3922EA3C">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14.1.2 质疑函应当署名。质疑供应商为自然人的，应当由本人签字；质疑供应商为法人或者其他组织的，应当由法定代表人或者主要负责人签字盖章并加盖公章。</w:t>
      </w:r>
    </w:p>
    <w:p w14:paraId="0B80C2C9">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14.1.3 供应商质疑应当有明确的请求和必要的证明材料。质疑内容不得含有虚假、恶意成份。依照谁主张谁举证的原则，提出质疑者必须同时提交相关确凿的证据材料和注明证据的确切来源，证据来源必须合法，采购代理机构有权将质疑函转发质疑事项各关联方，请其作出解释说明。对捏造事实、滥用维权扰乱采购秩序的恶意质疑者，将依法处理。</w:t>
      </w:r>
    </w:p>
    <w:p w14:paraId="65BD5B54">
      <w:pPr>
        <w:wordWrap w:val="0"/>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14.1.4 质疑文件提交方式：由自然人本人或法定代表人或者主要负责人携带书面原件及身份证明原件到现场提交（自然人本人或法定代表人或者主要负责人不能到达现场的，可以委托他人到现场代交，但必须出具授权委托书原件，明确委托事宜。同时被委托人须携带身份证明原件），否则不予受理，并将质疑文件的可编辑电子版发送至317633613@qq.com电子邮箱中。</w:t>
      </w:r>
    </w:p>
    <w:p w14:paraId="2C659C34">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14.1.5 供应商在法定质疑期内一次性提出针对同一采购程序环节的质疑。</w:t>
      </w:r>
    </w:p>
    <w:p w14:paraId="512645F0">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14.1.6 潜在供应商已依法获取其可质疑的竞争性谈判文件的（必须为从合法渠道获取竞争性谈判文件的供应商），可以对该文件提出质疑。</w:t>
      </w:r>
    </w:p>
    <w:p w14:paraId="4455FA3A">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14.1.7 质疑受理部门： 陕西中辉招标造价咨询有限公司采购部</w:t>
      </w:r>
    </w:p>
    <w:p w14:paraId="316D6E72">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14.1.8 提交质疑文件地点： 西安市雁塔区雁展路1111号莱安中心T7-1902室</w:t>
      </w:r>
    </w:p>
    <w:p w14:paraId="4E32CA0E">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 xml:space="preserve">14.1.9 联系人及联系电话：李工 </w:t>
      </w:r>
    </w:p>
    <w:p w14:paraId="0D7E4F3C">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14.1.10 采购人、采购代理机构不得拒收质疑供应商在法定质疑期内发出的质疑函，应当在收到质疑函后7个工作日内作出答复，并以书面形式通知质疑供应商和其他有关供应商。本次采购活动中，采购代理机构对质疑回复等文件的送达方式为现场取件或电子邮件。</w:t>
      </w:r>
    </w:p>
    <w:p w14:paraId="41B26399">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14.1.11 质疑函应当使用中文。质疑函范本应使用财政规定范本格式。</w:t>
      </w:r>
    </w:p>
    <w:p w14:paraId="73A3C443">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14.2 对捏造事实、提供虚假材料进行质疑的行为予以严肃处理：</w:t>
      </w:r>
    </w:p>
    <w:p w14:paraId="6CAD3CD1">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依据《中华人民共和国政府采购法》及其实施条例及其实施条例、《政府采购供应商投诉处理办法》等法律法规的规定，供应商质疑应当有明确的请求和必要的证明材料。对于捏造事实、提供虚假材料或者以非法手段取得证明材料进行质疑的，应上报同级财政部门予以处理，并将其列入不良行为记录名单，禁止其一至三年内参加政府采购活动。</w:t>
      </w:r>
    </w:p>
    <w:p w14:paraId="4D030F24">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14.3 对捏造事实诬告陷害他人、诽谤他人的法律适用：</w:t>
      </w:r>
    </w:p>
    <w:p w14:paraId="0968C39B">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《中华人民共和国刑法》第243条【诬告陷害罪】捏造事实诬告陷害他人，意图使他人受刑事追究，情节严重的，处三年以下有期徒刑、拘役或者管制；造成严重后果的，处三年以上十年以下有期徒刑。</w:t>
      </w:r>
    </w:p>
    <w:p w14:paraId="1324B786">
      <w:pPr>
        <w:pStyle w:val="78"/>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《中华人民共和国刑法》第246条【侮辱罪、诽谤罪】以暴力或者其他方法公然侮辱他人或者捏造事实诽谤他人，情节严重的，处三年以下有期徒刑、拘役、管制或者剥夺政治权利。</w:t>
      </w:r>
    </w:p>
    <w:p w14:paraId="02A15B96">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14.4 投诉</w:t>
      </w:r>
    </w:p>
    <w:p w14:paraId="03433D0C">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14.4.1 质疑供应商对采购人、采购代理机构的答复不满意，或者采购人、采购代理机构未在规定时间内作出答复的，可以在答复期满后15个工作日内向财政部门提起投诉。投诉应当有明确的请求和必要的证明材料。</w:t>
      </w:r>
    </w:p>
    <w:p w14:paraId="4589A7A3">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14.4.2 投诉的事项不得超出已质疑事项的范围。</w:t>
      </w:r>
    </w:p>
    <w:p w14:paraId="4CF1047B">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14.4.3 供应商在全国范围12个月内三次以上投诉查无实据的，由财政部门列入不良行为记录名单。供应商捏造事实、提供虚假材料或者以非法手段取得证明材料进行投诉的，由财政部门列入不良行为记录名单，禁止其1至3年内参加政府采购活动。</w:t>
      </w:r>
    </w:p>
    <w:p w14:paraId="5545C6F0">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rPr>
        <w:t>14.4.4 供应商或者其他利害关系人对竞争性谈判文件、开标和评审结果提出投诉的，应当按照供应商须知的规定先向采购代理机构及采购人提出质疑。</w:t>
      </w:r>
    </w:p>
    <w:p w14:paraId="70EDC05F">
      <w:pPr>
        <w:spacing w:line="360" w:lineRule="auto"/>
        <w:jc w:val="left"/>
        <w:rPr>
          <w:rFonts w:hint="eastAsia" w:ascii="宋体" w:hAnsi="宋体" w:cs="宋体"/>
          <w:b/>
          <w:color w:val="000000"/>
          <w:sz w:val="24"/>
          <w:szCs w:val="24"/>
        </w:rPr>
      </w:pPr>
      <w:r>
        <w:rPr>
          <w:rFonts w:hint="eastAsia" w:ascii="宋体" w:hAnsi="宋体" w:cs="宋体"/>
          <w:b/>
          <w:color w:val="000000"/>
          <w:sz w:val="24"/>
          <w:szCs w:val="24"/>
        </w:rPr>
        <w:t>15. 需要落实的政府采购政策：</w:t>
      </w:r>
    </w:p>
    <w:p w14:paraId="6BF9FEE2">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15.1中小企业落实政府采购政策</w:t>
      </w:r>
    </w:p>
    <w:p w14:paraId="70B42666">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根据《政府采购促进中小企业发展管理办法》（财库〔2020〕46号）的规定，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A321276">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2.在政府采购活动中，供应商提供的货物、工程或者服务符合下列情形的，享受本办法规定的中小企业扶持政策：</w:t>
      </w:r>
    </w:p>
    <w:p w14:paraId="7DFB18FF">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3.在货物采购项目中，货物由中小企业制造，即货物由中小企业生产且使用该中小企业商号或者注册商标；</w:t>
      </w:r>
    </w:p>
    <w:p w14:paraId="24FAF090">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4.在工程采购项目中，工程由中小企业承建，即工程施工单位为中小企业；</w:t>
      </w:r>
    </w:p>
    <w:p w14:paraId="49EB9CF4">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5.在服务采购项目中，服务由中小企业承接，即提供服务的人员为中小企业依照《中华人民共和国劳动合同法》订立劳动合同的从业人员。</w:t>
      </w:r>
    </w:p>
    <w:p w14:paraId="6EF111E8">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6.在货物采购项目中，供应商提供的货物既有中小企业制造货物，也有大型企业制造货物的，不享受本办法规定的中小企业扶持政策。</w:t>
      </w:r>
    </w:p>
    <w:p w14:paraId="3148E63F">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7.以联合体形式参加政府采购活动，联合体各方均为中小企业的，联合体视同中小企业。其中，联合体各方均为小微企业的，联合体视同小微企业。</w:t>
      </w:r>
    </w:p>
    <w:p w14:paraId="54B5C731">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8.中小企业划分标准参照《关于印发中小企业划型标准规定的通知》（工信部联企业〔2011〕300号）执行，本项目所属行业为其他未列明行业（此项所属行业仅供</w:t>
      </w:r>
    </w:p>
    <w:p w14:paraId="5CA78781">
      <w:pPr>
        <w:pStyle w:val="26"/>
        <w:spacing w:line="360" w:lineRule="auto"/>
        <w:ind w:firstLine="0" w:firstLineChars="0"/>
        <w:rPr>
          <w:rFonts w:hint="eastAsia" w:ascii="宋体" w:hAnsi="宋体" w:cs="宋体"/>
          <w:color w:val="000000"/>
          <w:sz w:val="24"/>
          <w:szCs w:val="24"/>
        </w:rPr>
      </w:pPr>
      <w:r>
        <w:rPr>
          <w:rFonts w:hint="eastAsia" w:ascii="宋体" w:hAnsi="宋体" w:cs="宋体"/>
          <w:color w:val="000000"/>
          <w:sz w:val="24"/>
          <w:szCs w:val="24"/>
        </w:rPr>
        <w:t>中小企业政策扶持认定时使用）。</w:t>
      </w:r>
    </w:p>
    <w:p w14:paraId="22063E80">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9.）本项目不专门面向中小企业采购，投标单位所供制造商若为中小微企业参加政府采购活动，应当出具《政府采购促进中小企业发展管理办法》（财库〔2020〕46号）规定的《中小企业声明函》（格式详见附件）。</w:t>
      </w:r>
    </w:p>
    <w:p w14:paraId="649877C9">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10 价格优惠比例</w:t>
      </w:r>
    </w:p>
    <w:p w14:paraId="48383834">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w:t>
      </w:r>
      <w:bookmarkStart w:id="23" w:name="OLE_LINK5"/>
      <w:r>
        <w:rPr>
          <w:rFonts w:hint="eastAsia" w:ascii="宋体" w:hAnsi="宋体" w:cs="宋体"/>
          <w:color w:val="000000"/>
          <w:sz w:val="24"/>
          <w:szCs w:val="24"/>
        </w:rPr>
        <w:t>根据《政府采购促进中小企业发展管理办法》（财库〔2020〕46号）及《财政部关于进一步加大政府采购支持中小企业力度的通知》（财库〔2022〕19号）的相关规定，对符合规定的小微企业报价给予 10% 的扣除，用扣除后的价格参加评审；在政府采购活动中，监狱企业和残疾人福利性单位视同小型、微型企业，享受预留份额、评审中价格扣除等促进中小企业发展的政府采购政策（不重复优惠，最高为10%）</w:t>
      </w:r>
      <w:bookmarkEnd w:id="23"/>
      <w:r>
        <w:rPr>
          <w:rFonts w:hint="eastAsia" w:ascii="宋体" w:hAnsi="宋体" w:cs="宋体"/>
          <w:color w:val="000000"/>
          <w:sz w:val="24"/>
          <w:szCs w:val="24"/>
        </w:rPr>
        <w:t>。</w:t>
      </w:r>
    </w:p>
    <w:p w14:paraId="2FD10918">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（2）中标（成交）企业享受了中小企业优惠政策的，其《中小企业声明函》或《残疾人福利性单位声明函》或《残疾人福利性单位声明函》等相应证明材料随中标（成交）公告一并公布。</w:t>
      </w:r>
    </w:p>
    <w:p w14:paraId="0156AE45">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15.2监狱企业落实政府采购政策</w:t>
      </w:r>
    </w:p>
    <w:p w14:paraId="75684AA8">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（1）《财政部、司法部关于政府采购支持监狱企业发展有关问题的通知》（财库〔2014〕68号）；</w:t>
      </w:r>
    </w:p>
    <w:p w14:paraId="3D04F4B6">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15.3残疾人落实政府采购政策</w:t>
      </w:r>
    </w:p>
    <w:p w14:paraId="022CBBDE">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（1）《财政部、民政部、中国残疾人联合会关于促进残疾人就业政府采购政策的通知》（财库[2017]141号）；</w:t>
      </w:r>
    </w:p>
    <w:p w14:paraId="092FEDA6">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注：监狱企业、残疾人福利性单位视为小微企业。</w:t>
      </w:r>
    </w:p>
    <w:p w14:paraId="0EBC9D0D">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15.4 节能产品、环境标志产品政策</w:t>
      </w:r>
    </w:p>
    <w:p w14:paraId="74E1B87A">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（1）节能产品、环境标志产品根据以下有关政策规定执行财政部、国家发展改革委关于印发《节能产品政府采购实施意见》的通知（财库【2004】185 号）；</w:t>
      </w:r>
    </w:p>
    <w:p w14:paraId="126F1D31">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（2）《国务院办公厅关于建立政府强制采购节能产品制度的通知》（国办发〔2007〕51号）；</w:t>
      </w:r>
    </w:p>
    <w:p w14:paraId="4BBF9C38">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（3）《财政部、国家环保总局关于环境标志产品政府采购实施的意见》（财库[2006]90号）；</w:t>
      </w:r>
    </w:p>
    <w:p w14:paraId="10D8EBC2">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（4）《财政部、发展改革委、生态环境部、市场监管总局关于调整优化节能产品、环境标志产品政府采购执行机制的通知》（财库〔2019〕9 号）；</w:t>
      </w:r>
    </w:p>
    <w:p w14:paraId="6CD93C07">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（5）《关于印发节能产品政府采购品目清单的通知》（财库〔2019〕19 号）；</w:t>
      </w:r>
    </w:p>
    <w:p w14:paraId="64E0CE7A">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（6）《关于印发环境标志产品政府采购品目清单的通知》（财库〔2019〕18 号）；</w:t>
      </w:r>
    </w:p>
    <w:p w14:paraId="1F5E1AEE">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（7）产品属于优先采购节能、环境标志产品范围的，应当优先采购节能、环境标志产品；产品符合政府采购强制采购政策的，实行强制采购；</w:t>
      </w:r>
    </w:p>
    <w:p w14:paraId="783BD28E">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（8）文件中对所投产品为节能、环境标志产品品目清单中的产品，在报价时必须对此类产品单独分项报价；</w:t>
      </w:r>
    </w:p>
    <w:p w14:paraId="2A099756">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（9）若节能、环境标志品目清单内的产品仅是构成所投产品的部件、组件或零件的，则该所投产品不享受鼓励优惠政策；</w:t>
      </w:r>
    </w:p>
    <w:p w14:paraId="4CFF7A8F">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（10）节能、环境标志产品部分计分只对属于品目清单内的非强制类产品进行计分，强制类产品不给予计分；</w:t>
      </w:r>
    </w:p>
    <w:p w14:paraId="000DA242">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（11）对于同时列入环保品目清单和节能品目清单的产品，应当优先于只列入其中一个清单的产品；</w:t>
      </w:r>
    </w:p>
    <w:p w14:paraId="26167D71">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文件中所投节能、环境标志产品须提供认证证书等相关资料，未提供节能、环境标志产品认证证书等相关资料的不给予计分。</w:t>
      </w:r>
    </w:p>
    <w:p w14:paraId="47D72C1F">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15.5 《关于运用政府采购政策支持乡村产业振兴的通知》（财库〔2021〕19号）；</w:t>
      </w:r>
    </w:p>
    <w:p w14:paraId="24C48119">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15.6 《关于扩大政府采购支持绿色建材促进建筑品质提升政策实施范围的通知》财库〔2022〕35号；</w:t>
      </w:r>
    </w:p>
    <w:p w14:paraId="21995BC6">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陕西省财政厅《关于进一步加强政府绿色采购有关问题的通知》（陕财办采〔2021〕29号）；</w:t>
      </w:r>
    </w:p>
    <w:p w14:paraId="13627D8B">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15.7 《关于运用政府采购政策支持乡村产业振兴的通知》（财库〔2021〕19号）；</w:t>
      </w:r>
    </w:p>
    <w:p w14:paraId="44770354">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15.8 陕西省财政厅关于印发《陕西省中小企业政府采购信用融资办法》（陕财办采〔2018〕23号）。</w:t>
      </w:r>
    </w:p>
    <w:p w14:paraId="24C79272">
      <w:pPr>
        <w:pStyle w:val="26"/>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为了进一步推动金融支持政策更好适应市场主体的需要，扎实落实国务院关于支持中小企业发展的政策措施，积极发挥政府釆购政策功能，有效缓解中小企业融资难、融资贵问题，根据中办、国办《关于促进中小企业健康发展的指导意见》、财政部、工信部《政府采购促进中小企业发展管理办法》（财库〔2020〕46号）、《陕西省中小企业政府釆购信用融资办法》（陕财办采[2018]23号）、《陕西省财政厅关于加快推进我省中小企业政府采购信用融资工作的通知》（陕财办釆［2020］15号）等有关规定，按照市场主导、财政引导、银企自愿、风险自担的原则，成交（成交）投标人可根据自身资金需求，登录陕西省政府采购信用融资平台（http://www.ccgp-shaanxi.gov.cn/zcdservice/zcd/shanxi/）在线申请，依法参加政府采购信用融资活动。目前的合作银行有：北京银行、中国建设银行、中信银行、中国平安银行、中国光大银行、浦发银行、兴业银行、中国工商银行、秦农银行、浙商银行、中国银行、西安银行、中国农业银行、中国邮政储蓄银行（排名不分先后）。</w:t>
      </w:r>
    </w:p>
    <w:p w14:paraId="1749EC98">
      <w:pPr>
        <w:pStyle w:val="26"/>
        <w:spacing w:line="360" w:lineRule="auto"/>
        <w:ind w:firstLine="480" w:firstLineChars="200"/>
        <w:rPr>
          <w:rFonts w:hint="eastAsia" w:ascii="宋体" w:hAnsi="宋体" w:cs="宋体"/>
          <w:b/>
          <w:bCs/>
          <w:sz w:val="32"/>
          <w:szCs w:val="32"/>
        </w:rPr>
      </w:pPr>
      <w:r>
        <w:rPr>
          <w:rFonts w:hint="eastAsia" w:ascii="宋体" w:hAnsi="宋体" w:cs="宋体"/>
          <w:color w:val="000000"/>
          <w:sz w:val="24"/>
          <w:szCs w:val="24"/>
        </w:rPr>
        <w:t>15.9 其他需要落实的政府采购政策。</w:t>
      </w:r>
      <w:bookmarkStart w:id="24" w:name="_Toc10399"/>
      <w:r>
        <w:rPr>
          <w:rFonts w:hint="eastAsia" w:ascii="宋体" w:hAnsi="宋体" w:cs="宋体"/>
          <w:b/>
          <w:bCs/>
          <w:sz w:val="32"/>
          <w:szCs w:val="32"/>
        </w:rPr>
        <w:br w:type="page"/>
      </w:r>
    </w:p>
    <w:p w14:paraId="0A063A25">
      <w:pPr>
        <w:pStyle w:val="2"/>
        <w:rPr>
          <w:rFonts w:hint="eastAsia"/>
        </w:rPr>
      </w:pPr>
      <w:bookmarkStart w:id="25" w:name="_Toc8439"/>
      <w:bookmarkStart w:id="26" w:name="_Toc23262"/>
      <w:bookmarkStart w:id="27" w:name="_Toc26125"/>
      <w:bookmarkStart w:id="28" w:name="_Toc22840"/>
      <w:r>
        <w:rPr>
          <w:rFonts w:hint="eastAsia"/>
        </w:rPr>
        <w:t>第三</w:t>
      </w:r>
      <w:r>
        <w:rPr>
          <w:rFonts w:hint="eastAsia"/>
          <w:lang w:val="en-US"/>
        </w:rPr>
        <w:t>章</w:t>
      </w:r>
      <w:r>
        <w:rPr>
          <w:rFonts w:hint="eastAsia"/>
        </w:rPr>
        <w:t xml:space="preserve"> 评审办法</w:t>
      </w:r>
      <w:bookmarkEnd w:id="24"/>
      <w:bookmarkEnd w:id="25"/>
      <w:bookmarkEnd w:id="26"/>
      <w:bookmarkEnd w:id="27"/>
      <w:bookmarkEnd w:id="28"/>
    </w:p>
    <w:p w14:paraId="2BF15663">
      <w:pPr>
        <w:pStyle w:val="23"/>
        <w:widowControl/>
        <w:spacing w:line="360" w:lineRule="auto"/>
        <w:jc w:val="both"/>
        <w:rPr>
          <w:rFonts w:hint="eastAsia" w:ascii="宋体" w:hAnsi="宋体" w:cs="宋体"/>
          <w:szCs w:val="24"/>
        </w:rPr>
      </w:pPr>
      <w:r>
        <w:rPr>
          <w:rFonts w:hint="eastAsia" w:ascii="宋体" w:hAnsi="宋体" w:cs="宋体"/>
          <w:b/>
          <w:bCs/>
          <w:szCs w:val="24"/>
        </w:rPr>
        <w:t>一、初步评审</w:t>
      </w:r>
    </w:p>
    <w:p w14:paraId="648BEF9A">
      <w:pPr>
        <w:pStyle w:val="23"/>
        <w:widowControl/>
        <w:spacing w:line="360" w:lineRule="auto"/>
        <w:rPr>
          <w:rFonts w:hint="eastAsia" w:ascii="宋体" w:hAnsi="宋体" w:cs="宋体"/>
          <w:szCs w:val="24"/>
          <w:lang w:val="zh-CN"/>
        </w:rPr>
      </w:pPr>
      <w:r>
        <w:rPr>
          <w:rFonts w:hint="eastAsia" w:ascii="宋体" w:hAnsi="宋体" w:cs="宋体"/>
          <w:szCs w:val="24"/>
        </w:rPr>
        <w:t>1、</w:t>
      </w:r>
      <w:r>
        <w:rPr>
          <w:rFonts w:hint="eastAsia" w:ascii="宋体" w:hAnsi="宋体" w:cs="宋体"/>
          <w:szCs w:val="24"/>
          <w:lang w:val="zh-CN"/>
        </w:rPr>
        <w:t>评审办法及内容</w:t>
      </w:r>
    </w:p>
    <w:p w14:paraId="6773C667">
      <w:pPr>
        <w:autoSpaceDE w:val="0"/>
        <w:autoSpaceDN w:val="0"/>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1.1 评审方式：采用最低评标价法（最低评标价法，即在全部满足竞争性谈判文件实质性要求前提下，依据统一的价格要素评定最低报价，以最低报价的谈判供应商作为成交候选供应商并依次排序）。</w:t>
      </w:r>
    </w:p>
    <w:p w14:paraId="5F8F46FE">
      <w:pPr>
        <w:autoSpaceDE w:val="0"/>
        <w:autoSpaceDN w:val="0"/>
        <w:adjustRightInd w:val="0"/>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宋体" w:hAnsi="宋体" w:cs="宋体"/>
          <w:sz w:val="24"/>
          <w:szCs w:val="24"/>
        </w:rPr>
        <w:t xml:space="preserve">1.2 </w:t>
      </w:r>
      <w:r>
        <w:rPr>
          <w:rFonts w:hint="eastAsia" w:asciiTheme="minorEastAsia" w:hAnsiTheme="minorEastAsia" w:eastAsiaTheme="minorEastAsia" w:cstheme="minorEastAsia"/>
          <w:sz w:val="24"/>
          <w:szCs w:val="24"/>
        </w:rPr>
        <w:t>初步评审</w:t>
      </w:r>
    </w:p>
    <w:p w14:paraId="16A3557E">
      <w:pPr>
        <w:autoSpaceDE w:val="0"/>
        <w:autoSpaceDN w:val="0"/>
        <w:adjustRightInd w:val="0"/>
        <w:snapToGrid w:val="0"/>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 xml:space="preserve">1.2.1 </w:t>
      </w:r>
      <w:r>
        <w:rPr>
          <w:rFonts w:hint="eastAsia" w:ascii="宋体" w:hAnsi="宋体" w:cs="宋体"/>
          <w:sz w:val="24"/>
          <w:szCs w:val="24"/>
          <w:lang w:val="zh-CN"/>
        </w:rPr>
        <w:t>谈判响应文件的资格性审查：依据谈判文件的规定，由</w:t>
      </w:r>
      <w:r>
        <w:rPr>
          <w:rFonts w:hint="eastAsia" w:ascii="宋体" w:hAnsi="宋体" w:cs="宋体"/>
          <w:sz w:val="24"/>
          <w:szCs w:val="24"/>
        </w:rPr>
        <w:t>谈判小组</w:t>
      </w:r>
      <w:r>
        <w:rPr>
          <w:rFonts w:hint="eastAsia" w:ascii="宋体" w:hAnsi="宋体" w:cs="宋体"/>
          <w:sz w:val="24"/>
          <w:szCs w:val="24"/>
          <w:lang w:val="zh-CN"/>
        </w:rPr>
        <w:t>对谈判响应文件中的资格证明文件进行审查，以确保供应商是否具备相应资格。</w:t>
      </w:r>
    </w:p>
    <w:tbl>
      <w:tblPr>
        <w:tblStyle w:val="28"/>
        <w:tblW w:w="90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901"/>
        <w:gridCol w:w="1230"/>
        <w:gridCol w:w="6215"/>
      </w:tblGrid>
      <w:tr w14:paraId="6CACA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131386BD">
            <w:pPr>
              <w:spacing w:line="360" w:lineRule="auto"/>
              <w:rPr>
                <w:rFonts w:hint="eastAsia" w:ascii="宋体" w:hAnsi="宋体" w:cs="宋体"/>
                <w:bCs/>
                <w:sz w:val="24"/>
                <w:szCs w:val="24"/>
              </w:rPr>
            </w:pPr>
            <w:r>
              <w:rPr>
                <w:rFonts w:hint="eastAsia" w:ascii="宋体" w:hAnsi="宋体" w:cs="宋体"/>
                <w:sz w:val="24"/>
                <w:szCs w:val="24"/>
                <w:lang w:val="zh-CN"/>
              </w:rPr>
              <w:br w:type="page"/>
            </w:r>
            <w:r>
              <w:rPr>
                <w:rFonts w:hint="eastAsia" w:ascii="宋体" w:hAnsi="宋体" w:cs="宋体"/>
                <w:bCs/>
                <w:sz w:val="24"/>
                <w:szCs w:val="24"/>
                <w:lang w:bidi="ar"/>
              </w:rPr>
              <w:t>序号</w:t>
            </w:r>
          </w:p>
        </w:tc>
        <w:tc>
          <w:tcPr>
            <w:tcW w:w="8346" w:type="dxa"/>
            <w:gridSpan w:val="3"/>
            <w:tcBorders>
              <w:top w:val="single" w:color="auto" w:sz="4" w:space="0"/>
              <w:left w:val="single" w:color="auto" w:sz="4" w:space="0"/>
              <w:bottom w:val="single" w:color="auto" w:sz="4" w:space="0"/>
              <w:right w:val="single" w:color="auto" w:sz="4" w:space="0"/>
            </w:tcBorders>
            <w:vAlign w:val="center"/>
          </w:tcPr>
          <w:p w14:paraId="6F24AA78">
            <w:pPr>
              <w:spacing w:line="360" w:lineRule="auto"/>
              <w:jc w:val="center"/>
              <w:rPr>
                <w:rFonts w:hint="eastAsia" w:ascii="宋体" w:hAnsi="宋体" w:cs="宋体"/>
                <w:bCs/>
                <w:kern w:val="28"/>
                <w:sz w:val="24"/>
                <w:szCs w:val="24"/>
              </w:rPr>
            </w:pPr>
            <w:r>
              <w:rPr>
                <w:rFonts w:hint="eastAsia" w:ascii="宋体" w:hAnsi="宋体" w:cs="宋体"/>
                <w:bCs/>
                <w:sz w:val="24"/>
                <w:szCs w:val="24"/>
              </w:rPr>
              <w:t>资格性审查标准</w:t>
            </w:r>
          </w:p>
        </w:tc>
      </w:tr>
      <w:tr w14:paraId="742AB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3" w:hRule="atLeast"/>
          <w:jc w:val="center"/>
        </w:trPr>
        <w:tc>
          <w:tcPr>
            <w:tcW w:w="701" w:type="dxa"/>
            <w:tcBorders>
              <w:top w:val="single" w:color="auto" w:sz="4" w:space="0"/>
              <w:left w:val="single" w:color="auto" w:sz="4" w:space="0"/>
              <w:bottom w:val="single" w:color="auto" w:sz="4" w:space="0"/>
              <w:right w:val="single" w:color="auto" w:sz="4" w:space="0"/>
            </w:tcBorders>
            <w:vAlign w:val="center"/>
          </w:tcPr>
          <w:p w14:paraId="36457789">
            <w:pPr>
              <w:spacing w:line="360" w:lineRule="auto"/>
              <w:jc w:val="center"/>
              <w:rPr>
                <w:rFonts w:hint="eastAsia" w:ascii="宋体" w:hAnsi="宋体" w:cs="宋体"/>
                <w:bCs/>
                <w:sz w:val="24"/>
                <w:szCs w:val="24"/>
                <w:lang w:bidi="ar"/>
              </w:rPr>
            </w:pPr>
            <w:r>
              <w:rPr>
                <w:rFonts w:hint="eastAsia" w:ascii="宋体" w:hAnsi="宋体" w:cs="宋体"/>
                <w:bCs/>
                <w:sz w:val="24"/>
                <w:szCs w:val="24"/>
                <w:lang w:bidi="ar"/>
              </w:rPr>
              <w:t>1</w:t>
            </w:r>
          </w:p>
        </w:tc>
        <w:tc>
          <w:tcPr>
            <w:tcW w:w="2131" w:type="dxa"/>
            <w:gridSpan w:val="2"/>
            <w:tcBorders>
              <w:top w:val="single" w:color="auto" w:sz="4" w:space="0"/>
              <w:left w:val="single" w:color="auto" w:sz="4" w:space="0"/>
              <w:bottom w:val="single" w:color="auto" w:sz="4" w:space="0"/>
              <w:right w:val="single" w:color="auto" w:sz="4" w:space="0"/>
            </w:tcBorders>
            <w:vAlign w:val="center"/>
          </w:tcPr>
          <w:p w14:paraId="22078E13">
            <w:pPr>
              <w:spacing w:line="360" w:lineRule="auto"/>
              <w:jc w:val="center"/>
              <w:rPr>
                <w:rFonts w:hint="eastAsia" w:ascii="宋体" w:hAnsi="宋体" w:cs="宋体"/>
                <w:bCs/>
                <w:sz w:val="24"/>
                <w:szCs w:val="24"/>
              </w:rPr>
            </w:pPr>
            <w:r>
              <w:rPr>
                <w:rFonts w:hint="eastAsia" w:ascii="宋体" w:hAnsi="宋体" w:cs="宋体"/>
                <w:bCs/>
                <w:sz w:val="24"/>
                <w:szCs w:val="24"/>
              </w:rPr>
              <w:t>基本资格</w:t>
            </w:r>
          </w:p>
          <w:p w14:paraId="16E23770">
            <w:pPr>
              <w:spacing w:line="360" w:lineRule="auto"/>
              <w:jc w:val="center"/>
              <w:rPr>
                <w:rFonts w:hint="eastAsia" w:ascii="宋体" w:hAnsi="宋体" w:cs="宋体"/>
                <w:bCs/>
                <w:kern w:val="28"/>
                <w:sz w:val="24"/>
                <w:szCs w:val="24"/>
                <w:lang w:bidi="ar"/>
              </w:rPr>
            </w:pPr>
            <w:r>
              <w:rPr>
                <w:rFonts w:hint="eastAsia" w:ascii="宋体" w:hAnsi="宋体" w:cs="宋体"/>
                <w:bCs/>
                <w:sz w:val="24"/>
                <w:szCs w:val="24"/>
              </w:rPr>
              <w:t>条件</w:t>
            </w:r>
          </w:p>
        </w:tc>
        <w:tc>
          <w:tcPr>
            <w:tcW w:w="6215" w:type="dxa"/>
            <w:tcBorders>
              <w:top w:val="single" w:color="auto" w:sz="4" w:space="0"/>
              <w:left w:val="single" w:color="auto" w:sz="4" w:space="0"/>
              <w:bottom w:val="single" w:color="auto" w:sz="4" w:space="0"/>
              <w:right w:val="single" w:color="auto" w:sz="4" w:space="0"/>
            </w:tcBorders>
            <w:vAlign w:val="center"/>
          </w:tcPr>
          <w:p w14:paraId="7F757091">
            <w:pPr>
              <w:snapToGrid w:val="0"/>
              <w:spacing w:line="440" w:lineRule="exact"/>
              <w:rPr>
                <w:rFonts w:hint="eastAsia" w:ascii="宋体" w:hAnsi="宋体" w:cs="宋体"/>
                <w:bCs/>
                <w:sz w:val="24"/>
                <w:szCs w:val="24"/>
              </w:rPr>
            </w:pPr>
            <w:r>
              <w:rPr>
                <w:rFonts w:hint="eastAsia" w:ascii="宋体" w:hAnsi="宋体" w:cs="宋体"/>
                <w:bCs/>
                <w:sz w:val="24"/>
                <w:szCs w:val="24"/>
              </w:rPr>
              <w:t>供应商应符合《中华人民共和国政府采购法》第二十二条的规定；</w:t>
            </w:r>
          </w:p>
          <w:p w14:paraId="576C634F">
            <w:pPr>
              <w:snapToGrid w:val="0"/>
              <w:spacing w:line="440" w:lineRule="exact"/>
              <w:rPr>
                <w:rFonts w:hint="eastAsia" w:ascii="宋体" w:hAnsi="宋体" w:cs="宋体"/>
                <w:bCs/>
                <w:kern w:val="28"/>
                <w:sz w:val="24"/>
                <w:szCs w:val="24"/>
                <w:lang w:bidi="ar"/>
              </w:rPr>
            </w:pPr>
            <w:r>
              <w:rPr>
                <w:rFonts w:hint="eastAsia" w:ascii="宋体" w:hAnsi="宋体" w:cs="宋体"/>
                <w:b/>
                <w:sz w:val="24"/>
                <w:szCs w:val="24"/>
              </w:rPr>
              <w:t>注：以谈判响应文件中所附的加盖单位公章的承诺书为准。</w:t>
            </w:r>
          </w:p>
        </w:tc>
      </w:tr>
      <w:tr w14:paraId="51D0C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2" w:hRule="atLeast"/>
          <w:jc w:val="center"/>
        </w:trPr>
        <w:tc>
          <w:tcPr>
            <w:tcW w:w="701" w:type="dxa"/>
            <w:vMerge w:val="restart"/>
            <w:tcBorders>
              <w:top w:val="single" w:color="auto" w:sz="4" w:space="0"/>
              <w:left w:val="single" w:color="auto" w:sz="4" w:space="0"/>
              <w:right w:val="single" w:color="auto" w:sz="4" w:space="0"/>
            </w:tcBorders>
            <w:vAlign w:val="center"/>
          </w:tcPr>
          <w:p w14:paraId="371C0A54">
            <w:pPr>
              <w:spacing w:line="360" w:lineRule="auto"/>
              <w:jc w:val="center"/>
              <w:rPr>
                <w:rFonts w:hint="eastAsia" w:ascii="宋体" w:hAnsi="宋体" w:cs="宋体"/>
                <w:bCs/>
                <w:sz w:val="24"/>
                <w:szCs w:val="24"/>
                <w:lang w:bidi="ar"/>
              </w:rPr>
            </w:pPr>
            <w:r>
              <w:rPr>
                <w:rFonts w:hint="eastAsia" w:ascii="宋体" w:hAnsi="宋体" w:cs="宋体"/>
                <w:bCs/>
                <w:sz w:val="24"/>
                <w:szCs w:val="24"/>
                <w:lang w:bidi="ar"/>
              </w:rPr>
              <w:t>3</w:t>
            </w:r>
          </w:p>
        </w:tc>
        <w:tc>
          <w:tcPr>
            <w:tcW w:w="901" w:type="dxa"/>
            <w:vMerge w:val="restart"/>
            <w:tcBorders>
              <w:top w:val="single" w:color="auto" w:sz="4" w:space="0"/>
              <w:left w:val="single" w:color="auto" w:sz="4" w:space="0"/>
              <w:right w:val="single" w:color="auto" w:sz="4" w:space="0"/>
            </w:tcBorders>
            <w:vAlign w:val="center"/>
          </w:tcPr>
          <w:p w14:paraId="49C5144D">
            <w:pPr>
              <w:spacing w:line="360" w:lineRule="auto"/>
              <w:jc w:val="center"/>
              <w:rPr>
                <w:rFonts w:hint="eastAsia" w:ascii="宋体" w:hAnsi="宋体" w:cs="宋体"/>
                <w:bCs/>
                <w:kern w:val="28"/>
                <w:sz w:val="24"/>
                <w:szCs w:val="24"/>
              </w:rPr>
            </w:pPr>
            <w:r>
              <w:rPr>
                <w:rFonts w:hint="eastAsia" w:ascii="宋体" w:hAnsi="宋体" w:cs="宋体"/>
                <w:bCs/>
                <w:kern w:val="28"/>
                <w:sz w:val="24"/>
                <w:szCs w:val="24"/>
                <w:lang w:bidi="ar"/>
              </w:rPr>
              <w:t>特定资格要求</w:t>
            </w:r>
          </w:p>
        </w:tc>
        <w:tc>
          <w:tcPr>
            <w:tcW w:w="1230" w:type="dxa"/>
            <w:tcBorders>
              <w:top w:val="single" w:color="auto" w:sz="4" w:space="0"/>
              <w:left w:val="single" w:color="auto" w:sz="4" w:space="0"/>
              <w:bottom w:val="single" w:color="auto" w:sz="4" w:space="0"/>
              <w:right w:val="single" w:color="auto" w:sz="4" w:space="0"/>
            </w:tcBorders>
            <w:vAlign w:val="center"/>
          </w:tcPr>
          <w:p w14:paraId="28A8BB5F">
            <w:pPr>
              <w:spacing w:line="360" w:lineRule="auto"/>
              <w:jc w:val="center"/>
              <w:rPr>
                <w:rFonts w:hint="eastAsia" w:ascii="宋体" w:hAnsi="宋体" w:cs="宋体"/>
                <w:bCs/>
                <w:kern w:val="28"/>
                <w:sz w:val="24"/>
                <w:szCs w:val="24"/>
                <w:lang w:bidi="ar"/>
              </w:rPr>
            </w:pPr>
            <w:r>
              <w:rPr>
                <w:rFonts w:hint="eastAsia" w:ascii="宋体" w:hAnsi="宋体" w:cs="宋体"/>
                <w:bCs/>
                <w:kern w:val="28"/>
                <w:sz w:val="24"/>
                <w:szCs w:val="24"/>
                <w:lang w:bidi="ar"/>
              </w:rPr>
              <w:t>营业执照</w:t>
            </w:r>
            <w:r>
              <w:rPr>
                <w:rFonts w:hint="eastAsia" w:ascii="宋体" w:hAnsi="宋体" w:cs="宋体"/>
                <w:bCs/>
                <w:kern w:val="28"/>
                <w:sz w:val="24"/>
                <w:szCs w:val="24"/>
              </w:rPr>
              <w:t>或其他证明资料</w:t>
            </w:r>
          </w:p>
        </w:tc>
        <w:tc>
          <w:tcPr>
            <w:tcW w:w="6215" w:type="dxa"/>
            <w:tcBorders>
              <w:top w:val="single" w:color="auto" w:sz="4" w:space="0"/>
              <w:left w:val="single" w:color="auto" w:sz="4" w:space="0"/>
              <w:bottom w:val="single" w:color="auto" w:sz="4" w:space="0"/>
              <w:right w:val="single" w:color="auto" w:sz="4" w:space="0"/>
            </w:tcBorders>
            <w:vAlign w:val="center"/>
          </w:tcPr>
          <w:p w14:paraId="6C28E67A">
            <w:pPr>
              <w:snapToGrid w:val="0"/>
              <w:spacing w:line="440" w:lineRule="exact"/>
              <w:rPr>
                <w:rFonts w:hint="eastAsia" w:ascii="宋体" w:hAnsi="宋体" w:cs="宋体"/>
                <w:sz w:val="24"/>
                <w:szCs w:val="24"/>
                <w:lang w:val="zh-CN"/>
              </w:rPr>
            </w:pPr>
            <w:r>
              <w:rPr>
                <w:rFonts w:hint="eastAsia" w:ascii="宋体" w:hAnsi="宋体" w:cs="宋体"/>
                <w:bCs/>
                <w:kern w:val="28"/>
                <w:sz w:val="24"/>
                <w:szCs w:val="24"/>
              </w:rPr>
              <w:t>供应商须是在中华人民共和国境内正式注册并具有独立法人资格的企业或其他组织，提供有效的营业执照或其他证明资料</w:t>
            </w:r>
            <w:r>
              <w:rPr>
                <w:rFonts w:hint="eastAsia" w:ascii="宋体" w:hAnsi="宋体" w:cs="宋体"/>
                <w:sz w:val="24"/>
                <w:szCs w:val="24"/>
                <w:lang w:val="zh-CN"/>
              </w:rPr>
              <w:t>；</w:t>
            </w:r>
          </w:p>
          <w:p w14:paraId="781ED4A5">
            <w:pPr>
              <w:snapToGrid w:val="0"/>
              <w:spacing w:line="440" w:lineRule="exact"/>
              <w:rPr>
                <w:rFonts w:hint="eastAsia" w:ascii="宋体" w:hAnsi="宋体" w:cs="宋体"/>
                <w:sz w:val="24"/>
                <w:szCs w:val="24"/>
                <w:lang w:val="zh-CN"/>
              </w:rPr>
            </w:pPr>
            <w:r>
              <w:rPr>
                <w:rFonts w:hint="eastAsia" w:ascii="宋体" w:hAnsi="宋体" w:cs="宋体"/>
                <w:b/>
                <w:bCs/>
                <w:sz w:val="24"/>
                <w:szCs w:val="24"/>
              </w:rPr>
              <w:t>注：以</w:t>
            </w:r>
            <w:r>
              <w:rPr>
                <w:rFonts w:hint="eastAsia" w:ascii="宋体" w:hAnsi="宋体" w:cs="宋体"/>
                <w:b/>
                <w:sz w:val="24"/>
                <w:szCs w:val="24"/>
              </w:rPr>
              <w:t>谈判响应文件中</w:t>
            </w:r>
            <w:r>
              <w:rPr>
                <w:rFonts w:hint="eastAsia" w:ascii="宋体" w:hAnsi="宋体" w:cs="宋体"/>
                <w:b/>
                <w:bCs/>
                <w:sz w:val="24"/>
                <w:szCs w:val="24"/>
              </w:rPr>
              <w:t>所附加盖供应商单位公章的营业执照及其它资料为准</w:t>
            </w:r>
            <w:bookmarkStart w:id="93" w:name="_GoBack"/>
            <w:bookmarkEnd w:id="93"/>
          </w:p>
        </w:tc>
      </w:tr>
      <w:tr w14:paraId="5BB30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701" w:type="dxa"/>
            <w:vMerge w:val="continue"/>
            <w:tcBorders>
              <w:left w:val="single" w:color="auto" w:sz="4" w:space="0"/>
              <w:right w:val="single" w:color="auto" w:sz="4" w:space="0"/>
            </w:tcBorders>
            <w:vAlign w:val="center"/>
          </w:tcPr>
          <w:p w14:paraId="518B52A2">
            <w:pPr>
              <w:spacing w:line="360" w:lineRule="auto"/>
              <w:jc w:val="center"/>
              <w:rPr>
                <w:rFonts w:hint="eastAsia" w:ascii="宋体" w:hAnsi="宋体" w:cs="宋体"/>
                <w:bCs/>
                <w:sz w:val="24"/>
                <w:szCs w:val="24"/>
                <w:lang w:bidi="ar"/>
              </w:rPr>
            </w:pPr>
          </w:p>
        </w:tc>
        <w:tc>
          <w:tcPr>
            <w:tcW w:w="901" w:type="dxa"/>
            <w:vMerge w:val="continue"/>
            <w:tcBorders>
              <w:left w:val="single" w:color="auto" w:sz="4" w:space="0"/>
              <w:right w:val="single" w:color="auto" w:sz="4" w:space="0"/>
            </w:tcBorders>
            <w:vAlign w:val="center"/>
          </w:tcPr>
          <w:p w14:paraId="68EDFACC">
            <w:pPr>
              <w:spacing w:line="360" w:lineRule="auto"/>
              <w:jc w:val="center"/>
              <w:rPr>
                <w:rFonts w:hint="eastAsia" w:ascii="宋体" w:hAnsi="宋体" w:cs="宋体"/>
                <w:bCs/>
                <w:kern w:val="28"/>
                <w:sz w:val="24"/>
                <w:szCs w:val="24"/>
                <w:lang w:bidi="ar"/>
              </w:rPr>
            </w:pPr>
          </w:p>
        </w:tc>
        <w:tc>
          <w:tcPr>
            <w:tcW w:w="1230" w:type="dxa"/>
            <w:tcBorders>
              <w:top w:val="single" w:color="auto" w:sz="4" w:space="0"/>
              <w:left w:val="single" w:color="auto" w:sz="4" w:space="0"/>
              <w:bottom w:val="single" w:color="auto" w:sz="4" w:space="0"/>
              <w:right w:val="single" w:color="auto" w:sz="4" w:space="0"/>
            </w:tcBorders>
            <w:vAlign w:val="center"/>
          </w:tcPr>
          <w:p w14:paraId="0CBB5E2C">
            <w:pPr>
              <w:spacing w:line="360" w:lineRule="auto"/>
              <w:jc w:val="center"/>
              <w:rPr>
                <w:rFonts w:hint="eastAsia" w:ascii="宋体" w:hAnsi="宋体" w:cs="宋体"/>
                <w:bCs/>
                <w:kern w:val="28"/>
                <w:sz w:val="24"/>
                <w:szCs w:val="24"/>
                <w:lang w:bidi="ar"/>
              </w:rPr>
            </w:pPr>
            <w:r>
              <w:rPr>
                <w:rFonts w:hint="eastAsia" w:ascii="宋体" w:hAnsi="宋体" w:cs="宋体"/>
                <w:bCs/>
                <w:kern w:val="28"/>
                <w:sz w:val="24"/>
                <w:szCs w:val="24"/>
                <w:lang w:bidi="ar"/>
              </w:rPr>
              <w:t>法定代表人身份证明或法定代表人授权委托书</w:t>
            </w:r>
          </w:p>
        </w:tc>
        <w:tc>
          <w:tcPr>
            <w:tcW w:w="6215" w:type="dxa"/>
            <w:tcBorders>
              <w:top w:val="single" w:color="auto" w:sz="4" w:space="0"/>
              <w:left w:val="single" w:color="auto" w:sz="4" w:space="0"/>
              <w:bottom w:val="single" w:color="auto" w:sz="4" w:space="0"/>
              <w:right w:val="single" w:color="auto" w:sz="4" w:space="0"/>
            </w:tcBorders>
            <w:vAlign w:val="center"/>
          </w:tcPr>
          <w:p w14:paraId="0B186D58">
            <w:pPr>
              <w:snapToGrid w:val="0"/>
              <w:spacing w:line="440" w:lineRule="exact"/>
              <w:rPr>
                <w:rFonts w:hint="eastAsia" w:ascii="宋体" w:hAnsi="宋体" w:cs="宋体"/>
                <w:bCs/>
                <w:kern w:val="28"/>
                <w:sz w:val="24"/>
                <w:szCs w:val="24"/>
              </w:rPr>
            </w:pPr>
            <w:r>
              <w:rPr>
                <w:rFonts w:hint="eastAsia" w:ascii="宋体" w:hAnsi="宋体" w:cs="宋体"/>
                <w:bCs/>
                <w:kern w:val="28"/>
                <w:sz w:val="24"/>
                <w:szCs w:val="24"/>
              </w:rPr>
              <w:t>供应商提供法定代表人授权书及被授权人身份证，法定代表人直接参加磋商的须提交其法人身份证明；</w:t>
            </w:r>
          </w:p>
          <w:p w14:paraId="432774A7">
            <w:pPr>
              <w:snapToGrid w:val="0"/>
              <w:spacing w:line="440" w:lineRule="exact"/>
              <w:rPr>
                <w:rFonts w:hint="eastAsia" w:ascii="宋体" w:hAnsi="宋体" w:cs="宋体"/>
                <w:bCs/>
                <w:kern w:val="28"/>
                <w:sz w:val="24"/>
                <w:szCs w:val="24"/>
              </w:rPr>
            </w:pPr>
            <w:r>
              <w:rPr>
                <w:rFonts w:hint="eastAsia" w:ascii="宋体" w:hAnsi="宋体" w:cs="宋体"/>
                <w:b/>
                <w:bCs/>
                <w:sz w:val="24"/>
                <w:szCs w:val="24"/>
              </w:rPr>
              <w:t>注：以</w:t>
            </w:r>
            <w:r>
              <w:rPr>
                <w:rFonts w:hint="eastAsia" w:ascii="宋体" w:hAnsi="宋体" w:cs="宋体"/>
                <w:b/>
                <w:sz w:val="24"/>
                <w:szCs w:val="24"/>
              </w:rPr>
              <w:t>谈判响应文件中</w:t>
            </w:r>
            <w:r>
              <w:rPr>
                <w:rFonts w:hint="eastAsia" w:ascii="宋体" w:hAnsi="宋体" w:cs="宋体"/>
                <w:b/>
                <w:bCs/>
                <w:sz w:val="24"/>
                <w:szCs w:val="24"/>
              </w:rPr>
              <w:t>所附加盖供应商单位公章的法定代表人身份证明或法定代表人授权委托书为准</w:t>
            </w:r>
          </w:p>
        </w:tc>
      </w:tr>
      <w:tr w14:paraId="08365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6" w:hRule="atLeast"/>
          <w:jc w:val="center"/>
        </w:trPr>
        <w:tc>
          <w:tcPr>
            <w:tcW w:w="701" w:type="dxa"/>
            <w:vMerge w:val="continue"/>
            <w:tcBorders>
              <w:left w:val="single" w:color="auto" w:sz="4" w:space="0"/>
              <w:right w:val="single" w:color="auto" w:sz="4" w:space="0"/>
            </w:tcBorders>
            <w:vAlign w:val="center"/>
          </w:tcPr>
          <w:p w14:paraId="7D2867C0">
            <w:pPr>
              <w:spacing w:line="360" w:lineRule="auto"/>
              <w:jc w:val="center"/>
              <w:rPr>
                <w:rFonts w:hint="eastAsia" w:ascii="宋体" w:hAnsi="宋体" w:cs="宋体"/>
                <w:bCs/>
                <w:sz w:val="24"/>
                <w:szCs w:val="24"/>
                <w:lang w:bidi="ar"/>
              </w:rPr>
            </w:pPr>
          </w:p>
        </w:tc>
        <w:tc>
          <w:tcPr>
            <w:tcW w:w="901" w:type="dxa"/>
            <w:vMerge w:val="continue"/>
            <w:tcBorders>
              <w:left w:val="single" w:color="auto" w:sz="4" w:space="0"/>
              <w:right w:val="single" w:color="auto" w:sz="4" w:space="0"/>
            </w:tcBorders>
            <w:vAlign w:val="center"/>
          </w:tcPr>
          <w:p w14:paraId="122124BE">
            <w:pPr>
              <w:spacing w:line="360" w:lineRule="auto"/>
              <w:jc w:val="center"/>
              <w:rPr>
                <w:rFonts w:hint="eastAsia" w:ascii="宋体" w:hAnsi="宋体" w:cs="宋体"/>
                <w:bCs/>
                <w:kern w:val="28"/>
                <w:sz w:val="24"/>
                <w:szCs w:val="24"/>
                <w:lang w:bidi="ar"/>
              </w:rPr>
            </w:pPr>
          </w:p>
        </w:tc>
        <w:tc>
          <w:tcPr>
            <w:tcW w:w="1230" w:type="dxa"/>
            <w:tcBorders>
              <w:top w:val="single" w:color="auto" w:sz="4" w:space="0"/>
              <w:left w:val="single" w:color="auto" w:sz="4" w:space="0"/>
              <w:bottom w:val="single" w:color="auto" w:sz="4" w:space="0"/>
              <w:right w:val="single" w:color="auto" w:sz="4" w:space="0"/>
            </w:tcBorders>
            <w:vAlign w:val="center"/>
          </w:tcPr>
          <w:p w14:paraId="1C8B4765">
            <w:pPr>
              <w:spacing w:line="360" w:lineRule="auto"/>
              <w:jc w:val="center"/>
              <w:rPr>
                <w:rFonts w:hint="eastAsia" w:ascii="宋体" w:hAnsi="宋体" w:cs="宋体"/>
                <w:bCs/>
                <w:kern w:val="28"/>
                <w:sz w:val="24"/>
                <w:szCs w:val="24"/>
                <w:lang w:bidi="ar"/>
              </w:rPr>
            </w:pPr>
            <w:r>
              <w:rPr>
                <w:rFonts w:hint="eastAsia" w:ascii="宋体" w:hAnsi="宋体" w:cs="宋体"/>
                <w:sz w:val="24"/>
                <w:szCs w:val="24"/>
              </w:rPr>
              <w:t>税收缴纳证明</w:t>
            </w:r>
          </w:p>
        </w:tc>
        <w:tc>
          <w:tcPr>
            <w:tcW w:w="6215" w:type="dxa"/>
            <w:tcBorders>
              <w:top w:val="single" w:color="auto" w:sz="4" w:space="0"/>
              <w:left w:val="single" w:color="auto" w:sz="4" w:space="0"/>
              <w:bottom w:val="single" w:color="auto" w:sz="4" w:space="0"/>
              <w:right w:val="single" w:color="auto" w:sz="4" w:space="0"/>
            </w:tcBorders>
            <w:vAlign w:val="center"/>
          </w:tcPr>
          <w:p w14:paraId="263EB447">
            <w:pPr>
              <w:snapToGrid w:val="0"/>
              <w:spacing w:line="440" w:lineRule="exact"/>
              <w:rPr>
                <w:rFonts w:hint="eastAsia" w:ascii="宋体" w:hAnsi="宋体" w:cs="宋体"/>
                <w:sz w:val="24"/>
                <w:szCs w:val="24"/>
              </w:rPr>
            </w:pPr>
            <w:r>
              <w:rPr>
                <w:rFonts w:hint="eastAsia" w:ascii="宋体" w:hAnsi="宋体" w:cs="宋体"/>
                <w:sz w:val="24"/>
                <w:szCs w:val="24"/>
              </w:rPr>
              <w:t>提供响应文件截止时间前一年内至少一个月的纳税证明或完税证明（任意税种），纳税证明或完税证明上应有代收机构或税务机关的公章或业务专用章；依法免税的供应商应提供相关文件证明；</w:t>
            </w:r>
          </w:p>
          <w:p w14:paraId="4E96BF50">
            <w:pPr>
              <w:snapToGrid w:val="0"/>
              <w:spacing w:line="440" w:lineRule="exact"/>
              <w:rPr>
                <w:rFonts w:hint="eastAsia" w:ascii="宋体" w:hAnsi="宋体" w:cs="宋体"/>
                <w:sz w:val="24"/>
                <w:szCs w:val="24"/>
              </w:rPr>
            </w:pPr>
            <w:r>
              <w:rPr>
                <w:rFonts w:hint="eastAsia" w:ascii="宋体" w:hAnsi="宋体" w:cs="宋体"/>
                <w:b/>
                <w:bCs/>
                <w:sz w:val="24"/>
                <w:szCs w:val="24"/>
              </w:rPr>
              <w:t>注：以</w:t>
            </w:r>
            <w:r>
              <w:rPr>
                <w:rFonts w:hint="eastAsia" w:ascii="宋体" w:hAnsi="宋体" w:cs="宋体"/>
                <w:b/>
                <w:sz w:val="24"/>
                <w:szCs w:val="24"/>
              </w:rPr>
              <w:t>谈判响应文件中</w:t>
            </w:r>
            <w:r>
              <w:rPr>
                <w:rFonts w:hint="eastAsia" w:ascii="宋体" w:hAnsi="宋体" w:cs="宋体"/>
                <w:b/>
                <w:bCs/>
                <w:sz w:val="24"/>
                <w:szCs w:val="24"/>
              </w:rPr>
              <w:t>所附加盖供应商单位公章的纳税证明为准</w:t>
            </w:r>
          </w:p>
        </w:tc>
      </w:tr>
      <w:tr w14:paraId="0DECE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2" w:hRule="atLeast"/>
          <w:jc w:val="center"/>
        </w:trPr>
        <w:tc>
          <w:tcPr>
            <w:tcW w:w="701" w:type="dxa"/>
            <w:vMerge w:val="continue"/>
            <w:tcBorders>
              <w:left w:val="single" w:color="auto" w:sz="4" w:space="0"/>
              <w:right w:val="single" w:color="auto" w:sz="4" w:space="0"/>
            </w:tcBorders>
            <w:vAlign w:val="center"/>
          </w:tcPr>
          <w:p w14:paraId="26C4DD26">
            <w:pPr>
              <w:spacing w:line="360" w:lineRule="auto"/>
              <w:jc w:val="center"/>
              <w:rPr>
                <w:rFonts w:hint="eastAsia" w:ascii="宋体" w:hAnsi="宋体" w:cs="宋体"/>
                <w:bCs/>
                <w:sz w:val="24"/>
                <w:szCs w:val="24"/>
                <w:lang w:bidi="ar"/>
              </w:rPr>
            </w:pPr>
          </w:p>
        </w:tc>
        <w:tc>
          <w:tcPr>
            <w:tcW w:w="901" w:type="dxa"/>
            <w:vMerge w:val="continue"/>
            <w:tcBorders>
              <w:left w:val="single" w:color="auto" w:sz="4" w:space="0"/>
              <w:right w:val="single" w:color="auto" w:sz="4" w:space="0"/>
            </w:tcBorders>
            <w:vAlign w:val="center"/>
          </w:tcPr>
          <w:p w14:paraId="6964B6E5">
            <w:pPr>
              <w:spacing w:line="360" w:lineRule="auto"/>
              <w:jc w:val="center"/>
              <w:rPr>
                <w:rFonts w:hint="eastAsia" w:ascii="宋体" w:hAnsi="宋体" w:cs="宋体"/>
                <w:bCs/>
                <w:kern w:val="28"/>
                <w:sz w:val="24"/>
                <w:szCs w:val="24"/>
                <w:lang w:bidi="ar"/>
              </w:rPr>
            </w:pPr>
          </w:p>
        </w:tc>
        <w:tc>
          <w:tcPr>
            <w:tcW w:w="1230" w:type="dxa"/>
            <w:tcBorders>
              <w:top w:val="single" w:color="auto" w:sz="4" w:space="0"/>
              <w:left w:val="single" w:color="auto" w:sz="4" w:space="0"/>
              <w:bottom w:val="single" w:color="auto" w:sz="4" w:space="0"/>
              <w:right w:val="single" w:color="auto" w:sz="4" w:space="0"/>
            </w:tcBorders>
            <w:vAlign w:val="center"/>
          </w:tcPr>
          <w:p w14:paraId="57C962F4">
            <w:pPr>
              <w:spacing w:line="360" w:lineRule="auto"/>
              <w:jc w:val="center"/>
              <w:rPr>
                <w:rFonts w:hint="eastAsia" w:ascii="宋体" w:hAnsi="宋体" w:cs="宋体"/>
                <w:bCs/>
                <w:kern w:val="28"/>
                <w:sz w:val="24"/>
                <w:szCs w:val="24"/>
                <w:lang w:bidi="ar"/>
              </w:rPr>
            </w:pPr>
            <w:r>
              <w:rPr>
                <w:rFonts w:hint="eastAsia" w:ascii="宋体" w:hAnsi="宋体" w:cs="宋体"/>
                <w:sz w:val="24"/>
                <w:szCs w:val="24"/>
              </w:rPr>
              <w:t>社会保障资金缴纳证明</w:t>
            </w:r>
          </w:p>
        </w:tc>
        <w:tc>
          <w:tcPr>
            <w:tcW w:w="6215" w:type="dxa"/>
            <w:tcBorders>
              <w:top w:val="single" w:color="auto" w:sz="4" w:space="0"/>
              <w:left w:val="single" w:color="auto" w:sz="4" w:space="0"/>
              <w:bottom w:val="single" w:color="auto" w:sz="4" w:space="0"/>
              <w:right w:val="single" w:color="auto" w:sz="4" w:space="0"/>
            </w:tcBorders>
            <w:vAlign w:val="center"/>
          </w:tcPr>
          <w:p w14:paraId="63E61CD4">
            <w:pPr>
              <w:snapToGrid w:val="0"/>
              <w:spacing w:line="440" w:lineRule="exact"/>
              <w:rPr>
                <w:rFonts w:hint="eastAsia" w:ascii="宋体" w:hAnsi="宋体" w:cs="宋体"/>
                <w:b/>
                <w:kern w:val="28"/>
                <w:sz w:val="24"/>
                <w:szCs w:val="24"/>
              </w:rPr>
            </w:pPr>
            <w:r>
              <w:rPr>
                <w:rFonts w:hint="eastAsia" w:ascii="宋体" w:hAnsi="宋体" w:cs="宋体"/>
                <w:sz w:val="24"/>
                <w:szCs w:val="24"/>
              </w:rPr>
              <w:t xml:space="preserve">提供响应文件截止时间前一年内至少一个月已缴纳的社会保障资金的证明（社会保障资金缴存单据或社保机构开具的社会保险参保缴费情况证明或完税证明等）；依法不需要缴纳社会保障资金的供应商应提供相关文件证明； </w:t>
            </w:r>
            <w:r>
              <w:rPr>
                <w:rFonts w:hint="eastAsia" w:ascii="宋体" w:hAnsi="宋体" w:cs="宋体"/>
                <w:sz w:val="24"/>
                <w:szCs w:val="24"/>
              </w:rPr>
              <w:br w:type="textWrapping"/>
            </w:r>
            <w:r>
              <w:rPr>
                <w:rFonts w:hint="eastAsia" w:ascii="宋体" w:hAnsi="宋体" w:cs="宋体"/>
                <w:b/>
                <w:bCs/>
                <w:sz w:val="24"/>
                <w:szCs w:val="24"/>
              </w:rPr>
              <w:t>注：以</w:t>
            </w:r>
            <w:r>
              <w:rPr>
                <w:rFonts w:hint="eastAsia" w:ascii="宋体" w:hAnsi="宋体" w:cs="宋体"/>
                <w:b/>
                <w:sz w:val="24"/>
                <w:szCs w:val="24"/>
              </w:rPr>
              <w:t>谈判响应文件中</w:t>
            </w:r>
            <w:r>
              <w:rPr>
                <w:rFonts w:hint="eastAsia" w:ascii="宋体" w:hAnsi="宋体" w:cs="宋体"/>
                <w:b/>
                <w:bCs/>
                <w:sz w:val="24"/>
                <w:szCs w:val="24"/>
              </w:rPr>
              <w:t>所附加盖供应商单位公章的社会保障资金缴纳证明为准</w:t>
            </w:r>
          </w:p>
        </w:tc>
      </w:tr>
      <w:tr w14:paraId="6A2C5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2" w:hRule="atLeast"/>
          <w:jc w:val="center"/>
        </w:trPr>
        <w:tc>
          <w:tcPr>
            <w:tcW w:w="701" w:type="dxa"/>
            <w:vMerge w:val="continue"/>
            <w:tcBorders>
              <w:left w:val="single" w:color="auto" w:sz="4" w:space="0"/>
              <w:right w:val="single" w:color="auto" w:sz="4" w:space="0"/>
            </w:tcBorders>
            <w:vAlign w:val="center"/>
          </w:tcPr>
          <w:p w14:paraId="54E64EEA">
            <w:pPr>
              <w:spacing w:line="360" w:lineRule="auto"/>
              <w:jc w:val="center"/>
              <w:rPr>
                <w:rFonts w:hint="eastAsia" w:ascii="宋体" w:hAnsi="宋体" w:cs="宋体"/>
                <w:bCs/>
                <w:sz w:val="24"/>
                <w:szCs w:val="24"/>
                <w:lang w:bidi="ar"/>
              </w:rPr>
            </w:pPr>
          </w:p>
        </w:tc>
        <w:tc>
          <w:tcPr>
            <w:tcW w:w="901" w:type="dxa"/>
            <w:vMerge w:val="continue"/>
            <w:tcBorders>
              <w:left w:val="single" w:color="auto" w:sz="4" w:space="0"/>
              <w:right w:val="single" w:color="auto" w:sz="4" w:space="0"/>
            </w:tcBorders>
            <w:vAlign w:val="center"/>
          </w:tcPr>
          <w:p w14:paraId="226E3BE7">
            <w:pPr>
              <w:spacing w:line="360" w:lineRule="auto"/>
              <w:jc w:val="center"/>
              <w:rPr>
                <w:rFonts w:hint="eastAsia" w:ascii="宋体" w:hAnsi="宋体" w:cs="宋体"/>
                <w:bCs/>
                <w:kern w:val="28"/>
                <w:sz w:val="24"/>
                <w:szCs w:val="24"/>
                <w:lang w:bidi="ar"/>
              </w:rPr>
            </w:pPr>
          </w:p>
        </w:tc>
        <w:tc>
          <w:tcPr>
            <w:tcW w:w="1230" w:type="dxa"/>
            <w:tcBorders>
              <w:top w:val="single" w:color="auto" w:sz="4" w:space="0"/>
              <w:left w:val="single" w:color="auto" w:sz="4" w:space="0"/>
              <w:bottom w:val="single" w:color="auto" w:sz="4" w:space="0"/>
              <w:right w:val="single" w:color="auto" w:sz="4" w:space="0"/>
            </w:tcBorders>
            <w:vAlign w:val="center"/>
          </w:tcPr>
          <w:p w14:paraId="79FCDF09">
            <w:pPr>
              <w:spacing w:line="360" w:lineRule="auto"/>
              <w:jc w:val="center"/>
              <w:rPr>
                <w:rFonts w:hint="eastAsia" w:ascii="宋体" w:hAnsi="宋体" w:cs="宋体"/>
                <w:bCs/>
                <w:kern w:val="28"/>
                <w:sz w:val="24"/>
                <w:szCs w:val="24"/>
                <w:lang w:bidi="ar"/>
              </w:rPr>
            </w:pPr>
            <w:r>
              <w:rPr>
                <w:rFonts w:hint="eastAsia" w:ascii="宋体" w:hAnsi="宋体" w:cs="宋体"/>
                <w:sz w:val="24"/>
                <w:szCs w:val="24"/>
              </w:rPr>
              <w:t>财务状况报告</w:t>
            </w:r>
          </w:p>
        </w:tc>
        <w:tc>
          <w:tcPr>
            <w:tcW w:w="6215" w:type="dxa"/>
            <w:tcBorders>
              <w:top w:val="single" w:color="auto" w:sz="4" w:space="0"/>
              <w:left w:val="single" w:color="auto" w:sz="4" w:space="0"/>
              <w:bottom w:val="single" w:color="auto" w:sz="4" w:space="0"/>
              <w:right w:val="single" w:color="auto" w:sz="4" w:space="0"/>
            </w:tcBorders>
            <w:vAlign w:val="center"/>
          </w:tcPr>
          <w:p w14:paraId="75055F77">
            <w:pPr>
              <w:snapToGrid w:val="0"/>
              <w:spacing w:line="440" w:lineRule="exact"/>
              <w:rPr>
                <w:rFonts w:hint="eastAsia" w:ascii="宋体" w:hAnsi="宋体" w:cs="宋体"/>
                <w:b/>
                <w:kern w:val="28"/>
                <w:sz w:val="24"/>
                <w:szCs w:val="24"/>
              </w:rPr>
            </w:pPr>
            <w:r>
              <w:rPr>
                <w:rFonts w:hint="eastAsia" w:ascii="宋体" w:hAnsi="宋体" w:cs="宋体"/>
                <w:sz w:val="24"/>
                <w:szCs w:val="24"/>
              </w:rPr>
              <w:t xml:space="preserve">提供经会计师事务审计的完整的2024年度审计报告或2025年度审计报告（报告至少包含三表一注），或提交响应文件截止时间前六个月内基本账户开户银行出具的资信证明；（附开户许可证或开户备案证明或基本账户信息） </w:t>
            </w:r>
            <w:r>
              <w:rPr>
                <w:rFonts w:hint="eastAsia" w:ascii="宋体" w:hAnsi="宋体" w:cs="宋体"/>
                <w:sz w:val="24"/>
                <w:szCs w:val="24"/>
              </w:rPr>
              <w:br w:type="textWrapping"/>
            </w:r>
            <w:r>
              <w:rPr>
                <w:rFonts w:hint="eastAsia" w:ascii="宋体" w:hAnsi="宋体" w:cs="宋体"/>
                <w:b/>
                <w:bCs/>
                <w:sz w:val="24"/>
                <w:szCs w:val="24"/>
              </w:rPr>
              <w:t>注：以</w:t>
            </w:r>
            <w:r>
              <w:rPr>
                <w:rFonts w:hint="eastAsia" w:ascii="宋体" w:hAnsi="宋体" w:cs="宋体"/>
                <w:b/>
                <w:sz w:val="24"/>
                <w:szCs w:val="24"/>
              </w:rPr>
              <w:t>谈判响应文件中</w:t>
            </w:r>
            <w:r>
              <w:rPr>
                <w:rFonts w:hint="eastAsia" w:ascii="宋体" w:hAnsi="宋体" w:cs="宋体"/>
                <w:b/>
                <w:bCs/>
                <w:sz w:val="24"/>
                <w:szCs w:val="24"/>
              </w:rPr>
              <w:t>所附加盖供应商单位公章的审计报告为准</w:t>
            </w:r>
          </w:p>
        </w:tc>
      </w:tr>
      <w:tr w14:paraId="36582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7" w:hRule="atLeast"/>
          <w:jc w:val="center"/>
        </w:trPr>
        <w:tc>
          <w:tcPr>
            <w:tcW w:w="701" w:type="dxa"/>
            <w:vMerge w:val="continue"/>
            <w:tcBorders>
              <w:left w:val="single" w:color="auto" w:sz="4" w:space="0"/>
              <w:right w:val="single" w:color="auto" w:sz="4" w:space="0"/>
            </w:tcBorders>
            <w:vAlign w:val="center"/>
          </w:tcPr>
          <w:p w14:paraId="4299E873">
            <w:pPr>
              <w:spacing w:line="360" w:lineRule="auto"/>
              <w:jc w:val="center"/>
              <w:rPr>
                <w:rFonts w:hint="eastAsia" w:ascii="宋体" w:hAnsi="宋体" w:cs="宋体"/>
                <w:bCs/>
                <w:sz w:val="24"/>
                <w:szCs w:val="24"/>
                <w:lang w:bidi="ar"/>
              </w:rPr>
            </w:pPr>
          </w:p>
        </w:tc>
        <w:tc>
          <w:tcPr>
            <w:tcW w:w="901" w:type="dxa"/>
            <w:vMerge w:val="continue"/>
            <w:tcBorders>
              <w:left w:val="single" w:color="auto" w:sz="4" w:space="0"/>
              <w:right w:val="single" w:color="auto" w:sz="4" w:space="0"/>
            </w:tcBorders>
            <w:vAlign w:val="center"/>
          </w:tcPr>
          <w:p w14:paraId="257763D6">
            <w:pPr>
              <w:spacing w:line="360" w:lineRule="auto"/>
              <w:jc w:val="center"/>
              <w:rPr>
                <w:rFonts w:hint="eastAsia" w:ascii="宋体" w:hAnsi="宋体" w:cs="宋体"/>
                <w:bCs/>
                <w:kern w:val="28"/>
                <w:sz w:val="24"/>
                <w:szCs w:val="24"/>
                <w:lang w:bidi="ar"/>
              </w:rPr>
            </w:pPr>
          </w:p>
        </w:tc>
        <w:tc>
          <w:tcPr>
            <w:tcW w:w="1230" w:type="dxa"/>
            <w:tcBorders>
              <w:top w:val="single" w:color="auto" w:sz="4" w:space="0"/>
              <w:left w:val="single" w:color="auto" w:sz="4" w:space="0"/>
              <w:bottom w:val="single" w:color="auto" w:sz="4" w:space="0"/>
              <w:right w:val="single" w:color="auto" w:sz="4" w:space="0"/>
            </w:tcBorders>
            <w:vAlign w:val="center"/>
          </w:tcPr>
          <w:p w14:paraId="703DDD55">
            <w:pPr>
              <w:spacing w:line="360" w:lineRule="auto"/>
              <w:jc w:val="center"/>
              <w:rPr>
                <w:rFonts w:hint="eastAsia" w:ascii="宋体" w:hAnsi="宋体" w:cs="宋体"/>
                <w:bCs/>
                <w:kern w:val="28"/>
                <w:sz w:val="24"/>
                <w:szCs w:val="24"/>
                <w:lang w:bidi="ar"/>
              </w:rPr>
            </w:pPr>
            <w:r>
              <w:rPr>
                <w:rFonts w:hint="eastAsia" w:ascii="宋体" w:hAnsi="宋体" w:cs="宋体"/>
                <w:sz w:val="24"/>
                <w:szCs w:val="24"/>
              </w:rPr>
              <w:t>具有履行本合同所必需的设备和专业技术能力的声明</w:t>
            </w:r>
          </w:p>
        </w:tc>
        <w:tc>
          <w:tcPr>
            <w:tcW w:w="6215" w:type="dxa"/>
            <w:tcBorders>
              <w:top w:val="single" w:color="auto" w:sz="4" w:space="0"/>
              <w:left w:val="single" w:color="auto" w:sz="4" w:space="0"/>
              <w:bottom w:val="single" w:color="auto" w:sz="4" w:space="0"/>
              <w:right w:val="single" w:color="auto" w:sz="4" w:space="0"/>
            </w:tcBorders>
            <w:vAlign w:val="center"/>
          </w:tcPr>
          <w:p w14:paraId="106108DB">
            <w:pPr>
              <w:snapToGrid w:val="0"/>
              <w:spacing w:line="440" w:lineRule="exact"/>
              <w:rPr>
                <w:rFonts w:hint="eastAsia" w:ascii="宋体" w:hAnsi="宋体" w:cs="宋体"/>
                <w:sz w:val="24"/>
                <w:szCs w:val="24"/>
              </w:rPr>
            </w:pPr>
            <w:r>
              <w:rPr>
                <w:rFonts w:hint="eastAsia" w:ascii="宋体" w:hAnsi="宋体" w:cs="宋体"/>
                <w:sz w:val="24"/>
                <w:szCs w:val="24"/>
              </w:rPr>
              <w:t>提供具有履行本合同所必需的设备和专业技术能力的声明</w:t>
            </w:r>
          </w:p>
          <w:p w14:paraId="759D8083">
            <w:pPr>
              <w:snapToGrid w:val="0"/>
              <w:spacing w:line="440" w:lineRule="exact"/>
              <w:rPr>
                <w:rFonts w:hint="eastAsia" w:ascii="宋体" w:hAnsi="宋体" w:cs="宋体"/>
                <w:sz w:val="24"/>
                <w:szCs w:val="24"/>
              </w:rPr>
            </w:pPr>
            <w:r>
              <w:rPr>
                <w:rFonts w:hint="eastAsia" w:ascii="宋体" w:hAnsi="宋体" w:cs="宋体"/>
                <w:b/>
                <w:bCs/>
                <w:sz w:val="24"/>
                <w:szCs w:val="24"/>
              </w:rPr>
              <w:t>注：以</w:t>
            </w:r>
            <w:r>
              <w:rPr>
                <w:rFonts w:hint="eastAsia" w:ascii="宋体" w:hAnsi="宋体" w:cs="宋体"/>
                <w:b/>
                <w:sz w:val="24"/>
                <w:szCs w:val="24"/>
              </w:rPr>
              <w:t>谈判响应文件中</w:t>
            </w:r>
            <w:r>
              <w:rPr>
                <w:rFonts w:hint="eastAsia" w:ascii="宋体" w:hAnsi="宋体" w:cs="宋体"/>
                <w:b/>
                <w:bCs/>
                <w:sz w:val="24"/>
                <w:szCs w:val="24"/>
              </w:rPr>
              <w:t>所附加盖供应商单位公章的声明书为准</w:t>
            </w:r>
          </w:p>
        </w:tc>
      </w:tr>
      <w:tr w14:paraId="5D50A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2" w:hRule="atLeast"/>
          <w:jc w:val="center"/>
        </w:trPr>
        <w:tc>
          <w:tcPr>
            <w:tcW w:w="701" w:type="dxa"/>
            <w:vMerge w:val="continue"/>
            <w:tcBorders>
              <w:left w:val="single" w:color="auto" w:sz="4" w:space="0"/>
              <w:right w:val="single" w:color="auto" w:sz="4" w:space="0"/>
            </w:tcBorders>
            <w:vAlign w:val="center"/>
          </w:tcPr>
          <w:p w14:paraId="6E2959A9">
            <w:pPr>
              <w:spacing w:line="360" w:lineRule="auto"/>
              <w:jc w:val="center"/>
              <w:rPr>
                <w:rFonts w:hint="eastAsia" w:ascii="宋体" w:hAnsi="宋体" w:cs="宋体"/>
                <w:bCs/>
                <w:sz w:val="24"/>
                <w:szCs w:val="24"/>
                <w:lang w:bidi="ar"/>
              </w:rPr>
            </w:pPr>
          </w:p>
        </w:tc>
        <w:tc>
          <w:tcPr>
            <w:tcW w:w="901" w:type="dxa"/>
            <w:vMerge w:val="continue"/>
            <w:tcBorders>
              <w:left w:val="single" w:color="auto" w:sz="4" w:space="0"/>
              <w:right w:val="single" w:color="auto" w:sz="4" w:space="0"/>
            </w:tcBorders>
            <w:vAlign w:val="center"/>
          </w:tcPr>
          <w:p w14:paraId="4361993D">
            <w:pPr>
              <w:spacing w:line="360" w:lineRule="auto"/>
              <w:jc w:val="center"/>
              <w:rPr>
                <w:rFonts w:hint="eastAsia" w:ascii="宋体" w:hAnsi="宋体" w:cs="宋体"/>
                <w:bCs/>
                <w:kern w:val="28"/>
                <w:sz w:val="24"/>
                <w:szCs w:val="24"/>
                <w:lang w:bidi="ar"/>
              </w:rPr>
            </w:pPr>
          </w:p>
        </w:tc>
        <w:tc>
          <w:tcPr>
            <w:tcW w:w="1230" w:type="dxa"/>
            <w:tcBorders>
              <w:top w:val="single" w:color="auto" w:sz="4" w:space="0"/>
              <w:left w:val="single" w:color="auto" w:sz="4" w:space="0"/>
              <w:bottom w:val="single" w:color="auto" w:sz="4" w:space="0"/>
              <w:right w:val="single" w:color="auto" w:sz="4" w:space="0"/>
            </w:tcBorders>
            <w:vAlign w:val="center"/>
          </w:tcPr>
          <w:p w14:paraId="124081EB">
            <w:pPr>
              <w:spacing w:line="360" w:lineRule="auto"/>
              <w:jc w:val="center"/>
              <w:rPr>
                <w:rFonts w:hint="eastAsia" w:ascii="宋体" w:hAnsi="宋体" w:cs="宋体"/>
                <w:sz w:val="24"/>
                <w:szCs w:val="24"/>
              </w:rPr>
            </w:pPr>
            <w:r>
              <w:rPr>
                <w:rFonts w:hint="eastAsia" w:ascii="宋体" w:hAnsi="宋体" w:cs="宋体"/>
                <w:sz w:val="24"/>
                <w:szCs w:val="24"/>
              </w:rPr>
              <w:t>没有重大违纪</w:t>
            </w:r>
          </w:p>
        </w:tc>
        <w:tc>
          <w:tcPr>
            <w:tcW w:w="6215" w:type="dxa"/>
            <w:tcBorders>
              <w:top w:val="single" w:color="auto" w:sz="4" w:space="0"/>
              <w:left w:val="single" w:color="auto" w:sz="4" w:space="0"/>
              <w:bottom w:val="single" w:color="auto" w:sz="4" w:space="0"/>
              <w:right w:val="single" w:color="auto" w:sz="4" w:space="0"/>
            </w:tcBorders>
            <w:vAlign w:val="center"/>
          </w:tcPr>
          <w:p w14:paraId="4FC4D628">
            <w:pPr>
              <w:snapToGrid w:val="0"/>
              <w:spacing w:line="440" w:lineRule="exact"/>
              <w:rPr>
                <w:rFonts w:hint="eastAsia" w:ascii="宋体" w:hAnsi="宋体" w:cs="宋体"/>
                <w:sz w:val="24"/>
                <w:szCs w:val="24"/>
              </w:rPr>
            </w:pPr>
            <w:r>
              <w:rPr>
                <w:rFonts w:hint="eastAsia" w:ascii="宋体" w:hAnsi="宋体" w:cs="宋体"/>
                <w:sz w:val="24"/>
                <w:szCs w:val="24"/>
              </w:rPr>
              <w:t>参加本次政府采购活动前3年内在经营活动中没有重大违纪，以及未被列入失信被执行人、重大税收违法失信主体、政府采购严重违法失信行为记录名单的书面声明；</w:t>
            </w:r>
          </w:p>
          <w:p w14:paraId="4D58A8CD">
            <w:pPr>
              <w:snapToGrid w:val="0"/>
              <w:spacing w:line="440" w:lineRule="exact"/>
              <w:rPr>
                <w:rFonts w:hint="eastAsia" w:ascii="宋体" w:hAnsi="宋体" w:cs="宋体"/>
                <w:sz w:val="24"/>
                <w:szCs w:val="24"/>
              </w:rPr>
            </w:pPr>
            <w:r>
              <w:rPr>
                <w:rFonts w:hint="eastAsia" w:ascii="宋体" w:hAnsi="宋体" w:cs="宋体"/>
                <w:b/>
                <w:bCs/>
                <w:sz w:val="24"/>
                <w:szCs w:val="24"/>
              </w:rPr>
              <w:t>注：以</w:t>
            </w:r>
            <w:r>
              <w:rPr>
                <w:rFonts w:hint="eastAsia" w:ascii="宋体" w:hAnsi="宋体" w:cs="宋体"/>
                <w:b/>
                <w:sz w:val="24"/>
                <w:szCs w:val="24"/>
              </w:rPr>
              <w:t>谈判响应文件中</w:t>
            </w:r>
            <w:r>
              <w:rPr>
                <w:rFonts w:hint="eastAsia" w:ascii="宋体" w:hAnsi="宋体" w:cs="宋体"/>
                <w:b/>
                <w:bCs/>
                <w:sz w:val="24"/>
                <w:szCs w:val="24"/>
              </w:rPr>
              <w:t>所附加盖供应商单位公章的声明书为准</w:t>
            </w:r>
          </w:p>
        </w:tc>
      </w:tr>
      <w:tr w14:paraId="297F6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7" w:hRule="atLeast"/>
          <w:jc w:val="center"/>
        </w:trPr>
        <w:tc>
          <w:tcPr>
            <w:tcW w:w="701" w:type="dxa"/>
            <w:vMerge w:val="continue"/>
            <w:tcBorders>
              <w:left w:val="single" w:color="auto" w:sz="4" w:space="0"/>
              <w:right w:val="single" w:color="auto" w:sz="4" w:space="0"/>
            </w:tcBorders>
            <w:vAlign w:val="center"/>
          </w:tcPr>
          <w:p w14:paraId="7AF18190">
            <w:pPr>
              <w:spacing w:line="360" w:lineRule="auto"/>
              <w:jc w:val="center"/>
              <w:rPr>
                <w:rFonts w:hint="eastAsia" w:ascii="宋体" w:hAnsi="宋体" w:cs="宋体"/>
                <w:bCs/>
                <w:sz w:val="24"/>
                <w:szCs w:val="24"/>
                <w:lang w:bidi="ar"/>
              </w:rPr>
            </w:pPr>
          </w:p>
        </w:tc>
        <w:tc>
          <w:tcPr>
            <w:tcW w:w="901" w:type="dxa"/>
            <w:vMerge w:val="continue"/>
            <w:tcBorders>
              <w:left w:val="single" w:color="auto" w:sz="4" w:space="0"/>
              <w:right w:val="single" w:color="auto" w:sz="4" w:space="0"/>
            </w:tcBorders>
            <w:vAlign w:val="center"/>
          </w:tcPr>
          <w:p w14:paraId="1E047557">
            <w:pPr>
              <w:spacing w:line="360" w:lineRule="auto"/>
              <w:rPr>
                <w:rFonts w:hint="eastAsia" w:ascii="宋体" w:hAnsi="宋体" w:cs="宋体"/>
                <w:sz w:val="24"/>
                <w:szCs w:val="24"/>
              </w:rPr>
            </w:pPr>
          </w:p>
        </w:tc>
        <w:tc>
          <w:tcPr>
            <w:tcW w:w="1230" w:type="dxa"/>
            <w:tcBorders>
              <w:top w:val="single" w:color="auto" w:sz="4" w:space="0"/>
              <w:left w:val="single" w:color="auto" w:sz="4" w:space="0"/>
              <w:bottom w:val="single" w:color="auto" w:sz="4" w:space="0"/>
              <w:right w:val="single" w:color="auto" w:sz="4" w:space="0"/>
            </w:tcBorders>
            <w:vAlign w:val="center"/>
          </w:tcPr>
          <w:p w14:paraId="2C16402E">
            <w:pPr>
              <w:spacing w:line="360" w:lineRule="auto"/>
              <w:rPr>
                <w:rFonts w:hint="eastAsia" w:ascii="宋体" w:hAnsi="宋体" w:cs="宋体"/>
                <w:sz w:val="24"/>
                <w:szCs w:val="24"/>
              </w:rPr>
            </w:pPr>
            <w:r>
              <w:rPr>
                <w:rFonts w:hint="eastAsia" w:ascii="宋体" w:hAnsi="宋体" w:cs="宋体"/>
                <w:sz w:val="24"/>
                <w:szCs w:val="24"/>
              </w:rPr>
              <w:t>信用证明</w:t>
            </w:r>
          </w:p>
        </w:tc>
        <w:tc>
          <w:tcPr>
            <w:tcW w:w="6215" w:type="dxa"/>
            <w:tcBorders>
              <w:top w:val="single" w:color="auto" w:sz="4" w:space="0"/>
              <w:left w:val="single" w:color="auto" w:sz="4" w:space="0"/>
              <w:bottom w:val="single" w:color="auto" w:sz="4" w:space="0"/>
              <w:right w:val="single" w:color="auto" w:sz="4" w:space="0"/>
            </w:tcBorders>
            <w:vAlign w:val="center"/>
          </w:tcPr>
          <w:p w14:paraId="6CA8F9AD">
            <w:pPr>
              <w:pStyle w:val="26"/>
              <w:snapToGrid w:val="0"/>
              <w:spacing w:after="0" w:line="440" w:lineRule="exact"/>
              <w:ind w:firstLine="0" w:firstLineChars="0"/>
              <w:rPr>
                <w:rFonts w:hint="eastAsia" w:ascii="宋体" w:hAnsi="宋体" w:cs="宋体"/>
                <w:sz w:val="24"/>
                <w:szCs w:val="24"/>
              </w:rPr>
            </w:pPr>
            <w:r>
              <w:rPr>
                <w:rFonts w:hint="eastAsia" w:ascii="宋体" w:hAnsi="宋体" w:cs="宋体"/>
                <w:sz w:val="24"/>
                <w:szCs w:val="24"/>
              </w:rPr>
              <w:t>供应商不得列入国家企业信用信息公示系统（http://www.gsxt.gov.cn/index.html）严重违法失信企业名单（黑名单）、不得列入信用中国网站（www.creditchina.gov.cn）重大税收违法案件当事人名单的供应商，须提供网站相关内容查询结果截图并加盖公章；</w:t>
            </w:r>
            <w:r>
              <w:rPr>
                <w:rFonts w:hint="eastAsia" w:ascii="宋体" w:hAnsi="宋体" w:cs="宋体"/>
                <w:sz w:val="24"/>
                <w:szCs w:val="24"/>
              </w:rPr>
              <w:br w:type="textWrapping"/>
            </w:r>
            <w:r>
              <w:rPr>
                <w:rFonts w:hint="eastAsia" w:ascii="宋体" w:hAnsi="宋体" w:cs="宋体"/>
                <w:b/>
                <w:bCs/>
                <w:sz w:val="24"/>
                <w:szCs w:val="24"/>
              </w:rPr>
              <w:t>注：以代理机构现场查询为准</w:t>
            </w:r>
          </w:p>
        </w:tc>
      </w:tr>
      <w:tr w14:paraId="389D5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701" w:type="dxa"/>
            <w:vMerge w:val="continue"/>
            <w:tcBorders>
              <w:left w:val="single" w:color="auto" w:sz="4" w:space="0"/>
              <w:bottom w:val="single" w:color="auto" w:sz="4" w:space="0"/>
              <w:right w:val="single" w:color="auto" w:sz="4" w:space="0"/>
            </w:tcBorders>
            <w:vAlign w:val="center"/>
          </w:tcPr>
          <w:p w14:paraId="16C49FC4">
            <w:pPr>
              <w:spacing w:line="360" w:lineRule="auto"/>
              <w:jc w:val="center"/>
              <w:rPr>
                <w:rFonts w:hint="eastAsia" w:ascii="宋体" w:hAnsi="宋体" w:cs="宋体"/>
                <w:bCs/>
                <w:sz w:val="24"/>
                <w:szCs w:val="24"/>
                <w:lang w:bidi="ar"/>
              </w:rPr>
            </w:pPr>
          </w:p>
        </w:tc>
        <w:tc>
          <w:tcPr>
            <w:tcW w:w="901" w:type="dxa"/>
            <w:vMerge w:val="continue"/>
            <w:tcBorders>
              <w:left w:val="single" w:color="auto" w:sz="4" w:space="0"/>
              <w:bottom w:val="single" w:color="auto" w:sz="4" w:space="0"/>
              <w:right w:val="single" w:color="auto" w:sz="4" w:space="0"/>
            </w:tcBorders>
            <w:vAlign w:val="center"/>
          </w:tcPr>
          <w:p w14:paraId="1031DF0C">
            <w:pPr>
              <w:spacing w:line="360" w:lineRule="auto"/>
              <w:jc w:val="center"/>
              <w:rPr>
                <w:rFonts w:hint="eastAsia" w:ascii="宋体" w:hAnsi="宋体" w:cs="宋体"/>
                <w:bCs/>
                <w:kern w:val="28"/>
                <w:sz w:val="24"/>
                <w:szCs w:val="24"/>
              </w:rPr>
            </w:pPr>
          </w:p>
        </w:tc>
        <w:tc>
          <w:tcPr>
            <w:tcW w:w="1230" w:type="dxa"/>
            <w:tcBorders>
              <w:top w:val="single" w:color="auto" w:sz="4" w:space="0"/>
              <w:left w:val="single" w:color="auto" w:sz="4" w:space="0"/>
              <w:bottom w:val="single" w:color="auto" w:sz="4" w:space="0"/>
              <w:right w:val="single" w:color="auto" w:sz="4" w:space="0"/>
            </w:tcBorders>
            <w:vAlign w:val="center"/>
          </w:tcPr>
          <w:p w14:paraId="644695B7">
            <w:pPr>
              <w:spacing w:line="360" w:lineRule="auto"/>
              <w:jc w:val="center"/>
              <w:rPr>
                <w:rFonts w:hint="eastAsia" w:ascii="宋体" w:hAnsi="宋体" w:cs="宋体"/>
                <w:sz w:val="24"/>
                <w:szCs w:val="24"/>
              </w:rPr>
            </w:pPr>
            <w:r>
              <w:rPr>
                <w:rFonts w:hint="eastAsia" w:ascii="宋体" w:hAnsi="宋体" w:cs="宋体"/>
                <w:sz w:val="24"/>
                <w:szCs w:val="24"/>
              </w:rPr>
              <w:t>联合体</w:t>
            </w:r>
          </w:p>
          <w:p w14:paraId="02EA7CD4">
            <w:pPr>
              <w:spacing w:line="360" w:lineRule="auto"/>
              <w:jc w:val="center"/>
              <w:rPr>
                <w:rFonts w:hint="eastAsia" w:ascii="宋体" w:hAnsi="宋体" w:cs="宋体"/>
                <w:sz w:val="24"/>
                <w:szCs w:val="24"/>
              </w:rPr>
            </w:pPr>
            <w:r>
              <w:rPr>
                <w:rFonts w:hint="eastAsia" w:ascii="宋体" w:hAnsi="宋体" w:cs="宋体"/>
                <w:sz w:val="24"/>
                <w:szCs w:val="24"/>
              </w:rPr>
              <w:t>谈判</w:t>
            </w:r>
          </w:p>
        </w:tc>
        <w:tc>
          <w:tcPr>
            <w:tcW w:w="6215" w:type="dxa"/>
            <w:tcBorders>
              <w:top w:val="single" w:color="auto" w:sz="4" w:space="0"/>
              <w:left w:val="single" w:color="auto" w:sz="4" w:space="0"/>
              <w:bottom w:val="single" w:color="auto" w:sz="4" w:space="0"/>
              <w:right w:val="single" w:color="auto" w:sz="4" w:space="0"/>
            </w:tcBorders>
            <w:vAlign w:val="center"/>
          </w:tcPr>
          <w:p w14:paraId="78C38157">
            <w:pPr>
              <w:spacing w:line="360" w:lineRule="auto"/>
              <w:rPr>
                <w:rFonts w:hint="eastAsia" w:ascii="宋体" w:hAnsi="宋体" w:cs="宋体"/>
                <w:kern w:val="0"/>
                <w:sz w:val="24"/>
                <w:szCs w:val="24"/>
              </w:rPr>
            </w:pPr>
            <w:r>
              <w:rPr>
                <w:rFonts w:hint="eastAsia" w:ascii="宋体" w:hAnsi="宋体" w:cs="宋体"/>
                <w:kern w:val="0"/>
                <w:sz w:val="24"/>
                <w:szCs w:val="24"/>
              </w:rPr>
              <w:t>本项目</w:t>
            </w:r>
            <w:r>
              <w:rPr>
                <w:rFonts w:hint="eastAsia" w:ascii="宋体" w:hAnsi="宋体" w:cs="宋体"/>
                <w:bCs/>
                <w:sz w:val="24"/>
                <w:szCs w:val="24"/>
              </w:rPr>
              <w:t>不接受</w:t>
            </w:r>
            <w:r>
              <w:rPr>
                <w:rFonts w:hint="eastAsia" w:ascii="宋体" w:hAnsi="宋体" w:cs="宋体"/>
                <w:kern w:val="0"/>
                <w:sz w:val="24"/>
                <w:szCs w:val="24"/>
              </w:rPr>
              <w:t>联合体谈判。</w:t>
            </w:r>
          </w:p>
          <w:p w14:paraId="7F45ECE0">
            <w:pPr>
              <w:snapToGrid w:val="0"/>
              <w:spacing w:line="440" w:lineRule="exact"/>
              <w:rPr>
                <w:rFonts w:hint="eastAsia" w:ascii="宋体" w:hAnsi="宋体" w:cs="宋体"/>
                <w:sz w:val="24"/>
                <w:szCs w:val="24"/>
              </w:rPr>
            </w:pPr>
            <w:r>
              <w:rPr>
                <w:rFonts w:hint="eastAsia" w:ascii="宋体" w:hAnsi="宋体" w:cs="宋体"/>
                <w:b/>
                <w:bCs/>
                <w:sz w:val="24"/>
                <w:szCs w:val="24"/>
              </w:rPr>
              <w:t>注：以谈判响应文件中所附非联合体声明为准。</w:t>
            </w:r>
          </w:p>
        </w:tc>
      </w:tr>
    </w:tbl>
    <w:p w14:paraId="064B71CB">
      <w:pPr>
        <w:rPr>
          <w:rFonts w:hint="eastAsia" w:ascii="宋体" w:hAnsi="宋体" w:cs="宋体"/>
          <w:sz w:val="24"/>
          <w:szCs w:val="24"/>
        </w:rPr>
      </w:pPr>
    </w:p>
    <w:p w14:paraId="17591C44">
      <w:pPr>
        <w:spacing w:line="360" w:lineRule="auto"/>
        <w:ind w:firstLine="480" w:firstLineChars="200"/>
        <w:jc w:val="left"/>
        <w:rPr>
          <w:rFonts w:hint="eastAsia" w:ascii="宋体" w:hAnsi="宋体" w:cs="宋体"/>
          <w:sz w:val="24"/>
          <w:szCs w:val="24"/>
          <w:lang w:val="zh-CN"/>
        </w:rPr>
      </w:pPr>
      <w:r>
        <w:rPr>
          <w:rFonts w:hint="eastAsia" w:ascii="宋体" w:hAnsi="宋体" w:cs="宋体"/>
          <w:sz w:val="24"/>
          <w:szCs w:val="24"/>
        </w:rPr>
        <w:t>1.2.2</w:t>
      </w:r>
      <w:r>
        <w:rPr>
          <w:rFonts w:hint="eastAsia" w:ascii="宋体" w:hAnsi="宋体" w:cs="宋体"/>
          <w:sz w:val="24"/>
          <w:szCs w:val="24"/>
          <w:lang w:val="zh-CN"/>
        </w:rPr>
        <w:t>谈判响应文件的符合性审查：依据谈判文件的规定，由谈判小组对谈判响应文件进行符合性审查，以确定是否对谈判文件的实质性内容做出响应</w:t>
      </w:r>
      <w:r>
        <w:rPr>
          <w:rFonts w:hint="eastAsia" w:ascii="宋体" w:hAnsi="宋体" w:cs="宋体"/>
          <w:color w:val="000000"/>
          <w:sz w:val="24"/>
          <w:szCs w:val="24"/>
        </w:rPr>
        <w:t>。</w:t>
      </w:r>
    </w:p>
    <w:tbl>
      <w:tblPr>
        <w:tblStyle w:val="28"/>
        <w:tblW w:w="9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17"/>
        <w:gridCol w:w="2110"/>
        <w:gridCol w:w="6092"/>
      </w:tblGrid>
      <w:tr w14:paraId="55F3E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509E13ED">
            <w:pPr>
              <w:spacing w:line="400" w:lineRule="exact"/>
              <w:jc w:val="center"/>
              <w:rPr>
                <w:rFonts w:hint="eastAsia" w:ascii="宋体" w:hAnsi="宋体" w:cs="宋体"/>
                <w:bCs/>
                <w:sz w:val="24"/>
                <w:szCs w:val="24"/>
              </w:rPr>
            </w:pPr>
            <w:r>
              <w:rPr>
                <w:rFonts w:hint="eastAsia" w:ascii="宋体" w:hAnsi="宋体" w:cs="宋体"/>
                <w:bCs/>
                <w:sz w:val="24"/>
                <w:szCs w:val="24"/>
                <w:lang w:bidi="ar"/>
              </w:rPr>
              <w:t>序号</w:t>
            </w:r>
          </w:p>
        </w:tc>
        <w:tc>
          <w:tcPr>
            <w:tcW w:w="8202" w:type="dxa"/>
            <w:gridSpan w:val="2"/>
            <w:tcBorders>
              <w:top w:val="single" w:color="auto" w:sz="4" w:space="0"/>
              <w:left w:val="single" w:color="auto" w:sz="4" w:space="0"/>
              <w:bottom w:val="single" w:color="auto" w:sz="4" w:space="0"/>
              <w:right w:val="single" w:color="auto" w:sz="4" w:space="0"/>
            </w:tcBorders>
            <w:vAlign w:val="center"/>
          </w:tcPr>
          <w:p w14:paraId="5B6F3FEA">
            <w:pPr>
              <w:snapToGrid w:val="0"/>
              <w:spacing w:line="400" w:lineRule="exact"/>
              <w:jc w:val="center"/>
              <w:rPr>
                <w:rFonts w:hint="eastAsia" w:ascii="宋体" w:hAnsi="宋体" w:cs="宋体"/>
                <w:bCs/>
                <w:sz w:val="24"/>
                <w:szCs w:val="24"/>
              </w:rPr>
            </w:pPr>
            <w:r>
              <w:rPr>
                <w:rFonts w:hint="eastAsia" w:ascii="宋体" w:hAnsi="宋体" w:cs="宋体"/>
                <w:sz w:val="24"/>
                <w:szCs w:val="24"/>
              </w:rPr>
              <w:t>符合性审查标准</w:t>
            </w:r>
          </w:p>
        </w:tc>
      </w:tr>
      <w:tr w14:paraId="125B8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08B926A4">
            <w:pPr>
              <w:spacing w:line="400" w:lineRule="exact"/>
              <w:jc w:val="center"/>
              <w:rPr>
                <w:rFonts w:hint="eastAsia" w:ascii="宋体" w:hAnsi="宋体" w:cs="宋体"/>
                <w:bCs/>
                <w:sz w:val="24"/>
                <w:szCs w:val="24"/>
                <w:lang w:bidi="ar"/>
              </w:rPr>
            </w:pPr>
            <w:r>
              <w:rPr>
                <w:rFonts w:hint="eastAsia" w:ascii="宋体" w:hAnsi="宋体" w:cs="宋体"/>
                <w:bCs/>
                <w:sz w:val="24"/>
                <w:szCs w:val="24"/>
                <w:lang w:bidi="ar"/>
              </w:rPr>
              <w:t>1</w:t>
            </w:r>
          </w:p>
        </w:tc>
        <w:tc>
          <w:tcPr>
            <w:tcW w:w="2110" w:type="dxa"/>
            <w:tcBorders>
              <w:top w:val="single" w:color="auto" w:sz="4" w:space="0"/>
              <w:left w:val="single" w:color="auto" w:sz="4" w:space="0"/>
              <w:bottom w:val="single" w:color="auto" w:sz="4" w:space="0"/>
              <w:right w:val="single" w:color="auto" w:sz="4" w:space="0"/>
            </w:tcBorders>
            <w:vAlign w:val="center"/>
          </w:tcPr>
          <w:p w14:paraId="420C16B4">
            <w:pPr>
              <w:spacing w:line="400" w:lineRule="exact"/>
              <w:jc w:val="center"/>
              <w:rPr>
                <w:rFonts w:hint="eastAsia" w:ascii="宋体" w:hAnsi="宋体" w:cs="宋体"/>
                <w:bCs/>
                <w:sz w:val="24"/>
                <w:szCs w:val="24"/>
                <w:lang w:val="zh-CN" w:bidi="ar"/>
              </w:rPr>
            </w:pPr>
            <w:r>
              <w:rPr>
                <w:rFonts w:hint="eastAsia" w:ascii="宋体" w:hAnsi="宋体" w:cs="宋体"/>
                <w:bCs/>
                <w:sz w:val="24"/>
                <w:szCs w:val="24"/>
                <w:lang w:bidi="ar"/>
              </w:rPr>
              <w:t>谈判响应文件签章</w:t>
            </w:r>
          </w:p>
        </w:tc>
        <w:tc>
          <w:tcPr>
            <w:tcW w:w="6092" w:type="dxa"/>
            <w:tcBorders>
              <w:top w:val="single" w:color="auto" w:sz="4" w:space="0"/>
              <w:left w:val="single" w:color="auto" w:sz="4" w:space="0"/>
              <w:bottom w:val="single" w:color="auto" w:sz="4" w:space="0"/>
              <w:right w:val="single" w:color="auto" w:sz="4" w:space="0"/>
            </w:tcBorders>
            <w:vAlign w:val="center"/>
          </w:tcPr>
          <w:p w14:paraId="64CFC8E9">
            <w:pPr>
              <w:spacing w:line="400" w:lineRule="exact"/>
              <w:jc w:val="left"/>
              <w:rPr>
                <w:rFonts w:hint="eastAsia" w:ascii="宋体" w:hAnsi="宋体" w:cs="宋体"/>
                <w:bCs/>
                <w:sz w:val="24"/>
                <w:szCs w:val="24"/>
                <w:lang w:bidi="ar"/>
              </w:rPr>
            </w:pPr>
            <w:r>
              <w:rPr>
                <w:rFonts w:hint="eastAsia" w:ascii="宋体" w:hAnsi="宋体" w:cs="宋体"/>
                <w:sz w:val="24"/>
                <w:szCs w:val="24"/>
                <w:lang w:val="zh-CN"/>
              </w:rPr>
              <w:t>按</w:t>
            </w:r>
            <w:r>
              <w:rPr>
                <w:rFonts w:hint="eastAsia" w:ascii="宋体" w:hAnsi="宋体" w:cs="宋体"/>
                <w:sz w:val="24"/>
                <w:szCs w:val="24"/>
              </w:rPr>
              <w:t>谈判</w:t>
            </w:r>
            <w:r>
              <w:rPr>
                <w:rFonts w:hint="eastAsia" w:ascii="宋体" w:hAnsi="宋体" w:cs="宋体"/>
                <w:sz w:val="24"/>
                <w:szCs w:val="24"/>
                <w:lang w:val="zh-CN"/>
              </w:rPr>
              <w:t>文件要求签署、加盖印章。</w:t>
            </w:r>
          </w:p>
        </w:tc>
      </w:tr>
      <w:tr w14:paraId="1C2AF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5BF57955">
            <w:pPr>
              <w:spacing w:line="400" w:lineRule="exact"/>
              <w:jc w:val="center"/>
              <w:rPr>
                <w:rFonts w:hint="eastAsia" w:ascii="宋体" w:hAnsi="宋体" w:cs="宋体"/>
                <w:bCs/>
                <w:sz w:val="24"/>
                <w:szCs w:val="24"/>
              </w:rPr>
            </w:pPr>
            <w:r>
              <w:rPr>
                <w:rFonts w:hint="eastAsia" w:ascii="宋体" w:hAnsi="宋体" w:cs="宋体"/>
                <w:bCs/>
                <w:sz w:val="24"/>
                <w:szCs w:val="24"/>
              </w:rPr>
              <w:t>2</w:t>
            </w:r>
          </w:p>
        </w:tc>
        <w:tc>
          <w:tcPr>
            <w:tcW w:w="2110" w:type="dxa"/>
            <w:tcBorders>
              <w:top w:val="single" w:color="auto" w:sz="4" w:space="0"/>
              <w:left w:val="single" w:color="auto" w:sz="4" w:space="0"/>
              <w:bottom w:val="single" w:color="auto" w:sz="4" w:space="0"/>
              <w:right w:val="single" w:color="auto" w:sz="4" w:space="0"/>
            </w:tcBorders>
            <w:vAlign w:val="center"/>
          </w:tcPr>
          <w:p w14:paraId="733CA33E">
            <w:pPr>
              <w:spacing w:line="400" w:lineRule="exact"/>
              <w:jc w:val="center"/>
              <w:rPr>
                <w:rFonts w:hint="eastAsia" w:ascii="宋体" w:hAnsi="宋体" w:cs="宋体"/>
                <w:bCs/>
                <w:sz w:val="24"/>
                <w:szCs w:val="24"/>
                <w:lang w:bidi="ar"/>
              </w:rPr>
            </w:pPr>
            <w:r>
              <w:rPr>
                <w:rFonts w:hint="eastAsia" w:ascii="宋体" w:hAnsi="宋体" w:cs="宋体"/>
                <w:bCs/>
                <w:sz w:val="24"/>
                <w:szCs w:val="24"/>
                <w:lang w:bidi="ar"/>
              </w:rPr>
              <w:t>交货期限</w:t>
            </w:r>
          </w:p>
        </w:tc>
        <w:tc>
          <w:tcPr>
            <w:tcW w:w="6092" w:type="dxa"/>
            <w:tcBorders>
              <w:top w:val="single" w:color="auto" w:sz="4" w:space="0"/>
              <w:left w:val="single" w:color="auto" w:sz="4" w:space="0"/>
              <w:bottom w:val="single" w:color="auto" w:sz="4" w:space="0"/>
              <w:right w:val="single" w:color="auto" w:sz="4" w:space="0"/>
            </w:tcBorders>
            <w:vAlign w:val="center"/>
          </w:tcPr>
          <w:p w14:paraId="784F7AE7">
            <w:pPr>
              <w:spacing w:line="400" w:lineRule="exact"/>
              <w:jc w:val="left"/>
              <w:rPr>
                <w:rFonts w:hint="eastAsia" w:ascii="宋体" w:hAnsi="宋体" w:cs="宋体"/>
                <w:bCs/>
                <w:sz w:val="24"/>
                <w:szCs w:val="24"/>
                <w:lang w:bidi="ar"/>
              </w:rPr>
            </w:pPr>
            <w:r>
              <w:rPr>
                <w:rFonts w:hint="eastAsia" w:ascii="宋体" w:hAnsi="宋体" w:cs="宋体"/>
                <w:bCs/>
                <w:sz w:val="24"/>
                <w:szCs w:val="24"/>
                <w:lang w:bidi="ar"/>
              </w:rPr>
              <w:t>符合竞争性谈判文件要求。</w:t>
            </w:r>
          </w:p>
        </w:tc>
      </w:tr>
      <w:tr w14:paraId="4F9A2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3"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37C615F0">
            <w:pPr>
              <w:spacing w:line="400" w:lineRule="exact"/>
              <w:jc w:val="center"/>
              <w:rPr>
                <w:rFonts w:hint="eastAsia" w:ascii="宋体" w:hAnsi="宋体" w:cs="宋体"/>
                <w:bCs/>
                <w:sz w:val="24"/>
                <w:szCs w:val="24"/>
              </w:rPr>
            </w:pPr>
            <w:r>
              <w:rPr>
                <w:rFonts w:hint="eastAsia" w:ascii="宋体" w:hAnsi="宋体" w:cs="宋体"/>
                <w:bCs/>
                <w:sz w:val="24"/>
                <w:szCs w:val="24"/>
              </w:rPr>
              <w:t>3</w:t>
            </w:r>
          </w:p>
        </w:tc>
        <w:tc>
          <w:tcPr>
            <w:tcW w:w="2110" w:type="dxa"/>
            <w:tcBorders>
              <w:top w:val="single" w:color="auto" w:sz="4" w:space="0"/>
              <w:left w:val="single" w:color="auto" w:sz="4" w:space="0"/>
              <w:bottom w:val="single" w:color="auto" w:sz="4" w:space="0"/>
              <w:right w:val="single" w:color="auto" w:sz="4" w:space="0"/>
            </w:tcBorders>
            <w:vAlign w:val="center"/>
          </w:tcPr>
          <w:p w14:paraId="454471A7">
            <w:pPr>
              <w:spacing w:line="400" w:lineRule="exact"/>
              <w:jc w:val="center"/>
              <w:rPr>
                <w:rFonts w:hint="eastAsia" w:ascii="宋体" w:hAnsi="宋体" w:cs="宋体"/>
                <w:bCs/>
                <w:sz w:val="24"/>
                <w:szCs w:val="24"/>
                <w:lang w:bidi="ar"/>
              </w:rPr>
            </w:pPr>
            <w:r>
              <w:rPr>
                <w:rFonts w:hint="eastAsia" w:ascii="宋体" w:hAnsi="宋体" w:cs="宋体"/>
                <w:bCs/>
                <w:sz w:val="24"/>
                <w:szCs w:val="24"/>
                <w:lang w:bidi="ar"/>
              </w:rPr>
              <w:t>质量标准</w:t>
            </w:r>
          </w:p>
        </w:tc>
        <w:tc>
          <w:tcPr>
            <w:tcW w:w="6092" w:type="dxa"/>
            <w:tcBorders>
              <w:top w:val="single" w:color="auto" w:sz="4" w:space="0"/>
              <w:left w:val="single" w:color="auto" w:sz="4" w:space="0"/>
              <w:bottom w:val="single" w:color="auto" w:sz="4" w:space="0"/>
              <w:right w:val="single" w:color="auto" w:sz="4" w:space="0"/>
            </w:tcBorders>
            <w:vAlign w:val="center"/>
          </w:tcPr>
          <w:p w14:paraId="6DC8E8DC">
            <w:pPr>
              <w:spacing w:line="400" w:lineRule="exact"/>
              <w:jc w:val="left"/>
              <w:rPr>
                <w:rFonts w:hint="eastAsia" w:ascii="宋体" w:hAnsi="宋体" w:cs="宋体"/>
                <w:bCs/>
                <w:sz w:val="24"/>
                <w:szCs w:val="24"/>
                <w:lang w:bidi="ar"/>
              </w:rPr>
            </w:pPr>
            <w:r>
              <w:rPr>
                <w:rFonts w:hint="eastAsia" w:ascii="宋体" w:hAnsi="宋体" w:cs="宋体"/>
                <w:bCs/>
                <w:sz w:val="24"/>
                <w:szCs w:val="24"/>
                <w:lang w:bidi="ar"/>
              </w:rPr>
              <w:t>符合竞争性谈判文件要求。</w:t>
            </w:r>
          </w:p>
        </w:tc>
      </w:tr>
      <w:tr w14:paraId="76631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68E05CB9">
            <w:pPr>
              <w:spacing w:line="400" w:lineRule="exact"/>
              <w:jc w:val="center"/>
              <w:rPr>
                <w:rFonts w:hint="eastAsia" w:ascii="宋体" w:hAnsi="宋体" w:cs="宋体"/>
                <w:bCs/>
                <w:sz w:val="24"/>
                <w:szCs w:val="24"/>
              </w:rPr>
            </w:pPr>
            <w:r>
              <w:rPr>
                <w:rFonts w:hint="eastAsia" w:ascii="宋体" w:hAnsi="宋体" w:cs="宋体"/>
                <w:bCs/>
                <w:sz w:val="24"/>
                <w:szCs w:val="24"/>
              </w:rPr>
              <w:t>4</w:t>
            </w:r>
          </w:p>
        </w:tc>
        <w:tc>
          <w:tcPr>
            <w:tcW w:w="2110" w:type="dxa"/>
            <w:tcBorders>
              <w:top w:val="single" w:color="auto" w:sz="4" w:space="0"/>
              <w:left w:val="single" w:color="auto" w:sz="4" w:space="0"/>
              <w:bottom w:val="single" w:color="auto" w:sz="4" w:space="0"/>
              <w:right w:val="single" w:color="auto" w:sz="4" w:space="0"/>
            </w:tcBorders>
            <w:vAlign w:val="center"/>
          </w:tcPr>
          <w:p w14:paraId="02520292">
            <w:pPr>
              <w:spacing w:line="400" w:lineRule="exact"/>
              <w:jc w:val="center"/>
              <w:rPr>
                <w:rFonts w:hint="eastAsia" w:ascii="宋体" w:hAnsi="宋体" w:cs="宋体"/>
                <w:bCs/>
                <w:sz w:val="24"/>
                <w:szCs w:val="24"/>
              </w:rPr>
            </w:pPr>
            <w:r>
              <w:rPr>
                <w:rFonts w:hint="eastAsia" w:ascii="宋体" w:hAnsi="宋体" w:cs="宋体"/>
                <w:bCs/>
                <w:sz w:val="24"/>
                <w:szCs w:val="24"/>
                <w:lang w:bidi="ar"/>
              </w:rPr>
              <w:t>响应文件有效期</w:t>
            </w:r>
          </w:p>
        </w:tc>
        <w:tc>
          <w:tcPr>
            <w:tcW w:w="6092" w:type="dxa"/>
            <w:tcBorders>
              <w:top w:val="single" w:color="auto" w:sz="4" w:space="0"/>
              <w:left w:val="single" w:color="auto" w:sz="4" w:space="0"/>
              <w:bottom w:val="single" w:color="auto" w:sz="4" w:space="0"/>
              <w:right w:val="single" w:color="auto" w:sz="4" w:space="0"/>
            </w:tcBorders>
            <w:vAlign w:val="center"/>
          </w:tcPr>
          <w:p w14:paraId="1F395AF5">
            <w:pPr>
              <w:spacing w:line="400" w:lineRule="exact"/>
              <w:jc w:val="left"/>
              <w:rPr>
                <w:rFonts w:hint="eastAsia" w:ascii="宋体" w:hAnsi="宋体" w:cs="宋体"/>
                <w:bCs/>
                <w:sz w:val="24"/>
                <w:szCs w:val="24"/>
              </w:rPr>
            </w:pPr>
            <w:r>
              <w:rPr>
                <w:rFonts w:hint="eastAsia" w:ascii="宋体" w:hAnsi="宋体" w:cs="宋体"/>
                <w:sz w:val="24"/>
                <w:szCs w:val="24"/>
              </w:rPr>
              <w:t>符合竞争性谈判文件要求。</w:t>
            </w:r>
          </w:p>
        </w:tc>
      </w:tr>
      <w:tr w14:paraId="002AF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1"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52EF675E">
            <w:pPr>
              <w:spacing w:line="400" w:lineRule="exact"/>
              <w:jc w:val="center"/>
              <w:rPr>
                <w:rFonts w:hint="eastAsia" w:ascii="宋体" w:hAnsi="宋体" w:cs="宋体"/>
                <w:bCs/>
                <w:sz w:val="24"/>
                <w:szCs w:val="24"/>
              </w:rPr>
            </w:pPr>
            <w:r>
              <w:rPr>
                <w:rFonts w:hint="eastAsia" w:ascii="宋体" w:hAnsi="宋体" w:cs="宋体"/>
                <w:bCs/>
                <w:sz w:val="24"/>
                <w:szCs w:val="24"/>
              </w:rPr>
              <w:t>5</w:t>
            </w:r>
          </w:p>
        </w:tc>
        <w:tc>
          <w:tcPr>
            <w:tcW w:w="2110" w:type="dxa"/>
            <w:tcBorders>
              <w:top w:val="single" w:color="auto" w:sz="4" w:space="0"/>
              <w:left w:val="single" w:color="auto" w:sz="4" w:space="0"/>
              <w:bottom w:val="single" w:color="auto" w:sz="4" w:space="0"/>
              <w:right w:val="single" w:color="auto" w:sz="4" w:space="0"/>
            </w:tcBorders>
            <w:vAlign w:val="center"/>
          </w:tcPr>
          <w:p w14:paraId="455D5E49">
            <w:pPr>
              <w:spacing w:line="400" w:lineRule="exact"/>
              <w:jc w:val="center"/>
              <w:rPr>
                <w:rFonts w:hint="eastAsia" w:ascii="宋体" w:hAnsi="宋体" w:cs="宋体"/>
                <w:sz w:val="24"/>
                <w:szCs w:val="24"/>
                <w:lang w:bidi="ar"/>
              </w:rPr>
            </w:pPr>
            <w:r>
              <w:rPr>
                <w:rFonts w:hint="eastAsia" w:ascii="宋体" w:hAnsi="宋体" w:cs="宋体"/>
                <w:sz w:val="24"/>
                <w:szCs w:val="24"/>
                <w:lang w:bidi="ar"/>
              </w:rPr>
              <w:t>不存在禁止谈判的情形</w:t>
            </w:r>
          </w:p>
        </w:tc>
        <w:tc>
          <w:tcPr>
            <w:tcW w:w="6092" w:type="dxa"/>
            <w:tcBorders>
              <w:top w:val="single" w:color="auto" w:sz="4" w:space="0"/>
              <w:left w:val="single" w:color="auto" w:sz="4" w:space="0"/>
              <w:bottom w:val="single" w:color="auto" w:sz="4" w:space="0"/>
              <w:right w:val="single" w:color="auto" w:sz="4" w:space="0"/>
            </w:tcBorders>
            <w:vAlign w:val="center"/>
          </w:tcPr>
          <w:p w14:paraId="29F6E7E5">
            <w:pPr>
              <w:spacing w:line="400" w:lineRule="exact"/>
              <w:jc w:val="left"/>
              <w:rPr>
                <w:rFonts w:hint="eastAsia" w:ascii="宋体" w:hAnsi="宋体" w:cs="宋体"/>
                <w:sz w:val="24"/>
                <w:szCs w:val="24"/>
              </w:rPr>
            </w:pPr>
            <w:r>
              <w:rPr>
                <w:rFonts w:hint="eastAsia" w:ascii="宋体" w:hAnsi="宋体" w:cs="宋体"/>
                <w:sz w:val="24"/>
                <w:szCs w:val="24"/>
              </w:rPr>
              <w:t>不存在第二章“供应商须知”第1.4.3项规定的任何一种情形。</w:t>
            </w:r>
          </w:p>
        </w:tc>
      </w:tr>
      <w:tr w14:paraId="57080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1"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0BBA7377">
            <w:pPr>
              <w:spacing w:line="400" w:lineRule="exact"/>
              <w:jc w:val="center"/>
              <w:rPr>
                <w:rFonts w:hint="eastAsia" w:ascii="宋体" w:hAnsi="宋体" w:cs="宋体"/>
              </w:rPr>
            </w:pPr>
            <w:r>
              <w:rPr>
                <w:rFonts w:hint="eastAsia" w:ascii="宋体" w:hAnsi="宋体" w:cs="宋体"/>
              </w:rPr>
              <w:t>6</w:t>
            </w:r>
          </w:p>
        </w:tc>
        <w:tc>
          <w:tcPr>
            <w:tcW w:w="2110" w:type="dxa"/>
            <w:tcBorders>
              <w:top w:val="single" w:color="auto" w:sz="4" w:space="0"/>
              <w:left w:val="single" w:color="auto" w:sz="4" w:space="0"/>
              <w:bottom w:val="single" w:color="auto" w:sz="4" w:space="0"/>
              <w:right w:val="single" w:color="auto" w:sz="4" w:space="0"/>
            </w:tcBorders>
            <w:vAlign w:val="center"/>
          </w:tcPr>
          <w:p w14:paraId="0AEC667D">
            <w:pPr>
              <w:spacing w:line="400" w:lineRule="exact"/>
              <w:jc w:val="center"/>
              <w:rPr>
                <w:rFonts w:hint="eastAsia" w:ascii="宋体" w:hAnsi="宋体" w:cs="宋体"/>
                <w:sz w:val="24"/>
                <w:szCs w:val="24"/>
                <w:lang w:bidi="ar"/>
              </w:rPr>
            </w:pPr>
            <w:r>
              <w:rPr>
                <w:rFonts w:hint="eastAsia" w:ascii="宋体" w:hAnsi="宋体" w:cs="宋体"/>
                <w:sz w:val="24"/>
                <w:szCs w:val="24"/>
                <w:lang w:bidi="ar"/>
              </w:rPr>
              <w:t>商务要求</w:t>
            </w:r>
          </w:p>
        </w:tc>
        <w:tc>
          <w:tcPr>
            <w:tcW w:w="6092" w:type="dxa"/>
            <w:tcBorders>
              <w:top w:val="single" w:color="auto" w:sz="4" w:space="0"/>
              <w:left w:val="single" w:color="auto" w:sz="4" w:space="0"/>
              <w:bottom w:val="single" w:color="auto" w:sz="4" w:space="0"/>
              <w:right w:val="single" w:color="auto" w:sz="4" w:space="0"/>
            </w:tcBorders>
            <w:vAlign w:val="center"/>
          </w:tcPr>
          <w:p w14:paraId="2A248B7D">
            <w:pPr>
              <w:spacing w:line="400" w:lineRule="exact"/>
              <w:jc w:val="left"/>
              <w:rPr>
                <w:rFonts w:hint="eastAsia" w:ascii="宋体" w:hAnsi="宋体" w:cs="宋体"/>
                <w:sz w:val="24"/>
                <w:szCs w:val="24"/>
                <w:lang w:bidi="ar"/>
              </w:rPr>
            </w:pPr>
            <w:r>
              <w:rPr>
                <w:rFonts w:hint="eastAsia" w:ascii="宋体" w:hAnsi="宋体" w:cs="宋体"/>
                <w:sz w:val="24"/>
                <w:szCs w:val="24"/>
                <w:lang w:bidi="ar"/>
              </w:rPr>
              <w:t>符合竞争性谈判文件要求。</w:t>
            </w:r>
          </w:p>
        </w:tc>
      </w:tr>
      <w:tr w14:paraId="7F6BB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12"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14:paraId="6AE50D8E">
            <w:pPr>
              <w:spacing w:line="400" w:lineRule="exact"/>
              <w:jc w:val="center"/>
              <w:rPr>
                <w:rFonts w:hint="eastAsia" w:ascii="宋体" w:hAnsi="宋体" w:cs="宋体"/>
                <w:bCs/>
                <w:sz w:val="24"/>
                <w:szCs w:val="24"/>
              </w:rPr>
            </w:pPr>
            <w:r>
              <w:rPr>
                <w:rFonts w:hint="eastAsia" w:ascii="宋体" w:hAnsi="宋体" w:cs="宋体"/>
                <w:bCs/>
                <w:sz w:val="24"/>
                <w:szCs w:val="24"/>
              </w:rPr>
              <w:t>7</w:t>
            </w:r>
          </w:p>
        </w:tc>
        <w:tc>
          <w:tcPr>
            <w:tcW w:w="2110" w:type="dxa"/>
            <w:tcBorders>
              <w:top w:val="single" w:color="auto" w:sz="4" w:space="0"/>
              <w:left w:val="single" w:color="auto" w:sz="4" w:space="0"/>
              <w:bottom w:val="single" w:color="auto" w:sz="4" w:space="0"/>
              <w:right w:val="single" w:color="auto" w:sz="4" w:space="0"/>
            </w:tcBorders>
            <w:vAlign w:val="center"/>
          </w:tcPr>
          <w:p w14:paraId="7045ED87">
            <w:pPr>
              <w:spacing w:line="400" w:lineRule="exact"/>
              <w:jc w:val="center"/>
              <w:rPr>
                <w:rFonts w:hint="eastAsia" w:ascii="宋体" w:hAnsi="宋体" w:cs="宋体"/>
                <w:bCs/>
                <w:sz w:val="24"/>
                <w:szCs w:val="24"/>
                <w:lang w:bidi="ar"/>
              </w:rPr>
            </w:pPr>
            <w:r>
              <w:rPr>
                <w:rFonts w:hint="eastAsia" w:ascii="宋体" w:hAnsi="宋体" w:cs="宋体"/>
                <w:bCs/>
                <w:sz w:val="24"/>
                <w:szCs w:val="24"/>
                <w:lang w:bidi="ar"/>
              </w:rPr>
              <w:t>谈判总报价</w:t>
            </w:r>
          </w:p>
        </w:tc>
        <w:tc>
          <w:tcPr>
            <w:tcW w:w="6092" w:type="dxa"/>
            <w:tcBorders>
              <w:top w:val="single" w:color="auto" w:sz="4" w:space="0"/>
              <w:left w:val="single" w:color="auto" w:sz="4" w:space="0"/>
              <w:bottom w:val="single" w:color="auto" w:sz="4" w:space="0"/>
              <w:right w:val="single" w:color="auto" w:sz="4" w:space="0"/>
            </w:tcBorders>
            <w:vAlign w:val="center"/>
          </w:tcPr>
          <w:p w14:paraId="45B65871">
            <w:pPr>
              <w:spacing w:line="400" w:lineRule="exact"/>
              <w:jc w:val="left"/>
              <w:rPr>
                <w:rFonts w:hint="eastAsia" w:ascii="宋体" w:hAnsi="宋体" w:cs="宋体"/>
                <w:sz w:val="24"/>
                <w:szCs w:val="24"/>
              </w:rPr>
            </w:pPr>
            <w:r>
              <w:rPr>
                <w:rFonts w:hint="eastAsia" w:ascii="宋体" w:hAnsi="宋体" w:cs="宋体"/>
                <w:sz w:val="24"/>
                <w:szCs w:val="24"/>
              </w:rPr>
              <w:t>每轮谈判总报价唯一且未超过最高限价，并“不存在第二章3.2.6财政部《关于推动解决政府采购异常低价问题的通知》（财库〔2026〕2号）所列的异常低价投标（响应）情况”。</w:t>
            </w:r>
          </w:p>
        </w:tc>
      </w:tr>
    </w:tbl>
    <w:p w14:paraId="639A3F16">
      <w:pPr>
        <w:rPr>
          <w:rFonts w:hint="eastAsia" w:ascii="宋体" w:hAnsi="宋体" w:cs="宋体"/>
          <w:b/>
          <w:bCs/>
          <w:sz w:val="24"/>
          <w:szCs w:val="24"/>
        </w:rPr>
      </w:pPr>
    </w:p>
    <w:p w14:paraId="2F730E3A">
      <w:pPr>
        <w:adjustRightInd w:val="0"/>
        <w:snapToGrid w:val="0"/>
        <w:spacing w:line="360" w:lineRule="auto"/>
        <w:rPr>
          <w:rFonts w:hint="eastAsia" w:ascii="宋体" w:hAnsi="宋体" w:cs="宋体"/>
          <w:sz w:val="24"/>
          <w:szCs w:val="24"/>
        </w:rPr>
      </w:pPr>
      <w:r>
        <w:rPr>
          <w:rFonts w:hint="eastAsia" w:ascii="宋体" w:hAnsi="宋体" w:cs="宋体"/>
          <w:b/>
          <w:bCs/>
          <w:sz w:val="24"/>
          <w:szCs w:val="24"/>
        </w:rPr>
        <w:t>二、评审办法</w:t>
      </w:r>
    </w:p>
    <w:p w14:paraId="6BF59BBD">
      <w:pPr>
        <w:adjustRightInd w:val="0"/>
        <w:snapToGrid w:val="0"/>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1.1 本次</w:t>
      </w:r>
      <w:r>
        <w:rPr>
          <w:rFonts w:hint="eastAsia" w:asciiTheme="minorEastAsia" w:hAnsiTheme="minorEastAsia" w:eastAsiaTheme="minorEastAsia" w:cstheme="minorEastAsia"/>
          <w:sz w:val="24"/>
          <w:szCs w:val="24"/>
        </w:rPr>
        <w:t>采用经评审的最低投标价法，采购人代表</w:t>
      </w:r>
      <w:r>
        <w:rPr>
          <w:rFonts w:hint="eastAsia" w:asciiTheme="minorEastAsia" w:hAnsiTheme="minorEastAsia" w:eastAsiaTheme="minorEastAsia" w:cstheme="minorEastAsia"/>
          <w:sz w:val="24"/>
          <w:szCs w:val="24"/>
          <w:lang w:val="zh-CN"/>
        </w:rPr>
        <w:t>对</w:t>
      </w:r>
      <w:r>
        <w:rPr>
          <w:rFonts w:hint="eastAsia" w:asciiTheme="minorEastAsia" w:hAnsiTheme="minorEastAsia" w:eastAsiaTheme="minorEastAsia" w:cstheme="minorEastAsia"/>
          <w:sz w:val="24"/>
          <w:szCs w:val="24"/>
        </w:rPr>
        <w:t>供应商</w:t>
      </w:r>
      <w:r>
        <w:rPr>
          <w:rFonts w:hint="eastAsia" w:asciiTheme="minorEastAsia" w:hAnsiTheme="minorEastAsia" w:eastAsiaTheme="minorEastAsia" w:cstheme="minorEastAsia"/>
          <w:sz w:val="24"/>
          <w:szCs w:val="24"/>
          <w:lang w:val="zh-CN"/>
        </w:rPr>
        <w:t>的谈判响应文件</w:t>
      </w:r>
      <w:r>
        <w:rPr>
          <w:rFonts w:hint="eastAsia" w:asciiTheme="minorEastAsia" w:hAnsiTheme="minorEastAsia" w:eastAsiaTheme="minorEastAsia" w:cstheme="minorEastAsia"/>
          <w:sz w:val="24"/>
          <w:szCs w:val="24"/>
        </w:rPr>
        <w:t>进行初步评审</w:t>
      </w:r>
      <w:r>
        <w:rPr>
          <w:rFonts w:hint="eastAsia" w:asciiTheme="minorEastAsia" w:hAnsiTheme="minorEastAsia" w:eastAsiaTheme="minorEastAsia" w:cstheme="minorEastAsia"/>
          <w:sz w:val="24"/>
          <w:szCs w:val="24"/>
          <w:lang w:val="zh-CN"/>
        </w:rPr>
        <w:t>，未通过</w:t>
      </w:r>
      <w:r>
        <w:rPr>
          <w:rFonts w:hint="eastAsia" w:asciiTheme="minorEastAsia" w:hAnsiTheme="minorEastAsia" w:eastAsiaTheme="minorEastAsia" w:cstheme="minorEastAsia"/>
          <w:sz w:val="24"/>
          <w:szCs w:val="24"/>
        </w:rPr>
        <w:t>初步评审</w:t>
      </w:r>
      <w:r>
        <w:rPr>
          <w:rFonts w:hint="eastAsia" w:asciiTheme="minorEastAsia" w:hAnsiTheme="minorEastAsia" w:eastAsiaTheme="minorEastAsia" w:cstheme="minorEastAsia"/>
          <w:sz w:val="24"/>
          <w:szCs w:val="24"/>
          <w:lang w:val="zh-CN"/>
        </w:rPr>
        <w:t>供应商不再进行下一</w:t>
      </w:r>
      <w:r>
        <w:rPr>
          <w:rFonts w:hint="eastAsia" w:ascii="宋体" w:hAnsi="宋体" w:cs="宋体"/>
          <w:sz w:val="24"/>
          <w:szCs w:val="24"/>
          <w:lang w:val="zh-CN"/>
        </w:rPr>
        <w:t>轮报价，按无效响应处理。谈判</w:t>
      </w:r>
      <w:r>
        <w:rPr>
          <w:rFonts w:hint="eastAsia" w:ascii="宋体" w:hAnsi="宋体" w:cs="宋体"/>
          <w:sz w:val="24"/>
          <w:szCs w:val="24"/>
        </w:rPr>
        <w:t>原则上</w:t>
      </w:r>
      <w:r>
        <w:rPr>
          <w:rFonts w:hint="eastAsia" w:ascii="宋体" w:hAnsi="宋体" w:cs="宋体"/>
          <w:sz w:val="24"/>
          <w:szCs w:val="24"/>
          <w:lang w:val="zh-CN"/>
        </w:rPr>
        <w:t>实行两轮报价。</w:t>
      </w:r>
      <w:r>
        <w:rPr>
          <w:rFonts w:hint="eastAsia" w:ascii="宋体" w:hAnsi="宋体" w:cs="宋体"/>
          <w:b/>
          <w:bCs/>
          <w:sz w:val="24"/>
          <w:szCs w:val="24"/>
        </w:rPr>
        <w:t>第一轮报价后，谈判小组可以根据项目实施情况调整采购需求，第二轮报价为最终报价。</w:t>
      </w:r>
      <w:r>
        <w:rPr>
          <w:rFonts w:ascii="宋体" w:hAnsi="宋体" w:cs="宋体"/>
          <w:b/>
          <w:bCs/>
          <w:sz w:val="24"/>
          <w:szCs w:val="24"/>
        </w:rPr>
        <w:t>根据《政府采购促进中小企业发展管理办法》（财库〔2020〕46号）及《财政部关于进一步加大政府采购支持中小企业力度的通知》（财库〔2022〕19号）的相关规定，对符合规定的小微企业报价给予 10% 的扣除，用扣除后的价格参加评审；在政府采购活动中，监狱企业和残疾人福利性单位视同小型、微型企业，享受预留份额、评审中价格扣除等促进中小企业发展的政府采购政策（不重复优惠，最高为10%）</w:t>
      </w:r>
      <w:r>
        <w:rPr>
          <w:rFonts w:hint="eastAsia" w:ascii="宋体" w:hAnsi="宋体" w:cs="宋体"/>
          <w:b/>
          <w:bCs/>
          <w:sz w:val="24"/>
          <w:szCs w:val="24"/>
        </w:rPr>
        <w:t>，若第二轮报价出现相同最低报价的，可再次报价，直至产生唯一最低报价</w:t>
      </w:r>
      <w:r>
        <w:rPr>
          <w:rFonts w:hint="eastAsia" w:ascii="宋体" w:hAnsi="宋体" w:cs="宋体"/>
          <w:sz w:val="24"/>
          <w:szCs w:val="24"/>
          <w:lang w:val="zh-CN"/>
        </w:rPr>
        <w:t>。</w:t>
      </w:r>
    </w:p>
    <w:p w14:paraId="4864853D">
      <w:pPr>
        <w:adjustRightInd w:val="0"/>
        <w:snapToGrid w:val="0"/>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谈判小组认为供应商的报价明显低于其他通过符合性审查供应商的报价，有可能影响服务质量或者不能诚信履约的，要求其在评审现场合理的时间内提供书面说明，必要时提交相关证明材料；供应商不能证明其报价合理性的，谈判小组将其作为无效</w:t>
      </w:r>
      <w:r>
        <w:rPr>
          <w:rFonts w:hint="eastAsia" w:ascii="宋体" w:hAnsi="宋体" w:cs="宋体"/>
          <w:sz w:val="24"/>
          <w:szCs w:val="24"/>
        </w:rPr>
        <w:t>响应</w:t>
      </w:r>
      <w:r>
        <w:rPr>
          <w:rFonts w:hint="eastAsia" w:ascii="宋体" w:hAnsi="宋体" w:cs="宋体"/>
          <w:sz w:val="24"/>
          <w:szCs w:val="24"/>
          <w:lang w:val="zh-CN"/>
        </w:rPr>
        <w:t>处理。</w:t>
      </w:r>
    </w:p>
    <w:p w14:paraId="53585E6F">
      <w:pPr>
        <w:adjustRightInd w:val="0"/>
        <w:snapToGrid w:val="0"/>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 xml:space="preserve">1.2 </w:t>
      </w:r>
      <w:r>
        <w:rPr>
          <w:rFonts w:hint="eastAsia" w:ascii="宋体" w:hAnsi="宋体" w:cs="宋体"/>
          <w:sz w:val="24"/>
          <w:szCs w:val="24"/>
          <w:lang w:val="zh-CN"/>
        </w:rPr>
        <w:t>谈判小组按照最终评审价格由低到高的顺序提出3名成交候选供应商。谈判小组依据谈判结果写出谈判报告。</w:t>
      </w:r>
    </w:p>
    <w:p w14:paraId="002BAA09">
      <w:pPr>
        <w:spacing w:line="360" w:lineRule="auto"/>
        <w:ind w:firstLine="480" w:firstLineChars="200"/>
        <w:jc w:val="left"/>
        <w:rPr>
          <w:rFonts w:hint="eastAsia" w:ascii="宋体" w:hAnsi="宋体" w:cs="宋体"/>
          <w:bCs/>
          <w:color w:val="000000"/>
          <w:sz w:val="24"/>
          <w:szCs w:val="24"/>
        </w:rPr>
      </w:pPr>
      <w:r>
        <w:rPr>
          <w:rFonts w:hint="eastAsia" w:ascii="宋体" w:hAnsi="宋体" w:cs="宋体"/>
          <w:bCs/>
          <w:sz w:val="24"/>
          <w:szCs w:val="24"/>
        </w:rPr>
        <w:t>1.3符合竞争性谈判文件规定的落实政府采购政策的供应商给予相应的价格</w:t>
      </w:r>
      <w:r>
        <w:rPr>
          <w:rFonts w:hint="eastAsia" w:ascii="宋体" w:hAnsi="宋体" w:cs="宋体"/>
          <w:bCs/>
          <w:color w:val="000000"/>
          <w:sz w:val="24"/>
          <w:szCs w:val="24"/>
        </w:rPr>
        <w:t>优惠，以优惠后的价格作为评审价。</w:t>
      </w:r>
    </w:p>
    <w:p w14:paraId="2626C95A">
      <w:pPr>
        <w:spacing w:line="360" w:lineRule="auto"/>
        <w:jc w:val="left"/>
        <w:rPr>
          <w:rFonts w:hint="eastAsia" w:ascii="宋体" w:hAnsi="宋体" w:cs="宋体"/>
          <w:b/>
          <w:color w:val="000000"/>
          <w:sz w:val="24"/>
          <w:szCs w:val="24"/>
        </w:rPr>
      </w:pPr>
      <w:r>
        <w:rPr>
          <w:rFonts w:hint="eastAsia" w:ascii="宋体" w:hAnsi="宋体" w:cs="宋体"/>
          <w:b/>
          <w:color w:val="000000"/>
          <w:sz w:val="24"/>
          <w:szCs w:val="24"/>
        </w:rPr>
        <w:t>2. 评审程序</w:t>
      </w:r>
    </w:p>
    <w:p w14:paraId="3907505F">
      <w:pPr>
        <w:spacing w:line="360" w:lineRule="auto"/>
        <w:jc w:val="left"/>
        <w:rPr>
          <w:rFonts w:hint="eastAsia" w:ascii="宋体" w:hAnsi="宋体" w:cs="宋体"/>
          <w:color w:val="000000"/>
          <w:sz w:val="24"/>
          <w:szCs w:val="24"/>
        </w:rPr>
      </w:pPr>
      <w:r>
        <w:rPr>
          <w:rFonts w:hint="eastAsia" w:ascii="宋体" w:hAnsi="宋体" w:cs="宋体"/>
          <w:color w:val="000000"/>
          <w:sz w:val="24"/>
          <w:szCs w:val="24"/>
        </w:rPr>
        <w:t>2.1 初步评审</w:t>
      </w:r>
    </w:p>
    <w:p w14:paraId="68A32A18">
      <w:pPr>
        <w:spacing w:line="360" w:lineRule="auto"/>
        <w:ind w:firstLine="480" w:firstLineChars="200"/>
        <w:rPr>
          <w:rFonts w:hint="eastAsia" w:ascii="宋体" w:hAnsi="宋体" w:cs="宋体"/>
          <w:sz w:val="24"/>
          <w:szCs w:val="24"/>
        </w:rPr>
      </w:pPr>
      <w:r>
        <w:rPr>
          <w:rFonts w:hint="eastAsia" w:ascii="宋体" w:hAnsi="宋体" w:cs="宋体"/>
          <w:sz w:val="24"/>
          <w:szCs w:val="24"/>
        </w:rPr>
        <w:t>2.1.1 谈判小组可以要求供应商提交第二章“供应商须知”规定的有关证明和证件的原件，以便核验。</w:t>
      </w:r>
    </w:p>
    <w:p w14:paraId="5692D5E6">
      <w:pPr>
        <w:spacing w:line="360" w:lineRule="auto"/>
        <w:ind w:firstLine="480" w:firstLineChars="200"/>
        <w:rPr>
          <w:rFonts w:hint="eastAsia" w:ascii="宋体" w:hAnsi="宋体" w:cs="宋体"/>
          <w:sz w:val="24"/>
          <w:szCs w:val="24"/>
        </w:rPr>
      </w:pPr>
      <w:r>
        <w:rPr>
          <w:rFonts w:hint="eastAsia" w:ascii="宋体" w:hAnsi="宋体" w:cs="宋体"/>
          <w:sz w:val="24"/>
          <w:szCs w:val="24"/>
        </w:rPr>
        <w:t>2.1.2 由谈判小组对谈判响应文件进行资格性审查，响应文件有一项不符合评审标准的，谈判小组应当否决其谈判响应。未通过资格性审查的供应商不进入下一步评审程序。</w:t>
      </w:r>
    </w:p>
    <w:p w14:paraId="5A24CA12">
      <w:pPr>
        <w:spacing w:line="360" w:lineRule="auto"/>
        <w:ind w:firstLine="480" w:firstLineChars="200"/>
        <w:rPr>
          <w:rFonts w:hint="eastAsia" w:ascii="宋体" w:hAnsi="宋体" w:cs="宋体"/>
          <w:sz w:val="24"/>
          <w:szCs w:val="24"/>
        </w:rPr>
      </w:pPr>
      <w:r>
        <w:rPr>
          <w:rFonts w:hint="eastAsia" w:ascii="宋体" w:hAnsi="宋体" w:cs="宋体"/>
          <w:sz w:val="24"/>
          <w:szCs w:val="24"/>
        </w:rPr>
        <w:t>2.1.3 谈判小组对谈判响应文件进行符合性审查，响应文件有一项不符合评审标准的，谈判小组应当否决其谈判响应。未通过符合性审查的供应商不进入下一步评审程序。</w:t>
      </w:r>
    </w:p>
    <w:p w14:paraId="5068F57F">
      <w:pPr>
        <w:spacing w:line="360" w:lineRule="auto"/>
        <w:ind w:firstLine="480" w:firstLineChars="200"/>
        <w:jc w:val="left"/>
        <w:rPr>
          <w:rFonts w:hint="eastAsia" w:ascii="宋体" w:hAnsi="宋体" w:cs="宋体"/>
          <w:b/>
          <w:bCs/>
          <w:sz w:val="24"/>
          <w:szCs w:val="24"/>
        </w:rPr>
      </w:pPr>
      <w:r>
        <w:rPr>
          <w:rFonts w:hint="eastAsia" w:ascii="宋体" w:hAnsi="宋体" w:cs="宋体"/>
          <w:sz w:val="24"/>
          <w:szCs w:val="24"/>
        </w:rPr>
        <w:t>2.3.4</w:t>
      </w:r>
      <w:r>
        <w:rPr>
          <w:rFonts w:hint="eastAsia" w:ascii="宋体" w:hAnsi="宋体" w:cs="宋体"/>
          <w:b/>
          <w:bCs/>
          <w:sz w:val="24"/>
          <w:szCs w:val="24"/>
        </w:rPr>
        <w:t>根据财政部《关于推动解决政府采购异常低价问题的通知》（财库〔2026〕2号）“政府采购评审中出现下列情形之一的，评审委员会应当启动异常低价投标（响应）审查程序”：</w:t>
      </w:r>
    </w:p>
    <w:p w14:paraId="659EE49F">
      <w:pPr>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1）投标（响应）报价低于全部通过符合性审查供应商投标（响应）报价平均值50%的，即投标（响应）报价&lt;全部通过符合性审查供应商投标（响应）报价平均值×50%；</w:t>
      </w:r>
    </w:p>
    <w:p w14:paraId="1BB59FA6">
      <w:pPr>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2）投标（响应）报价低于通过符合性审查的次低报价供应商投标（响应）报价50%的，即投标（响应）报价&lt;通过符合性审查的次低报价供应商投标（响应）报价×50%；</w:t>
      </w:r>
    </w:p>
    <w:p w14:paraId="21BA6EC2">
      <w:pPr>
        <w:spacing w:line="360" w:lineRule="auto"/>
        <w:ind w:firstLine="482" w:firstLineChars="200"/>
        <w:jc w:val="left"/>
        <w:rPr>
          <w:rFonts w:hint="eastAsia" w:ascii="宋体" w:hAnsi="宋体" w:cs="宋体"/>
          <w:sz w:val="24"/>
          <w:szCs w:val="24"/>
        </w:rPr>
      </w:pPr>
      <w:r>
        <w:rPr>
          <w:rFonts w:hint="eastAsia" w:ascii="宋体" w:hAnsi="宋体" w:cs="宋体"/>
          <w:b/>
          <w:bCs/>
          <w:sz w:val="24"/>
          <w:szCs w:val="24"/>
        </w:rPr>
        <w:t>3）投标（响应）报价低于采购项目最高限价45%的，即投标（响应）报价&lt;采购项目最高限价×45%；</w:t>
      </w:r>
    </w:p>
    <w:p w14:paraId="0837DEF3">
      <w:pPr>
        <w:spacing w:line="360" w:lineRule="auto"/>
        <w:ind w:firstLine="482" w:firstLineChars="200"/>
        <w:jc w:val="left"/>
        <w:rPr>
          <w:rFonts w:hint="eastAsia" w:ascii="宋体" w:hAnsi="宋体" w:cs="宋体"/>
          <w:sz w:val="24"/>
          <w:szCs w:val="24"/>
        </w:rPr>
      </w:pPr>
      <w:r>
        <w:rPr>
          <w:rFonts w:hint="eastAsia" w:ascii="宋体" w:hAnsi="宋体" w:cs="宋体"/>
          <w:b/>
          <w:bCs/>
          <w:sz w:val="24"/>
          <w:szCs w:val="24"/>
        </w:rPr>
        <w:t>4）</w:t>
      </w:r>
      <w:r>
        <w:rPr>
          <w:rFonts w:hint="eastAsia" w:ascii="宋体" w:hAnsi="宋体" w:cs="宋体"/>
          <w:sz w:val="24"/>
          <w:szCs w:val="24"/>
        </w:rPr>
        <w:t>评审委员会基于专业判断，认为供应商报价过低，有可能影响产品质量或者不能诚信履约的其他情形。</w:t>
      </w:r>
    </w:p>
    <w:p w14:paraId="6270B4EA">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相关供应商应于30分钟内按评标委员会要求提供相应证明材料。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8D96E65">
      <w:pPr>
        <w:spacing w:line="360" w:lineRule="auto"/>
        <w:rPr>
          <w:rFonts w:hint="eastAsia" w:ascii="宋体" w:hAnsi="宋体" w:cs="宋体"/>
          <w:b/>
          <w:bCs/>
          <w:sz w:val="24"/>
          <w:szCs w:val="24"/>
          <w:lang w:val="zh-CN"/>
        </w:rPr>
      </w:pPr>
      <w:r>
        <w:rPr>
          <w:rFonts w:hint="eastAsia" w:ascii="宋体" w:hAnsi="宋体" w:cs="宋体"/>
          <w:b/>
          <w:bCs/>
          <w:sz w:val="24"/>
          <w:szCs w:val="24"/>
        </w:rPr>
        <w:t>3.</w:t>
      </w:r>
      <w:r>
        <w:rPr>
          <w:rFonts w:hint="eastAsia" w:ascii="宋体" w:hAnsi="宋体" w:cs="宋体"/>
          <w:b/>
          <w:bCs/>
          <w:sz w:val="24"/>
          <w:szCs w:val="24"/>
          <w:lang w:val="zh-CN"/>
        </w:rPr>
        <w:t>确定成交单位</w:t>
      </w:r>
    </w:p>
    <w:p w14:paraId="686CD60E">
      <w:pPr>
        <w:autoSpaceDE w:val="0"/>
        <w:autoSpaceDN w:val="0"/>
        <w:adjustRightInd w:val="0"/>
        <w:snapToGrid w:val="0"/>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3.1</w:t>
      </w:r>
      <w:r>
        <w:rPr>
          <w:rFonts w:hint="eastAsia" w:ascii="宋体" w:hAnsi="宋体" w:cs="宋体"/>
          <w:sz w:val="24"/>
          <w:szCs w:val="24"/>
          <w:lang w:val="zh-CN"/>
        </w:rPr>
        <w:t>采购代理机构应在评审结束后</w:t>
      </w:r>
      <w:r>
        <w:rPr>
          <w:rFonts w:hint="eastAsia" w:ascii="宋体" w:hAnsi="宋体" w:cs="宋体"/>
          <w:sz w:val="24"/>
          <w:szCs w:val="24"/>
        </w:rPr>
        <w:t>2</w:t>
      </w:r>
      <w:r>
        <w:rPr>
          <w:rFonts w:hint="eastAsia" w:ascii="宋体" w:hAnsi="宋体" w:cs="宋体"/>
          <w:sz w:val="24"/>
          <w:szCs w:val="24"/>
          <w:lang w:val="zh-CN"/>
        </w:rPr>
        <w:t>个工作日内，将评审报告送采购人确定成交单位。</w:t>
      </w:r>
    </w:p>
    <w:p w14:paraId="325CCE39">
      <w:pPr>
        <w:autoSpaceDE w:val="0"/>
        <w:autoSpaceDN w:val="0"/>
        <w:adjustRightInd w:val="0"/>
        <w:snapToGrid w:val="0"/>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3.2采购人在收到评审报告后5个工作日内，根据评审报告对评审过程及结果进行严格审核后确定成交供应商，复函采购代理机构。</w:t>
      </w:r>
    </w:p>
    <w:p w14:paraId="2D603334">
      <w:pPr>
        <w:autoSpaceDE w:val="0"/>
        <w:autoSpaceDN w:val="0"/>
        <w:adjustRightInd w:val="0"/>
        <w:snapToGrid w:val="0"/>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3.3</w:t>
      </w:r>
      <w:r>
        <w:rPr>
          <w:rFonts w:hint="eastAsia" w:ascii="宋体" w:hAnsi="宋体" w:cs="宋体"/>
          <w:sz w:val="24"/>
          <w:szCs w:val="24"/>
          <w:lang w:val="zh-CN"/>
        </w:rPr>
        <w:t>采购代理机构在接到采购人的成交复函后，在财政部门指定的政府采购信息发布媒体上公告，公告期限为</w:t>
      </w:r>
      <w:r>
        <w:rPr>
          <w:rFonts w:hint="eastAsia" w:ascii="宋体" w:hAnsi="宋体" w:cs="宋体"/>
          <w:sz w:val="24"/>
          <w:szCs w:val="24"/>
        </w:rPr>
        <w:t>1</w:t>
      </w:r>
      <w:r>
        <w:rPr>
          <w:rFonts w:hint="eastAsia" w:ascii="宋体" w:hAnsi="宋体" w:cs="宋体"/>
          <w:sz w:val="24"/>
          <w:szCs w:val="24"/>
          <w:lang w:val="zh-CN"/>
        </w:rPr>
        <w:t>个工作日，并向成交供应商发出“成交通知书”。</w:t>
      </w:r>
    </w:p>
    <w:p w14:paraId="5E992B34">
      <w:pPr>
        <w:autoSpaceDE w:val="0"/>
        <w:autoSpaceDN w:val="0"/>
        <w:adjustRightInd w:val="0"/>
        <w:snapToGrid w:val="0"/>
        <w:spacing w:line="360" w:lineRule="auto"/>
        <w:rPr>
          <w:rFonts w:hint="eastAsia" w:ascii="宋体" w:hAnsi="宋体" w:cs="宋体"/>
          <w:b/>
          <w:bCs/>
          <w:sz w:val="24"/>
          <w:szCs w:val="24"/>
          <w:lang w:val="zh-CN"/>
        </w:rPr>
      </w:pPr>
      <w:r>
        <w:rPr>
          <w:rFonts w:hint="eastAsia" w:ascii="宋体" w:hAnsi="宋体" w:cs="宋体"/>
          <w:b/>
          <w:bCs/>
          <w:sz w:val="24"/>
          <w:szCs w:val="24"/>
        </w:rPr>
        <w:t>4.</w:t>
      </w:r>
      <w:r>
        <w:rPr>
          <w:rFonts w:hint="eastAsia" w:ascii="宋体" w:hAnsi="宋体" w:cs="宋体"/>
          <w:b/>
          <w:bCs/>
          <w:sz w:val="24"/>
          <w:szCs w:val="24"/>
          <w:lang w:val="zh-CN"/>
        </w:rPr>
        <w:t>重新谈判或者变更采购方式</w:t>
      </w:r>
    </w:p>
    <w:p w14:paraId="351B5783">
      <w:pPr>
        <w:autoSpaceDE w:val="0"/>
        <w:autoSpaceDN w:val="0"/>
        <w:adjustRightInd w:val="0"/>
        <w:snapToGrid w:val="0"/>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4.1</w:t>
      </w:r>
      <w:r>
        <w:rPr>
          <w:rFonts w:hint="eastAsia" w:ascii="宋体" w:hAnsi="宋体" w:cs="宋体"/>
          <w:sz w:val="24"/>
          <w:szCs w:val="24"/>
          <w:lang w:val="zh-CN"/>
        </w:rPr>
        <w:t>参加谈判的供应商不足三家或在评审期间，出现符合专业条件的供应商不足三家或对谈判文件实质响应的供应商不足三家。</w:t>
      </w:r>
    </w:p>
    <w:p w14:paraId="74F90C76">
      <w:pPr>
        <w:autoSpaceDE w:val="0"/>
        <w:autoSpaceDN w:val="0"/>
        <w:adjustRightInd w:val="0"/>
        <w:snapToGrid w:val="0"/>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4.2</w:t>
      </w:r>
      <w:r>
        <w:rPr>
          <w:rFonts w:hint="eastAsia" w:ascii="宋体" w:hAnsi="宋体" w:cs="宋体"/>
          <w:sz w:val="24"/>
          <w:szCs w:val="24"/>
          <w:lang w:val="zh-CN"/>
        </w:rPr>
        <w:t>因供应商的响应报价超出财政采购预算，致有效供应商少于三家（不含三家）的，根据 “政府采购法”的有关规定，报监督机构批准，进行重新谈判或选用其他方式组织采购。</w:t>
      </w:r>
    </w:p>
    <w:p w14:paraId="115FFCD6">
      <w:pPr>
        <w:autoSpaceDE w:val="0"/>
        <w:autoSpaceDN w:val="0"/>
        <w:adjustRightInd w:val="0"/>
        <w:snapToGrid w:val="0"/>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4.3</w:t>
      </w:r>
      <w:r>
        <w:rPr>
          <w:rFonts w:hint="eastAsia" w:ascii="宋体" w:hAnsi="宋体" w:cs="宋体"/>
          <w:sz w:val="24"/>
          <w:szCs w:val="24"/>
          <w:lang w:val="zh-CN"/>
        </w:rPr>
        <w:t>确定成交单位后，成交单位无正当理由拖延或拒签合同，监督机构有权取消其成交资格，并按评审结果顺序重新确定成交单位。同时报请监督机构处通报，取消其进入政府采购市场的资格，并按规定予以处罚。</w:t>
      </w:r>
      <w:bookmarkStart w:id="29" w:name="_Toc23851"/>
    </w:p>
    <w:bookmarkEnd w:id="29"/>
    <w:p w14:paraId="2A735BDC">
      <w:bookmarkStart w:id="30" w:name="_Toc13601"/>
      <w:bookmarkStart w:id="31" w:name="_Toc14927"/>
      <w:bookmarkStart w:id="32" w:name="_Toc24828"/>
      <w:bookmarkStart w:id="33" w:name="_Toc520468910"/>
      <w:bookmarkStart w:id="34" w:name="_Toc25337"/>
      <w:bookmarkStart w:id="35" w:name="_Toc8681"/>
      <w:bookmarkStart w:id="36" w:name="_Toc13952"/>
      <w:bookmarkStart w:id="37" w:name="_Toc18061"/>
      <w:bookmarkStart w:id="38" w:name="_Toc24193"/>
      <w:r>
        <w:rPr>
          <w:rFonts w:hint="eastAsia"/>
        </w:rPr>
        <w:br w:type="page"/>
      </w:r>
    </w:p>
    <w:p w14:paraId="2697D0A7">
      <w:pPr>
        <w:pStyle w:val="2"/>
        <w:rPr>
          <w:rFonts w:hint="eastAsia"/>
          <w:lang w:val="en-US"/>
        </w:rPr>
      </w:pPr>
      <w:r>
        <w:rPr>
          <w:rFonts w:hint="eastAsia"/>
        </w:rPr>
        <w:t>第</w:t>
      </w:r>
      <w:r>
        <w:rPr>
          <w:rFonts w:hint="eastAsia"/>
          <w:lang w:val="en-US"/>
        </w:rPr>
        <w:t>四章</w:t>
      </w:r>
      <w:r>
        <w:rPr>
          <w:rFonts w:hint="eastAsia"/>
        </w:rPr>
        <w:t xml:space="preserve"> </w:t>
      </w:r>
      <w:bookmarkEnd w:id="30"/>
      <w:bookmarkEnd w:id="31"/>
      <w:r>
        <w:rPr>
          <w:rFonts w:hint="eastAsia"/>
          <w:lang w:val="en-US"/>
        </w:rPr>
        <w:t>采购内容及要求</w:t>
      </w:r>
      <w:bookmarkEnd w:id="32"/>
    </w:p>
    <w:p w14:paraId="292C6652">
      <w:pPr>
        <w:spacing w:line="360" w:lineRule="auto"/>
        <w:ind w:firstLine="562" w:firstLineChars="200"/>
        <w:jc w:val="left"/>
        <w:rPr>
          <w:rFonts w:hint="eastAsia" w:ascii="宋体" w:hAnsi="宋体" w:cs="宋体"/>
          <w:b/>
          <w:bCs/>
          <w:sz w:val="24"/>
          <w:szCs w:val="24"/>
        </w:rPr>
      </w:pPr>
      <w:r>
        <w:rPr>
          <w:rFonts w:hint="eastAsia" w:ascii="宋体" w:hAnsi="宋体" w:cs="宋体"/>
          <w:b/>
          <w:bCs/>
          <w:sz w:val="28"/>
          <w:szCs w:val="28"/>
        </w:rPr>
        <w:t>一、采购设备清单</w:t>
      </w:r>
    </w:p>
    <w:tbl>
      <w:tblPr>
        <w:tblStyle w:val="28"/>
        <w:tblW w:w="4994"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885"/>
        <w:gridCol w:w="1992"/>
        <w:gridCol w:w="1609"/>
        <w:gridCol w:w="752"/>
        <w:gridCol w:w="1141"/>
        <w:gridCol w:w="2661"/>
      </w:tblGrid>
      <w:tr w14:paraId="124012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72" w:hRule="atLeast"/>
          <w:jc w:val="center"/>
        </w:trPr>
        <w:tc>
          <w:tcPr>
            <w:tcW w:w="489" w:type="pct"/>
            <w:tcBorders>
              <w:tl2br w:val="nil"/>
              <w:tr2bl w:val="nil"/>
            </w:tcBorders>
            <w:noWrap/>
            <w:vAlign w:val="center"/>
          </w:tcPr>
          <w:p w14:paraId="275E0E7D">
            <w:pPr>
              <w:widowControl/>
              <w:jc w:val="center"/>
              <w:textAlignment w:val="center"/>
              <w:rPr>
                <w:rFonts w:hint="eastAsia" w:ascii="宋体" w:hAnsi="宋体" w:cs="宋体"/>
                <w:b/>
                <w:bCs/>
                <w:sz w:val="24"/>
                <w:szCs w:val="24"/>
              </w:rPr>
            </w:pPr>
            <w:r>
              <w:rPr>
                <w:rFonts w:hint="eastAsia" w:ascii="宋体" w:hAnsi="宋体" w:cs="宋体"/>
                <w:b/>
                <w:bCs/>
                <w:kern w:val="0"/>
                <w:sz w:val="24"/>
                <w:szCs w:val="24"/>
                <w:lang w:bidi="ar"/>
              </w:rPr>
              <w:t>序号</w:t>
            </w:r>
          </w:p>
        </w:tc>
        <w:tc>
          <w:tcPr>
            <w:tcW w:w="1101" w:type="pct"/>
            <w:tcBorders>
              <w:tl2br w:val="nil"/>
              <w:tr2bl w:val="nil"/>
            </w:tcBorders>
            <w:vAlign w:val="center"/>
          </w:tcPr>
          <w:p w14:paraId="5E5E9BD0">
            <w:pPr>
              <w:widowControl/>
              <w:jc w:val="center"/>
              <w:textAlignment w:val="center"/>
              <w:rPr>
                <w:rFonts w:hint="eastAsia" w:ascii="宋体" w:hAnsi="宋体" w:cs="宋体"/>
                <w:b/>
                <w:bCs/>
                <w:sz w:val="24"/>
                <w:szCs w:val="24"/>
              </w:rPr>
            </w:pPr>
            <w:r>
              <w:rPr>
                <w:rFonts w:hint="eastAsia" w:ascii="宋体" w:hAnsi="宋体" w:cs="宋体"/>
                <w:b/>
                <w:bCs/>
                <w:kern w:val="0"/>
                <w:sz w:val="24"/>
                <w:szCs w:val="24"/>
                <w:lang w:bidi="ar"/>
              </w:rPr>
              <w:t>产品名称</w:t>
            </w:r>
          </w:p>
        </w:tc>
        <w:tc>
          <w:tcPr>
            <w:tcW w:w="889" w:type="pct"/>
            <w:tcBorders>
              <w:tl2br w:val="nil"/>
              <w:tr2bl w:val="nil"/>
            </w:tcBorders>
            <w:vAlign w:val="center"/>
          </w:tcPr>
          <w:p w14:paraId="6E8C628F">
            <w:pPr>
              <w:widowControl/>
              <w:jc w:val="center"/>
              <w:textAlignment w:val="center"/>
              <w:rPr>
                <w:rFonts w:hint="eastAsia" w:ascii="宋体" w:hAnsi="宋体" w:cs="宋体"/>
                <w:b/>
                <w:bCs/>
                <w:sz w:val="24"/>
                <w:szCs w:val="24"/>
              </w:rPr>
            </w:pPr>
            <w:r>
              <w:rPr>
                <w:rFonts w:hint="eastAsia" w:ascii="宋体" w:hAnsi="宋体" w:cs="宋体"/>
                <w:b/>
                <w:bCs/>
                <w:kern w:val="0"/>
                <w:sz w:val="24"/>
                <w:szCs w:val="24"/>
                <w:lang w:bidi="ar"/>
              </w:rPr>
              <w:t>规格</w:t>
            </w:r>
          </w:p>
        </w:tc>
        <w:tc>
          <w:tcPr>
            <w:tcW w:w="416" w:type="pct"/>
            <w:tcBorders>
              <w:tl2br w:val="nil"/>
              <w:tr2bl w:val="nil"/>
            </w:tcBorders>
            <w:vAlign w:val="center"/>
          </w:tcPr>
          <w:p w14:paraId="1AAE0CA6">
            <w:pPr>
              <w:widowControl/>
              <w:jc w:val="center"/>
              <w:textAlignment w:val="center"/>
              <w:rPr>
                <w:rFonts w:hint="eastAsia" w:ascii="宋体" w:hAnsi="宋体" w:cs="宋体"/>
                <w:b/>
                <w:bCs/>
                <w:sz w:val="24"/>
                <w:szCs w:val="24"/>
              </w:rPr>
            </w:pPr>
            <w:r>
              <w:rPr>
                <w:rFonts w:hint="eastAsia" w:ascii="宋体" w:hAnsi="宋体" w:cs="宋体"/>
                <w:b/>
                <w:bCs/>
                <w:kern w:val="0"/>
                <w:sz w:val="24"/>
                <w:szCs w:val="24"/>
                <w:lang w:bidi="ar"/>
              </w:rPr>
              <w:t>单位</w:t>
            </w:r>
          </w:p>
        </w:tc>
        <w:tc>
          <w:tcPr>
            <w:tcW w:w="631" w:type="pct"/>
            <w:tcBorders>
              <w:tl2br w:val="nil"/>
              <w:tr2bl w:val="nil"/>
            </w:tcBorders>
            <w:vAlign w:val="center"/>
          </w:tcPr>
          <w:p w14:paraId="22280A28">
            <w:pPr>
              <w:widowControl/>
              <w:jc w:val="center"/>
              <w:textAlignment w:val="center"/>
              <w:rPr>
                <w:rFonts w:hint="eastAsia" w:ascii="宋体" w:hAnsi="宋体" w:cs="宋体"/>
                <w:b/>
                <w:bCs/>
                <w:sz w:val="24"/>
                <w:szCs w:val="24"/>
              </w:rPr>
            </w:pPr>
            <w:r>
              <w:rPr>
                <w:rFonts w:hint="eastAsia" w:ascii="宋体" w:hAnsi="宋体" w:cs="宋体"/>
                <w:b/>
                <w:bCs/>
                <w:kern w:val="0"/>
                <w:sz w:val="24"/>
                <w:szCs w:val="24"/>
                <w:lang w:bidi="ar"/>
              </w:rPr>
              <w:t>数量</w:t>
            </w:r>
          </w:p>
        </w:tc>
        <w:tc>
          <w:tcPr>
            <w:tcW w:w="1471" w:type="pct"/>
            <w:tcBorders>
              <w:tl2br w:val="nil"/>
              <w:tr2bl w:val="nil"/>
            </w:tcBorders>
            <w:vAlign w:val="center"/>
          </w:tcPr>
          <w:p w14:paraId="751A6FCD">
            <w:pPr>
              <w:widowControl/>
              <w:jc w:val="center"/>
              <w:textAlignment w:val="center"/>
              <w:rPr>
                <w:rFonts w:hint="eastAsia" w:ascii="宋体" w:hAnsi="宋体" w:cs="宋体"/>
                <w:b/>
                <w:bCs/>
                <w:sz w:val="24"/>
                <w:szCs w:val="24"/>
              </w:rPr>
            </w:pPr>
            <w:r>
              <w:rPr>
                <w:rFonts w:hint="eastAsia" w:ascii="宋体" w:hAnsi="宋体" w:cs="宋体"/>
                <w:b/>
                <w:bCs/>
                <w:kern w:val="0"/>
                <w:sz w:val="24"/>
                <w:szCs w:val="24"/>
                <w:lang w:bidi="ar"/>
              </w:rPr>
              <w:t>备注</w:t>
            </w:r>
          </w:p>
        </w:tc>
      </w:tr>
      <w:tr w14:paraId="06E310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72" w:hRule="atLeast"/>
          <w:jc w:val="center"/>
        </w:trPr>
        <w:tc>
          <w:tcPr>
            <w:tcW w:w="489" w:type="pct"/>
            <w:tcBorders>
              <w:tl2br w:val="nil"/>
              <w:tr2bl w:val="nil"/>
            </w:tcBorders>
            <w:noWrap/>
            <w:vAlign w:val="center"/>
          </w:tcPr>
          <w:p w14:paraId="3F0F71F5">
            <w:pPr>
              <w:widowControl/>
              <w:jc w:val="center"/>
              <w:textAlignment w:val="center"/>
              <w:rPr>
                <w:rFonts w:hint="eastAsia" w:ascii="宋体" w:hAnsi="宋体" w:cs="宋体"/>
                <w:sz w:val="24"/>
                <w:szCs w:val="24"/>
              </w:rPr>
            </w:pPr>
            <w:r>
              <w:rPr>
                <w:rFonts w:hint="eastAsia" w:ascii="宋体" w:hAnsi="宋体" w:cs="宋体"/>
                <w:kern w:val="0"/>
                <w:sz w:val="24"/>
                <w:szCs w:val="24"/>
                <w:lang w:bidi="ar"/>
              </w:rPr>
              <w:t>1</w:t>
            </w:r>
          </w:p>
        </w:tc>
        <w:tc>
          <w:tcPr>
            <w:tcW w:w="1101" w:type="pct"/>
            <w:tcBorders>
              <w:tl2br w:val="nil"/>
              <w:tr2bl w:val="nil"/>
            </w:tcBorders>
            <w:vAlign w:val="center"/>
          </w:tcPr>
          <w:p w14:paraId="4E938ABC">
            <w:pPr>
              <w:widowControl/>
              <w:jc w:val="center"/>
              <w:textAlignment w:val="center"/>
              <w:rPr>
                <w:rFonts w:hint="eastAsia" w:ascii="宋体" w:hAnsi="宋体" w:cs="宋体"/>
                <w:sz w:val="24"/>
                <w:szCs w:val="24"/>
              </w:rPr>
            </w:pPr>
            <w:r>
              <w:rPr>
                <w:rFonts w:hint="eastAsia" w:ascii="宋体" w:hAnsi="宋体" w:cs="宋体"/>
                <w:kern w:val="0"/>
                <w:sz w:val="24"/>
                <w:szCs w:val="24"/>
                <w:lang w:bidi="ar"/>
              </w:rPr>
              <w:t>铅酸蓄电池</w:t>
            </w:r>
          </w:p>
        </w:tc>
        <w:tc>
          <w:tcPr>
            <w:tcW w:w="889" w:type="pct"/>
            <w:tcBorders>
              <w:tl2br w:val="nil"/>
              <w:tr2bl w:val="nil"/>
            </w:tcBorders>
            <w:vAlign w:val="center"/>
          </w:tcPr>
          <w:p w14:paraId="0D3E3A1F">
            <w:pPr>
              <w:widowControl/>
              <w:jc w:val="center"/>
              <w:textAlignment w:val="center"/>
              <w:rPr>
                <w:rFonts w:hint="eastAsia" w:ascii="宋体" w:hAnsi="宋体" w:cs="宋体"/>
                <w:sz w:val="24"/>
                <w:szCs w:val="24"/>
              </w:rPr>
            </w:pPr>
            <w:r>
              <w:rPr>
                <w:rFonts w:hint="eastAsia" w:ascii="宋体" w:hAnsi="宋体" w:cs="宋体"/>
                <w:kern w:val="0"/>
                <w:sz w:val="24"/>
                <w:szCs w:val="24"/>
                <w:lang w:bidi="ar"/>
              </w:rPr>
              <w:t>12V120AH</w:t>
            </w:r>
          </w:p>
        </w:tc>
        <w:tc>
          <w:tcPr>
            <w:tcW w:w="416" w:type="pct"/>
            <w:tcBorders>
              <w:tl2br w:val="nil"/>
              <w:tr2bl w:val="nil"/>
            </w:tcBorders>
            <w:noWrap/>
            <w:vAlign w:val="center"/>
          </w:tcPr>
          <w:p w14:paraId="2748795A">
            <w:pPr>
              <w:widowControl/>
              <w:textAlignment w:val="center"/>
              <w:rPr>
                <w:rFonts w:hint="eastAsia" w:ascii="宋体" w:hAnsi="宋体" w:cs="宋体"/>
                <w:sz w:val="24"/>
                <w:szCs w:val="24"/>
              </w:rPr>
            </w:pPr>
            <w:r>
              <w:rPr>
                <w:rFonts w:hint="eastAsia" w:ascii="宋体" w:hAnsi="宋体" w:cs="宋体"/>
                <w:sz w:val="24"/>
                <w:szCs w:val="24"/>
              </w:rPr>
              <w:t>节</w:t>
            </w:r>
          </w:p>
        </w:tc>
        <w:tc>
          <w:tcPr>
            <w:tcW w:w="631" w:type="pct"/>
            <w:tcBorders>
              <w:tl2br w:val="nil"/>
              <w:tr2bl w:val="nil"/>
            </w:tcBorders>
            <w:noWrap/>
            <w:vAlign w:val="center"/>
          </w:tcPr>
          <w:p w14:paraId="22642D1E">
            <w:pPr>
              <w:widowControl/>
              <w:jc w:val="center"/>
              <w:textAlignment w:val="center"/>
              <w:rPr>
                <w:rFonts w:hint="eastAsia" w:ascii="宋体" w:hAnsi="宋体" w:cs="宋体"/>
                <w:sz w:val="24"/>
                <w:szCs w:val="24"/>
              </w:rPr>
            </w:pPr>
            <w:r>
              <w:rPr>
                <w:rFonts w:hint="eastAsia" w:ascii="宋体" w:hAnsi="宋体" w:cs="宋体"/>
                <w:sz w:val="24"/>
                <w:szCs w:val="24"/>
              </w:rPr>
              <w:t>64</w:t>
            </w:r>
          </w:p>
        </w:tc>
        <w:tc>
          <w:tcPr>
            <w:tcW w:w="1471" w:type="pct"/>
            <w:tcBorders>
              <w:tl2br w:val="nil"/>
              <w:tr2bl w:val="nil"/>
            </w:tcBorders>
            <w:noWrap/>
            <w:vAlign w:val="center"/>
          </w:tcPr>
          <w:p w14:paraId="78238CF2">
            <w:pPr>
              <w:widowControl/>
              <w:textAlignment w:val="center"/>
              <w:rPr>
                <w:rFonts w:hint="eastAsia" w:ascii="宋体" w:hAnsi="宋体" w:cs="宋体"/>
                <w:sz w:val="24"/>
                <w:szCs w:val="24"/>
              </w:rPr>
            </w:pPr>
            <w:r>
              <w:rPr>
                <w:rFonts w:hint="eastAsia" w:ascii="宋体" w:hAnsi="宋体" w:cs="宋体"/>
                <w:sz w:val="24"/>
                <w:szCs w:val="24"/>
              </w:rPr>
              <w:t>核心机房，每组32节，共2组</w:t>
            </w:r>
          </w:p>
        </w:tc>
      </w:tr>
      <w:tr w14:paraId="091205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72" w:hRule="atLeast"/>
          <w:jc w:val="center"/>
        </w:trPr>
        <w:tc>
          <w:tcPr>
            <w:tcW w:w="489" w:type="pct"/>
            <w:tcBorders>
              <w:tl2br w:val="nil"/>
              <w:tr2bl w:val="nil"/>
            </w:tcBorders>
            <w:noWrap/>
            <w:vAlign w:val="center"/>
          </w:tcPr>
          <w:p w14:paraId="50098B07">
            <w:pPr>
              <w:widowControl/>
              <w:jc w:val="center"/>
              <w:textAlignment w:val="center"/>
              <w:rPr>
                <w:rFonts w:hint="eastAsia" w:ascii="宋体" w:hAnsi="宋体" w:cs="宋体"/>
                <w:sz w:val="24"/>
                <w:szCs w:val="24"/>
              </w:rPr>
            </w:pPr>
            <w:r>
              <w:rPr>
                <w:rFonts w:hint="eastAsia" w:ascii="宋体" w:hAnsi="宋体" w:cs="宋体"/>
                <w:kern w:val="0"/>
                <w:sz w:val="24"/>
                <w:szCs w:val="24"/>
                <w:lang w:bidi="ar"/>
              </w:rPr>
              <w:t>2</w:t>
            </w:r>
          </w:p>
        </w:tc>
        <w:tc>
          <w:tcPr>
            <w:tcW w:w="1101" w:type="pct"/>
            <w:tcBorders>
              <w:tl2br w:val="nil"/>
              <w:tr2bl w:val="nil"/>
            </w:tcBorders>
            <w:vAlign w:val="center"/>
          </w:tcPr>
          <w:p w14:paraId="1927689B">
            <w:pPr>
              <w:widowControl/>
              <w:jc w:val="center"/>
              <w:textAlignment w:val="center"/>
              <w:rPr>
                <w:rFonts w:hint="eastAsia" w:ascii="宋体" w:hAnsi="宋体" w:cs="宋体"/>
                <w:sz w:val="24"/>
                <w:szCs w:val="24"/>
              </w:rPr>
            </w:pPr>
            <w:r>
              <w:rPr>
                <w:rFonts w:hint="eastAsia" w:ascii="宋体" w:hAnsi="宋体" w:cs="宋体"/>
                <w:kern w:val="0"/>
                <w:sz w:val="24"/>
                <w:szCs w:val="24"/>
                <w:lang w:bidi="ar"/>
              </w:rPr>
              <w:t>铅酸蓄电池</w:t>
            </w:r>
          </w:p>
        </w:tc>
        <w:tc>
          <w:tcPr>
            <w:tcW w:w="889" w:type="pct"/>
            <w:tcBorders>
              <w:tl2br w:val="nil"/>
              <w:tr2bl w:val="nil"/>
            </w:tcBorders>
            <w:vAlign w:val="center"/>
          </w:tcPr>
          <w:p w14:paraId="17E4CCB7">
            <w:pPr>
              <w:widowControl/>
              <w:jc w:val="center"/>
              <w:textAlignment w:val="center"/>
              <w:rPr>
                <w:rFonts w:hint="eastAsia" w:ascii="宋体" w:hAnsi="宋体" w:cs="宋体"/>
                <w:sz w:val="24"/>
                <w:szCs w:val="24"/>
              </w:rPr>
            </w:pPr>
            <w:r>
              <w:rPr>
                <w:rFonts w:hint="eastAsia" w:ascii="宋体" w:hAnsi="宋体" w:cs="宋体"/>
                <w:sz w:val="24"/>
                <w:szCs w:val="24"/>
              </w:rPr>
              <w:t>12V65AH</w:t>
            </w:r>
          </w:p>
        </w:tc>
        <w:tc>
          <w:tcPr>
            <w:tcW w:w="416" w:type="pct"/>
            <w:tcBorders>
              <w:tl2br w:val="nil"/>
              <w:tr2bl w:val="nil"/>
            </w:tcBorders>
            <w:noWrap/>
            <w:vAlign w:val="center"/>
          </w:tcPr>
          <w:p w14:paraId="3F8E4A1E">
            <w:pPr>
              <w:widowControl/>
              <w:textAlignment w:val="center"/>
              <w:rPr>
                <w:rFonts w:hint="eastAsia" w:ascii="宋体" w:hAnsi="宋体" w:cs="宋体"/>
                <w:sz w:val="24"/>
                <w:szCs w:val="24"/>
              </w:rPr>
            </w:pPr>
            <w:r>
              <w:rPr>
                <w:rFonts w:hint="eastAsia" w:ascii="宋体" w:hAnsi="宋体" w:cs="宋体"/>
                <w:sz w:val="24"/>
                <w:szCs w:val="24"/>
              </w:rPr>
              <w:t>节</w:t>
            </w:r>
          </w:p>
        </w:tc>
        <w:tc>
          <w:tcPr>
            <w:tcW w:w="631" w:type="pct"/>
            <w:tcBorders>
              <w:tl2br w:val="nil"/>
              <w:tr2bl w:val="nil"/>
            </w:tcBorders>
            <w:noWrap/>
            <w:vAlign w:val="center"/>
          </w:tcPr>
          <w:p w14:paraId="50BE3F3C">
            <w:pPr>
              <w:widowControl/>
              <w:jc w:val="center"/>
              <w:textAlignment w:val="center"/>
              <w:rPr>
                <w:rFonts w:hint="eastAsia" w:ascii="宋体" w:hAnsi="宋体" w:cs="宋体"/>
                <w:sz w:val="24"/>
                <w:szCs w:val="24"/>
              </w:rPr>
            </w:pPr>
            <w:r>
              <w:rPr>
                <w:rFonts w:hint="eastAsia" w:ascii="宋体" w:hAnsi="宋体" w:cs="宋体"/>
                <w:sz w:val="24"/>
                <w:szCs w:val="24"/>
              </w:rPr>
              <w:t>288</w:t>
            </w:r>
          </w:p>
        </w:tc>
        <w:tc>
          <w:tcPr>
            <w:tcW w:w="1471" w:type="pct"/>
            <w:tcBorders>
              <w:tl2br w:val="nil"/>
              <w:tr2bl w:val="nil"/>
            </w:tcBorders>
            <w:noWrap/>
            <w:vAlign w:val="center"/>
          </w:tcPr>
          <w:p w14:paraId="2D8CAE93">
            <w:pPr>
              <w:widowControl/>
              <w:textAlignment w:val="center"/>
              <w:rPr>
                <w:rFonts w:hint="eastAsia" w:ascii="宋体" w:hAnsi="宋体" w:cs="宋体"/>
                <w:sz w:val="24"/>
                <w:szCs w:val="24"/>
              </w:rPr>
            </w:pPr>
            <w:r>
              <w:rPr>
                <w:rFonts w:hint="eastAsia" w:ascii="宋体" w:hAnsi="宋体" w:cs="宋体"/>
                <w:sz w:val="24"/>
                <w:szCs w:val="24"/>
              </w:rPr>
              <w:t>弱电间，每组16节，共18组</w:t>
            </w:r>
          </w:p>
        </w:tc>
      </w:tr>
      <w:tr w14:paraId="1E4427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72" w:hRule="atLeast"/>
          <w:jc w:val="center"/>
        </w:trPr>
        <w:tc>
          <w:tcPr>
            <w:tcW w:w="489" w:type="pct"/>
            <w:tcBorders>
              <w:tl2br w:val="nil"/>
              <w:tr2bl w:val="nil"/>
            </w:tcBorders>
            <w:noWrap/>
            <w:vAlign w:val="center"/>
          </w:tcPr>
          <w:p w14:paraId="1371D576">
            <w:pPr>
              <w:widowControl/>
              <w:jc w:val="center"/>
              <w:textAlignment w:val="center"/>
              <w:rPr>
                <w:rFonts w:hint="eastAsia" w:ascii="宋体" w:hAnsi="宋体" w:cs="宋体"/>
                <w:kern w:val="0"/>
                <w:sz w:val="24"/>
                <w:szCs w:val="24"/>
                <w:lang w:bidi="ar"/>
              </w:rPr>
            </w:pPr>
            <w:r>
              <w:rPr>
                <w:rFonts w:hint="eastAsia" w:ascii="宋体" w:hAnsi="宋体" w:cs="宋体"/>
                <w:kern w:val="0"/>
                <w:sz w:val="24"/>
                <w:szCs w:val="24"/>
                <w:lang w:bidi="ar"/>
              </w:rPr>
              <w:t>3</w:t>
            </w:r>
          </w:p>
        </w:tc>
        <w:tc>
          <w:tcPr>
            <w:tcW w:w="1101" w:type="pct"/>
            <w:tcBorders>
              <w:tl2br w:val="nil"/>
              <w:tr2bl w:val="nil"/>
            </w:tcBorders>
            <w:vAlign w:val="center"/>
          </w:tcPr>
          <w:p w14:paraId="1116C824">
            <w:pPr>
              <w:widowControl/>
              <w:jc w:val="center"/>
              <w:textAlignment w:val="center"/>
              <w:rPr>
                <w:rFonts w:hint="eastAsia" w:ascii="宋体" w:hAnsi="宋体" w:cs="宋体"/>
                <w:kern w:val="0"/>
                <w:sz w:val="24"/>
                <w:szCs w:val="24"/>
                <w:lang w:bidi="ar"/>
              </w:rPr>
            </w:pPr>
            <w:r>
              <w:rPr>
                <w:rFonts w:hint="eastAsia" w:ascii="宋体" w:hAnsi="宋体" w:cs="宋体"/>
                <w:kern w:val="0"/>
                <w:sz w:val="24"/>
                <w:szCs w:val="24"/>
                <w:lang w:bidi="ar"/>
              </w:rPr>
              <w:t>UPS电源主机</w:t>
            </w:r>
          </w:p>
        </w:tc>
        <w:tc>
          <w:tcPr>
            <w:tcW w:w="889" w:type="pct"/>
            <w:tcBorders>
              <w:tl2br w:val="nil"/>
              <w:tr2bl w:val="nil"/>
            </w:tcBorders>
            <w:vAlign w:val="center"/>
          </w:tcPr>
          <w:p w14:paraId="3208D05D">
            <w:pPr>
              <w:widowControl/>
              <w:jc w:val="center"/>
              <w:textAlignment w:val="center"/>
              <w:rPr>
                <w:rFonts w:hint="eastAsia" w:ascii="宋体" w:hAnsi="宋体" w:cs="宋体"/>
                <w:sz w:val="24"/>
                <w:szCs w:val="24"/>
              </w:rPr>
            </w:pPr>
            <w:r>
              <w:rPr>
                <w:rFonts w:hint="eastAsia" w:ascii="宋体" w:hAnsi="宋体" w:cs="宋体"/>
                <w:sz w:val="24"/>
                <w:szCs w:val="24"/>
              </w:rPr>
              <w:t>10KVA</w:t>
            </w:r>
          </w:p>
        </w:tc>
        <w:tc>
          <w:tcPr>
            <w:tcW w:w="416" w:type="pct"/>
            <w:tcBorders>
              <w:tl2br w:val="nil"/>
              <w:tr2bl w:val="nil"/>
            </w:tcBorders>
            <w:noWrap/>
            <w:vAlign w:val="center"/>
          </w:tcPr>
          <w:p w14:paraId="172E5DF9">
            <w:pPr>
              <w:widowControl/>
              <w:textAlignment w:val="center"/>
              <w:rPr>
                <w:rFonts w:hint="eastAsia" w:ascii="宋体" w:hAnsi="宋体" w:cs="宋体"/>
                <w:kern w:val="0"/>
                <w:sz w:val="24"/>
                <w:szCs w:val="24"/>
                <w:lang w:bidi="ar"/>
              </w:rPr>
            </w:pPr>
            <w:r>
              <w:rPr>
                <w:rFonts w:hint="eastAsia" w:ascii="宋体" w:hAnsi="宋体" w:cs="宋体"/>
                <w:kern w:val="0"/>
                <w:sz w:val="24"/>
                <w:szCs w:val="24"/>
                <w:lang w:bidi="ar"/>
              </w:rPr>
              <w:t>台</w:t>
            </w:r>
          </w:p>
        </w:tc>
        <w:tc>
          <w:tcPr>
            <w:tcW w:w="631" w:type="pct"/>
            <w:tcBorders>
              <w:tl2br w:val="nil"/>
              <w:tr2bl w:val="nil"/>
            </w:tcBorders>
            <w:noWrap/>
            <w:vAlign w:val="center"/>
          </w:tcPr>
          <w:p w14:paraId="68D7D94B">
            <w:pPr>
              <w:widowControl/>
              <w:jc w:val="center"/>
              <w:textAlignment w:val="center"/>
              <w:rPr>
                <w:rFonts w:hint="eastAsia" w:ascii="宋体" w:hAnsi="宋体" w:cs="宋体"/>
                <w:kern w:val="0"/>
                <w:sz w:val="24"/>
                <w:szCs w:val="24"/>
                <w:lang w:bidi="ar"/>
              </w:rPr>
            </w:pPr>
            <w:r>
              <w:rPr>
                <w:rFonts w:hint="eastAsia" w:ascii="宋体" w:hAnsi="宋体" w:cs="宋体"/>
                <w:kern w:val="0"/>
                <w:sz w:val="24"/>
                <w:szCs w:val="24"/>
                <w:lang w:bidi="ar"/>
              </w:rPr>
              <w:t>3</w:t>
            </w:r>
          </w:p>
        </w:tc>
        <w:tc>
          <w:tcPr>
            <w:tcW w:w="1471" w:type="pct"/>
            <w:tcBorders>
              <w:tl2br w:val="nil"/>
              <w:tr2bl w:val="nil"/>
            </w:tcBorders>
            <w:noWrap/>
            <w:vAlign w:val="center"/>
          </w:tcPr>
          <w:p w14:paraId="3BB80928">
            <w:pPr>
              <w:widowControl/>
              <w:jc w:val="center"/>
              <w:textAlignment w:val="center"/>
              <w:rPr>
                <w:rFonts w:hint="eastAsia" w:ascii="宋体" w:hAnsi="宋体" w:cs="宋体"/>
                <w:kern w:val="0"/>
                <w:sz w:val="24"/>
                <w:szCs w:val="24"/>
                <w:lang w:bidi="ar"/>
              </w:rPr>
            </w:pPr>
            <w:r>
              <w:rPr>
                <w:rFonts w:hint="eastAsia" w:ascii="宋体" w:hAnsi="宋体" w:cs="宋体"/>
                <w:kern w:val="0"/>
                <w:sz w:val="24"/>
                <w:szCs w:val="24"/>
                <w:lang w:bidi="ar"/>
              </w:rPr>
              <w:t>三进单出</w:t>
            </w:r>
          </w:p>
        </w:tc>
      </w:tr>
      <w:tr w14:paraId="565DF7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72" w:hRule="atLeast"/>
          <w:jc w:val="center"/>
        </w:trPr>
        <w:tc>
          <w:tcPr>
            <w:tcW w:w="489" w:type="pct"/>
            <w:tcBorders>
              <w:tl2br w:val="nil"/>
              <w:tr2bl w:val="nil"/>
            </w:tcBorders>
            <w:noWrap/>
            <w:vAlign w:val="center"/>
          </w:tcPr>
          <w:p w14:paraId="37ABA5BA">
            <w:pPr>
              <w:widowControl/>
              <w:jc w:val="center"/>
              <w:textAlignment w:val="center"/>
              <w:rPr>
                <w:rFonts w:hint="eastAsia" w:ascii="宋体" w:hAnsi="宋体" w:cs="宋体"/>
                <w:kern w:val="0"/>
                <w:sz w:val="24"/>
                <w:szCs w:val="24"/>
                <w:lang w:bidi="ar"/>
              </w:rPr>
            </w:pPr>
            <w:r>
              <w:rPr>
                <w:rFonts w:hint="eastAsia" w:ascii="宋体" w:hAnsi="宋体" w:cs="宋体"/>
                <w:kern w:val="0"/>
                <w:sz w:val="24"/>
                <w:szCs w:val="24"/>
                <w:lang w:bidi="ar"/>
              </w:rPr>
              <w:t>4</w:t>
            </w:r>
          </w:p>
        </w:tc>
        <w:tc>
          <w:tcPr>
            <w:tcW w:w="1101" w:type="pct"/>
            <w:tcBorders>
              <w:tl2br w:val="nil"/>
              <w:tr2bl w:val="nil"/>
            </w:tcBorders>
            <w:vAlign w:val="center"/>
          </w:tcPr>
          <w:p w14:paraId="4F0196B4">
            <w:pPr>
              <w:widowControl/>
              <w:jc w:val="center"/>
              <w:textAlignment w:val="center"/>
              <w:rPr>
                <w:rFonts w:hint="eastAsia" w:ascii="宋体" w:hAnsi="宋体" w:cs="宋体"/>
                <w:kern w:val="0"/>
                <w:sz w:val="24"/>
                <w:szCs w:val="24"/>
                <w:lang w:bidi="ar"/>
              </w:rPr>
            </w:pPr>
            <w:r>
              <w:rPr>
                <w:rFonts w:hint="eastAsia" w:ascii="宋体" w:hAnsi="宋体" w:cs="宋体"/>
                <w:kern w:val="0"/>
                <w:sz w:val="24"/>
                <w:szCs w:val="24"/>
                <w:lang w:bidi="ar"/>
              </w:rPr>
              <w:t>安装调试</w:t>
            </w:r>
          </w:p>
        </w:tc>
        <w:tc>
          <w:tcPr>
            <w:tcW w:w="889" w:type="pct"/>
            <w:tcBorders>
              <w:tl2br w:val="nil"/>
              <w:tr2bl w:val="nil"/>
            </w:tcBorders>
            <w:vAlign w:val="center"/>
          </w:tcPr>
          <w:p w14:paraId="0AFF51D5">
            <w:pPr>
              <w:widowControl/>
              <w:jc w:val="center"/>
              <w:textAlignment w:val="center"/>
              <w:rPr>
                <w:rFonts w:hint="eastAsia" w:ascii="宋体" w:hAnsi="宋体" w:cs="宋体"/>
                <w:sz w:val="24"/>
                <w:szCs w:val="24"/>
              </w:rPr>
            </w:pPr>
          </w:p>
        </w:tc>
        <w:tc>
          <w:tcPr>
            <w:tcW w:w="416" w:type="pct"/>
            <w:tcBorders>
              <w:tl2br w:val="nil"/>
              <w:tr2bl w:val="nil"/>
            </w:tcBorders>
            <w:noWrap/>
            <w:vAlign w:val="center"/>
          </w:tcPr>
          <w:p w14:paraId="7FF31511">
            <w:pPr>
              <w:widowControl/>
              <w:jc w:val="center"/>
              <w:textAlignment w:val="center"/>
              <w:rPr>
                <w:rFonts w:hint="eastAsia" w:ascii="宋体" w:hAnsi="宋体" w:cs="宋体"/>
                <w:kern w:val="0"/>
                <w:sz w:val="24"/>
                <w:szCs w:val="24"/>
                <w:lang w:bidi="ar"/>
              </w:rPr>
            </w:pPr>
            <w:r>
              <w:rPr>
                <w:rFonts w:hint="eastAsia" w:ascii="宋体" w:hAnsi="宋体" w:cs="宋体"/>
                <w:kern w:val="0"/>
                <w:sz w:val="24"/>
                <w:szCs w:val="24"/>
                <w:lang w:bidi="ar"/>
              </w:rPr>
              <w:t>项</w:t>
            </w:r>
          </w:p>
        </w:tc>
        <w:tc>
          <w:tcPr>
            <w:tcW w:w="631" w:type="pct"/>
            <w:tcBorders>
              <w:tl2br w:val="nil"/>
              <w:tr2bl w:val="nil"/>
            </w:tcBorders>
            <w:noWrap/>
            <w:vAlign w:val="center"/>
          </w:tcPr>
          <w:p w14:paraId="2B7C3253">
            <w:pPr>
              <w:widowControl/>
              <w:jc w:val="center"/>
              <w:textAlignment w:val="center"/>
              <w:rPr>
                <w:rFonts w:hint="eastAsia" w:ascii="宋体" w:hAnsi="宋体" w:cs="宋体"/>
                <w:kern w:val="0"/>
                <w:sz w:val="24"/>
                <w:szCs w:val="24"/>
                <w:lang w:bidi="ar"/>
              </w:rPr>
            </w:pPr>
            <w:r>
              <w:rPr>
                <w:rFonts w:hint="eastAsia" w:ascii="宋体" w:hAnsi="宋体" w:cs="宋体"/>
                <w:kern w:val="0"/>
                <w:sz w:val="24"/>
                <w:szCs w:val="24"/>
                <w:lang w:bidi="ar"/>
              </w:rPr>
              <w:t>1</w:t>
            </w:r>
          </w:p>
        </w:tc>
        <w:tc>
          <w:tcPr>
            <w:tcW w:w="1471" w:type="pct"/>
            <w:tcBorders>
              <w:tl2br w:val="nil"/>
              <w:tr2bl w:val="nil"/>
            </w:tcBorders>
            <w:noWrap/>
            <w:vAlign w:val="center"/>
          </w:tcPr>
          <w:p w14:paraId="56A36B73">
            <w:pPr>
              <w:widowControl/>
              <w:jc w:val="center"/>
              <w:textAlignment w:val="center"/>
              <w:rPr>
                <w:rFonts w:hint="eastAsia" w:ascii="宋体" w:hAnsi="宋体" w:cs="宋体"/>
                <w:kern w:val="0"/>
                <w:sz w:val="24"/>
                <w:szCs w:val="24"/>
                <w:lang w:bidi="ar"/>
              </w:rPr>
            </w:pPr>
            <w:r>
              <w:rPr>
                <w:rFonts w:hint="eastAsia" w:ascii="宋体" w:hAnsi="宋体" w:cs="宋体"/>
                <w:kern w:val="0"/>
                <w:sz w:val="24"/>
                <w:szCs w:val="24"/>
                <w:lang w:bidi="ar"/>
              </w:rPr>
              <w:t>含UPS及蓄电池安装、系统调试、维护保养</w:t>
            </w:r>
          </w:p>
        </w:tc>
      </w:tr>
    </w:tbl>
    <w:p w14:paraId="6DF3FDC4">
      <w:pPr>
        <w:spacing w:line="360" w:lineRule="auto"/>
        <w:jc w:val="left"/>
        <w:rPr>
          <w:rFonts w:hint="eastAsia" w:ascii="宋体" w:hAnsi="宋体" w:cs="宋体"/>
          <w:b/>
          <w:bCs/>
          <w:sz w:val="28"/>
          <w:szCs w:val="28"/>
        </w:rPr>
      </w:pPr>
      <w:r>
        <w:rPr>
          <w:rFonts w:hint="eastAsia" w:ascii="宋体" w:hAnsi="宋体" w:cs="宋体"/>
          <w:b/>
          <w:bCs/>
          <w:sz w:val="28"/>
          <w:szCs w:val="28"/>
        </w:rPr>
        <w:t>二、设备功能参数要求</w:t>
      </w:r>
    </w:p>
    <w:p w14:paraId="445B3872">
      <w:pPr>
        <w:snapToGrid w:val="0"/>
        <w:spacing w:line="360" w:lineRule="auto"/>
        <w:rPr>
          <w:rFonts w:hint="eastAsia" w:ascii="宋体" w:hAnsi="宋体" w:cs="宋体"/>
          <w:b/>
          <w:bCs/>
          <w:sz w:val="24"/>
          <w:szCs w:val="24"/>
        </w:rPr>
      </w:pPr>
      <w:r>
        <w:rPr>
          <w:rFonts w:hint="eastAsia" w:ascii="宋体" w:hAnsi="宋体" w:cs="宋体"/>
          <w:b/>
          <w:bCs/>
          <w:sz w:val="24"/>
          <w:szCs w:val="24"/>
        </w:rPr>
        <w:t>（一）铅酸蓄电池</w:t>
      </w:r>
    </w:p>
    <w:p w14:paraId="7A914B25">
      <w:pPr>
        <w:snapToGrid w:val="0"/>
        <w:spacing w:line="360" w:lineRule="auto"/>
        <w:rPr>
          <w:rFonts w:hint="eastAsia" w:ascii="宋体" w:hAnsi="宋体" w:cs="宋体"/>
          <w:b/>
          <w:bCs/>
          <w:sz w:val="24"/>
          <w:szCs w:val="24"/>
        </w:rPr>
      </w:pPr>
      <w:r>
        <w:rPr>
          <w:rFonts w:hint="eastAsia" w:ascii="宋体" w:hAnsi="宋体" w:cs="宋体"/>
          <w:b/>
          <w:bCs/>
          <w:sz w:val="24"/>
          <w:szCs w:val="24"/>
        </w:rPr>
        <w:t>参数要求：</w:t>
      </w:r>
    </w:p>
    <w:p w14:paraId="32FCD390">
      <w:pPr>
        <w:pStyle w:val="81"/>
        <w:overflowPunct w:val="0"/>
        <w:topLinePunct/>
        <w:spacing w:line="360" w:lineRule="auto"/>
        <w:ind w:right="-483" w:rightChars="-230" w:hanging="425"/>
        <w:rPr>
          <w:rFonts w:hint="eastAsia" w:ascii="宋体" w:hAnsi="宋体" w:cs="宋体"/>
          <w:sz w:val="24"/>
        </w:rPr>
      </w:pPr>
      <w:r>
        <w:rPr>
          <w:rFonts w:ascii="宋体" w:hAnsi="宋体" w:cs="宋体"/>
          <w:sz w:val="24"/>
        </w:rPr>
        <w:t>1.</w:t>
      </w:r>
      <w:r>
        <w:rPr>
          <w:rFonts w:hint="eastAsia" w:ascii="宋体" w:hAnsi="宋体" w:cs="宋体"/>
          <w:sz w:val="24"/>
        </w:rPr>
        <w:t>蓄电池应由正极板、负极板、隔板、槽、盖、安全阀、回流条、端子、电解液等组成。蓄电池结构应保证在使用寿命期间，不得渗漏电解液。</w:t>
      </w:r>
    </w:p>
    <w:p w14:paraId="284CFE60">
      <w:pPr>
        <w:pStyle w:val="81"/>
        <w:overflowPunct w:val="0"/>
        <w:topLinePunct/>
        <w:spacing w:line="360" w:lineRule="auto"/>
        <w:ind w:right="-483" w:rightChars="-230" w:hanging="425"/>
        <w:rPr>
          <w:rFonts w:hint="eastAsia" w:ascii="宋体" w:hAnsi="宋体" w:cs="宋体"/>
          <w:sz w:val="24"/>
        </w:rPr>
      </w:pPr>
      <w:r>
        <w:rPr>
          <w:rFonts w:ascii="宋体" w:hAnsi="宋体" w:cs="宋体"/>
          <w:sz w:val="24"/>
        </w:rPr>
        <w:t>2.</w:t>
      </w:r>
      <w:r>
        <w:rPr>
          <w:rFonts w:hint="eastAsia" w:ascii="宋体" w:hAnsi="宋体" w:cs="宋体"/>
          <w:sz w:val="24"/>
        </w:rPr>
        <w:t>蓄电池外壳采用耐热、耐腐、耐压、耐震动、耐变形的高性能ABS材料，蓄电池外观不得有变形、漏液、裂纹及污迹，标志应清晰。</w:t>
      </w:r>
    </w:p>
    <w:p w14:paraId="2CC77228">
      <w:pPr>
        <w:pStyle w:val="81"/>
        <w:overflowPunct w:val="0"/>
        <w:topLinePunct/>
        <w:spacing w:line="360" w:lineRule="auto"/>
        <w:ind w:right="-483" w:rightChars="-230" w:hanging="425"/>
        <w:rPr>
          <w:rFonts w:hint="eastAsia" w:ascii="宋体" w:hAnsi="宋体" w:cs="宋体"/>
          <w:sz w:val="24"/>
        </w:rPr>
      </w:pPr>
      <w:r>
        <w:rPr>
          <w:rFonts w:ascii="宋体" w:hAnsi="宋体" w:cs="宋体"/>
          <w:sz w:val="24"/>
        </w:rPr>
        <w:t>3.</w:t>
      </w:r>
      <w:r>
        <w:rPr>
          <w:rFonts w:hint="eastAsia" w:ascii="宋体" w:hAnsi="宋体" w:cs="宋体"/>
          <w:sz w:val="24"/>
        </w:rPr>
        <w:t>蓄电池正、负极端子有明显标志，便于连接。连接端子采用嵌入式下旋螺纹纯铜无镀层端子，以保证电池导电性能，同时确保无金属铅或铅合金外露。</w:t>
      </w:r>
    </w:p>
    <w:p w14:paraId="7A7334BB">
      <w:pPr>
        <w:pStyle w:val="81"/>
        <w:overflowPunct w:val="0"/>
        <w:topLinePunct/>
        <w:spacing w:line="360" w:lineRule="auto"/>
        <w:ind w:right="-483" w:rightChars="-230" w:hanging="425"/>
        <w:rPr>
          <w:rFonts w:hint="eastAsia" w:ascii="宋体" w:hAnsi="宋体" w:cs="宋体"/>
          <w:sz w:val="24"/>
        </w:rPr>
      </w:pPr>
      <w:r>
        <w:rPr>
          <w:rFonts w:hint="eastAsia" w:ascii="宋体" w:hAnsi="宋体" w:cs="宋体"/>
          <w:sz w:val="24"/>
        </w:rPr>
        <w:t>4</w:t>
      </w:r>
      <w:r>
        <w:rPr>
          <w:rFonts w:ascii="宋体" w:hAnsi="宋体" w:cs="宋体"/>
          <w:sz w:val="24"/>
        </w:rPr>
        <w:t>.</w:t>
      </w:r>
      <w:r>
        <w:rPr>
          <w:rFonts w:hint="eastAsia" w:ascii="宋体" w:hAnsi="宋体" w:cs="宋体"/>
          <w:sz w:val="24"/>
        </w:rPr>
        <w:t>蓄电池阻燃性能应符合符合YD/T799-2010中第6.4条的要求，即：蓄电池壳、盖、连接条保护罩应满足FH-1（水平级）和FV-0（垂直级）的要求或GB/T2408-2021中的第8.4.2条HB（水平级）和第9.4条V-0（垂直级）的要求。</w:t>
      </w:r>
    </w:p>
    <w:p w14:paraId="30BADFB9">
      <w:pPr>
        <w:pStyle w:val="81"/>
        <w:overflowPunct w:val="0"/>
        <w:topLinePunct/>
        <w:spacing w:line="360" w:lineRule="auto"/>
        <w:ind w:right="-483" w:rightChars="-230" w:hanging="425"/>
        <w:rPr>
          <w:rFonts w:hint="eastAsia" w:ascii="宋体" w:hAnsi="宋体" w:cs="宋体"/>
          <w:sz w:val="24"/>
        </w:rPr>
      </w:pPr>
      <w:r>
        <w:rPr>
          <w:rFonts w:hint="eastAsia" w:ascii="宋体" w:hAnsi="宋体" w:cs="宋体"/>
          <w:sz w:val="24"/>
        </w:rPr>
        <w:t>5</w:t>
      </w:r>
      <w:r>
        <w:rPr>
          <w:rFonts w:ascii="宋体" w:hAnsi="宋体" w:cs="宋体"/>
          <w:sz w:val="24"/>
        </w:rPr>
        <w:t>.</w:t>
      </w:r>
      <w:r>
        <w:rPr>
          <w:rFonts w:hint="eastAsia" w:ascii="宋体" w:hAnsi="宋体" w:cs="宋体"/>
          <w:sz w:val="24"/>
        </w:rPr>
        <w:t>蓄电池应能承受50kPa的正压或负压而不破裂、不开胶，压力释放后壳体应无残余变形。</w:t>
      </w:r>
    </w:p>
    <w:p w14:paraId="0C25845E">
      <w:pPr>
        <w:pStyle w:val="81"/>
        <w:overflowPunct w:val="0"/>
        <w:topLinePunct/>
        <w:spacing w:line="360" w:lineRule="auto"/>
        <w:ind w:right="-483" w:rightChars="-230" w:hanging="425"/>
        <w:rPr>
          <w:rFonts w:hint="eastAsia" w:ascii="宋体" w:hAnsi="宋体" w:cs="宋体"/>
          <w:sz w:val="24"/>
        </w:rPr>
      </w:pPr>
      <w:r>
        <w:rPr>
          <w:rFonts w:hint="eastAsia" w:ascii="宋体" w:hAnsi="宋体" w:cs="宋体"/>
          <w:sz w:val="24"/>
        </w:rPr>
        <w:t>6</w:t>
      </w:r>
      <w:r>
        <w:rPr>
          <w:rFonts w:ascii="宋体" w:hAnsi="宋体" w:cs="宋体"/>
          <w:sz w:val="24"/>
        </w:rPr>
        <w:t>.</w:t>
      </w:r>
      <w:r>
        <w:rPr>
          <w:rFonts w:hint="eastAsia" w:ascii="宋体" w:hAnsi="宋体" w:cs="宋体"/>
          <w:sz w:val="24"/>
        </w:rPr>
        <w:t>蓄电池以30I</w:t>
      </w:r>
      <w:r>
        <w:rPr>
          <w:rFonts w:hint="eastAsia" w:ascii="宋体" w:hAnsi="宋体" w:cs="宋体"/>
          <w:sz w:val="16"/>
          <w:szCs w:val="16"/>
        </w:rPr>
        <w:t>10</w:t>
      </w:r>
      <w:r>
        <w:rPr>
          <w:rFonts w:hint="eastAsia" w:ascii="宋体" w:hAnsi="宋体" w:cs="宋体"/>
          <w:sz w:val="24"/>
        </w:rPr>
        <w:t>电流放电3min，极柱应不熔断，内部汇流排应不熔断，外观应不出现异常。</w:t>
      </w:r>
    </w:p>
    <w:p w14:paraId="1653BA8E">
      <w:pPr>
        <w:pStyle w:val="81"/>
        <w:overflowPunct w:val="0"/>
        <w:topLinePunct/>
        <w:spacing w:line="360" w:lineRule="auto"/>
        <w:ind w:right="-483" w:rightChars="-230" w:hanging="425"/>
        <w:rPr>
          <w:rFonts w:hint="eastAsia" w:ascii="宋体" w:hAnsi="宋体" w:cs="宋体"/>
          <w:sz w:val="24"/>
        </w:rPr>
      </w:pPr>
      <w:r>
        <w:rPr>
          <w:rFonts w:hint="eastAsia" w:ascii="宋体" w:hAnsi="宋体" w:cs="宋体"/>
          <w:sz w:val="24"/>
        </w:rPr>
        <w:sym w:font="Wingdings" w:char="F0AB"/>
      </w:r>
      <w:r>
        <w:rPr>
          <w:rFonts w:hint="eastAsia" w:ascii="宋体" w:hAnsi="宋体" w:cs="宋体"/>
          <w:sz w:val="24"/>
        </w:rPr>
        <w:t>7</w:t>
      </w:r>
      <w:r>
        <w:rPr>
          <w:rFonts w:ascii="宋体" w:hAnsi="宋体" w:cs="宋体"/>
          <w:sz w:val="24"/>
        </w:rPr>
        <w:t>.</w:t>
      </w:r>
      <w:r>
        <w:rPr>
          <w:rFonts w:hint="eastAsia" w:ascii="宋体" w:hAnsi="宋体" w:cs="宋体"/>
          <w:sz w:val="24"/>
        </w:rPr>
        <w:t>蓄电池静置28天后容量保存率应＞98%。</w:t>
      </w:r>
    </w:p>
    <w:p w14:paraId="25289A1A">
      <w:pPr>
        <w:pStyle w:val="81"/>
        <w:overflowPunct w:val="0"/>
        <w:topLinePunct/>
        <w:spacing w:line="360" w:lineRule="auto"/>
        <w:ind w:right="-483" w:rightChars="-230" w:hanging="425"/>
        <w:rPr>
          <w:rFonts w:hint="eastAsia" w:ascii="宋体" w:hAnsi="宋体" w:cs="宋体"/>
          <w:sz w:val="24"/>
        </w:rPr>
      </w:pPr>
      <w:r>
        <w:rPr>
          <w:rFonts w:hint="eastAsia" w:ascii="宋体" w:hAnsi="宋体" w:cs="宋体"/>
          <w:sz w:val="24"/>
        </w:rPr>
        <w:t>8</w:t>
      </w:r>
      <w:r>
        <w:rPr>
          <w:rFonts w:ascii="宋体" w:hAnsi="宋体" w:cs="宋体"/>
          <w:sz w:val="24"/>
        </w:rPr>
        <w:t>.</w:t>
      </w:r>
      <w:r>
        <w:rPr>
          <w:rFonts w:hint="eastAsia" w:ascii="宋体" w:hAnsi="宋体" w:cs="宋体"/>
          <w:sz w:val="24"/>
        </w:rPr>
        <w:t>蓄电池密封反应效率应＞95%。</w:t>
      </w:r>
    </w:p>
    <w:p w14:paraId="21AC99FC">
      <w:pPr>
        <w:pStyle w:val="81"/>
        <w:overflowPunct w:val="0"/>
        <w:topLinePunct/>
        <w:spacing w:line="360" w:lineRule="auto"/>
        <w:ind w:right="-483" w:rightChars="-230" w:hanging="425"/>
        <w:rPr>
          <w:rFonts w:hint="eastAsia" w:ascii="宋体" w:hAnsi="宋体" w:cs="宋体"/>
          <w:sz w:val="24"/>
        </w:rPr>
      </w:pPr>
      <w:r>
        <w:rPr>
          <w:rFonts w:hint="eastAsia" w:ascii="宋体" w:hAnsi="宋体" w:cs="宋体"/>
          <w:sz w:val="24"/>
        </w:rPr>
        <w:t>9</w:t>
      </w:r>
      <w:r>
        <w:rPr>
          <w:rFonts w:ascii="宋体" w:hAnsi="宋体" w:cs="宋体"/>
          <w:sz w:val="24"/>
        </w:rPr>
        <w:t>.</w:t>
      </w:r>
      <w:r>
        <w:rPr>
          <w:rFonts w:hint="eastAsia" w:ascii="宋体" w:hAnsi="宋体" w:cs="宋体"/>
          <w:sz w:val="24"/>
        </w:rPr>
        <w:t>蓄电池应具备防酸雾能力，正常浮充工作过程中应无酸雾逸出。</w:t>
      </w:r>
    </w:p>
    <w:p w14:paraId="759C1769">
      <w:pPr>
        <w:pStyle w:val="81"/>
        <w:overflowPunct w:val="0"/>
        <w:topLinePunct/>
        <w:spacing w:line="360" w:lineRule="auto"/>
        <w:ind w:right="-483" w:rightChars="-230" w:hanging="425"/>
        <w:rPr>
          <w:rFonts w:hint="eastAsia" w:ascii="宋体" w:hAnsi="宋体" w:cs="宋体"/>
          <w:sz w:val="24"/>
        </w:rPr>
      </w:pPr>
      <w:r>
        <w:rPr>
          <w:rFonts w:hint="eastAsia" w:ascii="宋体" w:hAnsi="宋体" w:cs="宋体"/>
          <w:sz w:val="24"/>
        </w:rPr>
        <w:t>10</w:t>
      </w:r>
      <w:r>
        <w:rPr>
          <w:rFonts w:ascii="宋体" w:hAnsi="宋体" w:cs="宋体"/>
          <w:sz w:val="24"/>
        </w:rPr>
        <w:t>.</w:t>
      </w:r>
      <w:r>
        <w:rPr>
          <w:rFonts w:hint="eastAsia" w:ascii="宋体" w:hAnsi="宋体" w:cs="宋体"/>
          <w:sz w:val="24"/>
        </w:rPr>
        <w:t>蓄电池使用期间安全阀应能自动开启闭合，开阀压力应在15~25kP范围内，闭阀压力应在10~20kPa范围内。</w:t>
      </w:r>
    </w:p>
    <w:p w14:paraId="003B0033">
      <w:pPr>
        <w:pStyle w:val="81"/>
        <w:overflowPunct w:val="0"/>
        <w:topLinePunct/>
        <w:spacing w:line="360" w:lineRule="auto"/>
        <w:ind w:right="-483" w:rightChars="-230" w:hanging="425"/>
        <w:rPr>
          <w:rFonts w:hint="eastAsia" w:ascii="宋体" w:hAnsi="宋体" w:cs="宋体"/>
          <w:sz w:val="24"/>
        </w:rPr>
      </w:pPr>
      <w:r>
        <w:rPr>
          <w:rFonts w:hint="eastAsia" w:ascii="宋体" w:hAnsi="宋体" w:cs="宋体"/>
          <w:sz w:val="24"/>
        </w:rPr>
        <w:t>11</w:t>
      </w:r>
      <w:r>
        <w:rPr>
          <w:rFonts w:ascii="宋体" w:hAnsi="宋体" w:cs="宋体"/>
          <w:sz w:val="24"/>
        </w:rPr>
        <w:t>.</w:t>
      </w:r>
      <w:r>
        <w:rPr>
          <w:rFonts w:hint="eastAsia" w:ascii="宋体" w:hAnsi="宋体" w:cs="宋体"/>
          <w:sz w:val="24"/>
        </w:rPr>
        <w:t>蓄电池完全充电后以0.3I</w:t>
      </w:r>
      <w:r>
        <w:rPr>
          <w:rFonts w:hint="eastAsia" w:ascii="宋体" w:hAnsi="宋体" w:cs="宋体"/>
          <w:sz w:val="16"/>
          <w:szCs w:val="16"/>
        </w:rPr>
        <w:t>10</w:t>
      </w:r>
      <w:r>
        <w:rPr>
          <w:rFonts w:hint="eastAsia" w:ascii="宋体" w:hAnsi="宋体" w:cs="宋体"/>
          <w:sz w:val="24"/>
        </w:rPr>
        <w:t>连续充电160h，外观应无明显变形及渗液。</w:t>
      </w:r>
    </w:p>
    <w:p w14:paraId="72834B1D">
      <w:pPr>
        <w:pStyle w:val="81"/>
        <w:overflowPunct w:val="0"/>
        <w:topLinePunct/>
        <w:spacing w:line="360" w:lineRule="auto"/>
        <w:ind w:left="-425" w:right="-483" w:rightChars="-230"/>
        <w:rPr>
          <w:rFonts w:hint="eastAsia" w:ascii="宋体" w:hAnsi="宋体" w:cs="宋体"/>
          <w:strike/>
          <w:color w:val="EE0000"/>
          <w:sz w:val="24"/>
        </w:rPr>
      </w:pPr>
      <w:r>
        <w:rPr>
          <w:rFonts w:hint="eastAsia" w:ascii="宋体" w:hAnsi="宋体" w:cs="宋体"/>
          <w:sz w:val="24"/>
        </w:rPr>
        <w:t>12.端电压均衡性：在开路状态下，蓄电池最高与最低差值应≤20mV；在浮充状态下，进入浮充状态24h后端电压差应≤35mV；在放电状态下，端电压差应≤150mV。</w:t>
      </w:r>
      <w:bookmarkStart w:id="39" w:name="_Hlk193296130"/>
    </w:p>
    <w:p w14:paraId="31E58648">
      <w:pPr>
        <w:pStyle w:val="81"/>
        <w:overflowPunct w:val="0"/>
        <w:topLinePunct/>
        <w:spacing w:line="360" w:lineRule="auto"/>
        <w:ind w:right="-483" w:rightChars="-230" w:hanging="425"/>
        <w:rPr>
          <w:rFonts w:hint="eastAsia" w:ascii="宋体" w:hAnsi="宋体" w:cs="宋体"/>
          <w:sz w:val="24"/>
        </w:rPr>
      </w:pPr>
      <w:r>
        <w:rPr>
          <w:rFonts w:hint="eastAsia" w:ascii="宋体" w:hAnsi="宋体" w:cs="宋体"/>
          <w:sz w:val="24"/>
        </w:rPr>
        <w:sym w:font="Wingdings" w:char="F0AB"/>
      </w:r>
      <w:r>
        <w:rPr>
          <w:rFonts w:ascii="宋体" w:hAnsi="宋体" w:cs="宋体"/>
          <w:sz w:val="24"/>
        </w:rPr>
        <w:t>13.</w:t>
      </w:r>
      <w:bookmarkEnd w:id="39"/>
      <w:r>
        <w:rPr>
          <w:rFonts w:hint="eastAsia" w:ascii="宋体" w:hAnsi="宋体" w:cs="宋体"/>
          <w:sz w:val="24"/>
        </w:rPr>
        <w:t>蓄电池在5.5I</w:t>
      </w:r>
      <w:r>
        <w:rPr>
          <w:rFonts w:hint="eastAsia" w:ascii="宋体" w:hAnsi="宋体" w:cs="宋体"/>
          <w:sz w:val="16"/>
          <w:szCs w:val="16"/>
        </w:rPr>
        <w:t>10</w:t>
      </w:r>
      <w:r>
        <w:rPr>
          <w:rFonts w:hint="eastAsia" w:ascii="宋体" w:hAnsi="宋体" w:cs="宋体"/>
          <w:sz w:val="24"/>
        </w:rPr>
        <w:t>放电条件下，电池间连接电压降△U应＜5mV。</w:t>
      </w:r>
    </w:p>
    <w:p w14:paraId="4D5D4BDA">
      <w:pPr>
        <w:pStyle w:val="81"/>
        <w:overflowPunct w:val="0"/>
        <w:topLinePunct/>
        <w:spacing w:line="360" w:lineRule="auto"/>
        <w:ind w:right="-483" w:rightChars="-230" w:hanging="425"/>
        <w:rPr>
          <w:rFonts w:hint="eastAsia" w:ascii="宋体" w:hAnsi="宋体" w:cs="宋体"/>
          <w:sz w:val="24"/>
        </w:rPr>
      </w:pPr>
      <w:r>
        <w:rPr>
          <w:rFonts w:ascii="宋体" w:hAnsi="宋体" w:cs="宋体"/>
          <w:sz w:val="24"/>
        </w:rPr>
        <w:t>14.</w:t>
      </w:r>
      <w:r>
        <w:rPr>
          <w:rFonts w:hint="eastAsia" w:ascii="宋体" w:hAnsi="宋体" w:cs="宋体"/>
          <w:sz w:val="24"/>
        </w:rPr>
        <w:t>蓄电池在充电过程中外部遇明火时，内部不应引燃及引爆。</w:t>
      </w:r>
    </w:p>
    <w:p w14:paraId="0F33BFEB">
      <w:pPr>
        <w:pStyle w:val="81"/>
        <w:overflowPunct w:val="0"/>
        <w:topLinePunct/>
        <w:spacing w:line="360" w:lineRule="auto"/>
        <w:ind w:right="-483" w:rightChars="-230" w:hanging="425"/>
        <w:rPr>
          <w:rFonts w:hint="eastAsia" w:ascii="宋体" w:hAnsi="宋体" w:cs="宋体"/>
          <w:sz w:val="24"/>
        </w:rPr>
      </w:pPr>
      <w:bookmarkStart w:id="40" w:name="_Hlk205306038"/>
      <w:r>
        <w:rPr>
          <w:rFonts w:ascii="宋体" w:hAnsi="宋体" w:cs="宋体"/>
          <w:sz w:val="24"/>
        </w:rPr>
        <w:t>15.</w:t>
      </w:r>
      <w:r>
        <w:rPr>
          <w:rFonts w:hint="eastAsia" w:ascii="宋体" w:hAnsi="宋体" w:cs="宋体"/>
          <w:sz w:val="24"/>
        </w:rPr>
        <w:t>环境温度在-30℃~+65℃之间时，蓄电池封口剂应无裂纹与溢流现象。</w:t>
      </w:r>
    </w:p>
    <w:bookmarkEnd w:id="40"/>
    <w:p w14:paraId="4F56460E">
      <w:pPr>
        <w:pStyle w:val="81"/>
        <w:overflowPunct w:val="0"/>
        <w:topLinePunct/>
        <w:spacing w:line="360" w:lineRule="auto"/>
        <w:ind w:left="-425" w:right="-483" w:rightChars="-230"/>
        <w:rPr>
          <w:rFonts w:hint="eastAsia" w:ascii="宋体" w:hAnsi="宋体" w:cs="宋体"/>
          <w:strike/>
          <w:color w:val="EE0000"/>
          <w:sz w:val="24"/>
        </w:rPr>
      </w:pPr>
      <w:r>
        <w:rPr>
          <w:rFonts w:hint="eastAsia" w:ascii="宋体" w:hAnsi="宋体" w:cs="宋体"/>
          <w:sz w:val="24"/>
        </w:rPr>
        <w:t>16.同组蓄电池内阻偏差应＜10%。</w:t>
      </w:r>
      <w:bookmarkStart w:id="41" w:name="_Hlk205306081"/>
    </w:p>
    <w:p w14:paraId="3BCA5CF4">
      <w:pPr>
        <w:pStyle w:val="81"/>
        <w:overflowPunct w:val="0"/>
        <w:topLinePunct/>
        <w:spacing w:line="360" w:lineRule="auto"/>
        <w:ind w:left="-425" w:right="-483" w:rightChars="-230"/>
        <w:rPr>
          <w:rFonts w:hint="eastAsia" w:ascii="宋体" w:hAnsi="宋体" w:cs="宋体"/>
          <w:strike/>
          <w:color w:val="EE0000"/>
          <w:sz w:val="24"/>
        </w:rPr>
      </w:pPr>
      <w:r>
        <w:rPr>
          <w:rFonts w:hint="eastAsia" w:ascii="宋体" w:hAnsi="宋体" w:cs="宋体"/>
          <w:sz w:val="24"/>
        </w:rPr>
        <w:t>17.蓄电池热失控敏感性：以2.45V/单体的恒定电压（不限流）连续充电168h，充电过程中每隔24h记录一次充电电流值和蓄电池端子部位温度值，充电结束时蓄电池温度应≤28℃；每24h的电流增长率应≤27.0%。</w:t>
      </w:r>
    </w:p>
    <w:bookmarkEnd w:id="41"/>
    <w:p w14:paraId="5D5CDC9F">
      <w:pPr>
        <w:pStyle w:val="81"/>
        <w:overflowPunct w:val="0"/>
        <w:topLinePunct/>
        <w:spacing w:line="360" w:lineRule="auto"/>
        <w:ind w:right="-483" w:rightChars="-230" w:hanging="425"/>
        <w:rPr>
          <w:rFonts w:hint="eastAsia" w:ascii="宋体" w:hAnsi="宋体" w:cs="宋体"/>
          <w:strike/>
          <w:color w:val="EE0000"/>
          <w:sz w:val="24"/>
        </w:rPr>
      </w:pPr>
      <w:bookmarkStart w:id="42" w:name="_Hlk205306097"/>
      <w:r>
        <w:rPr>
          <w:rFonts w:hint="eastAsia" w:ascii="宋体" w:hAnsi="宋体" w:cs="宋体"/>
          <w:sz w:val="24"/>
        </w:rPr>
        <w:t>18.过度放电后，蓄电池容量恢复值应≥99%。</w:t>
      </w:r>
    </w:p>
    <w:bookmarkEnd w:id="42"/>
    <w:p w14:paraId="4E88B3C0">
      <w:pPr>
        <w:pStyle w:val="81"/>
        <w:overflowPunct w:val="0"/>
        <w:topLinePunct/>
        <w:spacing w:line="360" w:lineRule="auto"/>
        <w:ind w:right="-483" w:rightChars="-230" w:hanging="425"/>
        <w:rPr>
          <w:rFonts w:hint="eastAsia" w:ascii="宋体" w:hAnsi="宋体" w:cs="宋体"/>
          <w:sz w:val="24"/>
        </w:rPr>
      </w:pPr>
      <w:bookmarkStart w:id="43" w:name="_Hlk205306142"/>
      <w:r>
        <w:rPr>
          <w:rFonts w:hint="eastAsia" w:ascii="宋体" w:hAnsi="宋体" w:cs="宋体"/>
          <w:sz w:val="24"/>
        </w:rPr>
        <w:t>19.再充电性能：蓄电池恒压充电24h的再充电能力因素应≥97％。</w:t>
      </w:r>
      <w:bookmarkEnd w:id="43"/>
      <w:bookmarkStart w:id="44" w:name="_Hlk205306165"/>
    </w:p>
    <w:p w14:paraId="6D64AD7B">
      <w:pPr>
        <w:pStyle w:val="81"/>
        <w:overflowPunct w:val="0"/>
        <w:topLinePunct/>
        <w:spacing w:line="360" w:lineRule="auto"/>
        <w:ind w:right="-483" w:rightChars="-230" w:hanging="425"/>
        <w:rPr>
          <w:rFonts w:hint="eastAsia" w:ascii="宋体" w:hAnsi="宋体" w:cs="宋体"/>
          <w:sz w:val="24"/>
        </w:rPr>
      </w:pPr>
      <w:r>
        <w:rPr>
          <w:rFonts w:hint="eastAsia" w:ascii="宋体" w:hAnsi="宋体" w:cs="宋体"/>
          <w:sz w:val="24"/>
        </w:rPr>
        <w:t>20同组蓄电池10h率容量实验时，最大实际容量与最小实际容量差值应≤3％。</w:t>
      </w:r>
      <w:bookmarkEnd w:id="44"/>
    </w:p>
    <w:p w14:paraId="4A6034A1">
      <w:pPr>
        <w:pStyle w:val="81"/>
        <w:overflowPunct w:val="0"/>
        <w:topLinePunct/>
        <w:spacing w:line="360" w:lineRule="auto"/>
        <w:ind w:right="-483" w:rightChars="-230" w:hanging="425"/>
        <w:rPr>
          <w:rFonts w:hint="eastAsia" w:ascii="宋体" w:hAnsi="宋体" w:cs="宋体"/>
          <w:sz w:val="24"/>
        </w:rPr>
      </w:pPr>
      <w:r>
        <w:rPr>
          <w:rFonts w:hint="eastAsia" w:ascii="宋体" w:hAnsi="宋体" w:cs="宋体"/>
          <w:sz w:val="24"/>
        </w:rPr>
        <w:t>21</w:t>
      </w:r>
      <w:r>
        <w:rPr>
          <w:rFonts w:ascii="宋体" w:hAnsi="宋体" w:cs="宋体"/>
          <w:sz w:val="24"/>
        </w:rPr>
        <w:t>.</w:t>
      </w:r>
      <w:r>
        <w:rPr>
          <w:rFonts w:hint="eastAsia" w:ascii="宋体" w:hAnsi="宋体" w:cs="宋体"/>
          <w:sz w:val="24"/>
        </w:rPr>
        <w:t>蓄电池在环境温度25℃条件下，其设计寿命应不低于12年。</w:t>
      </w:r>
    </w:p>
    <w:p w14:paraId="67CFE285">
      <w:pPr>
        <w:pStyle w:val="81"/>
        <w:overflowPunct w:val="0"/>
        <w:topLinePunct/>
        <w:spacing w:line="360" w:lineRule="auto"/>
        <w:ind w:right="-483" w:rightChars="-230" w:hanging="425"/>
        <w:rPr>
          <w:rFonts w:hint="eastAsia" w:ascii="宋体" w:hAnsi="宋体" w:cs="宋体"/>
          <w:sz w:val="24"/>
        </w:rPr>
      </w:pPr>
      <w:r>
        <w:rPr>
          <w:rFonts w:hint="eastAsia" w:ascii="宋体" w:hAnsi="宋体" w:cs="宋体"/>
          <w:sz w:val="24"/>
        </w:rPr>
        <w:t>22.女子监狱电池架尺寸为78*46.5*118cm，如果电池架需要改造，乙方需承担该电池架改造费用。</w:t>
      </w:r>
    </w:p>
    <w:p w14:paraId="2D3206F2">
      <w:pPr>
        <w:pStyle w:val="76"/>
        <w:spacing w:line="360" w:lineRule="auto"/>
        <w:ind w:left="-424" w:leftChars="-202" w:right="-483" w:rightChars="-230" w:firstLine="0" w:firstLineChars="0"/>
        <w:rPr>
          <w:rFonts w:hint="eastAsia" w:ascii="宋体" w:hAnsi="宋体" w:cs="宋体"/>
          <w:b/>
          <w:bCs/>
          <w:sz w:val="32"/>
          <w:szCs w:val="32"/>
        </w:rPr>
      </w:pPr>
      <w:r>
        <w:rPr>
          <w:rFonts w:hint="eastAsia" w:ascii="宋体" w:hAnsi="宋体" w:cs="宋体"/>
          <w:b/>
          <w:bCs/>
          <w:sz w:val="32"/>
          <w:szCs w:val="32"/>
        </w:rPr>
        <w:t>（二）UPS电源主机</w:t>
      </w:r>
    </w:p>
    <w:p w14:paraId="73414AB4">
      <w:pPr>
        <w:pStyle w:val="76"/>
        <w:spacing w:line="360" w:lineRule="auto"/>
        <w:ind w:left="-424" w:leftChars="-202" w:right="-483" w:rightChars="-230" w:firstLine="0" w:firstLineChars="0"/>
        <w:rPr>
          <w:rFonts w:hint="eastAsia" w:ascii="宋体" w:hAnsi="宋体" w:cs="宋体"/>
          <w:b/>
          <w:bCs/>
          <w:sz w:val="28"/>
          <w:szCs w:val="28"/>
        </w:rPr>
      </w:pPr>
      <w:r>
        <w:rPr>
          <w:rFonts w:hint="eastAsia" w:ascii="宋体" w:hAnsi="宋体" w:cs="宋体"/>
          <w:b/>
          <w:bCs/>
          <w:sz w:val="28"/>
          <w:szCs w:val="28"/>
        </w:rPr>
        <w:t>参数要求：</w:t>
      </w:r>
    </w:p>
    <w:p w14:paraId="2ADBBE99">
      <w:pPr>
        <w:pStyle w:val="76"/>
        <w:spacing w:line="360" w:lineRule="auto"/>
        <w:ind w:left="-64" w:leftChars="-202" w:right="-567" w:rightChars="-270" w:hanging="360" w:firstLineChars="0"/>
        <w:rPr>
          <w:rFonts w:hint="eastAsia" w:ascii="宋体" w:hAnsi="宋体"/>
          <w:sz w:val="24"/>
        </w:rPr>
      </w:pPr>
      <w:r>
        <w:rPr>
          <w:rFonts w:hint="eastAsia" w:ascii="宋体" w:hAnsi="宋体"/>
          <w:sz w:val="24"/>
        </w:rPr>
        <w:sym w:font="Wingdings" w:char="F0AB"/>
      </w:r>
      <w:r>
        <w:rPr>
          <w:rFonts w:ascii="宋体" w:hAnsi="宋体"/>
          <w:sz w:val="24"/>
        </w:rPr>
        <w:t>1.</w:t>
      </w:r>
      <w:r>
        <w:rPr>
          <w:rFonts w:hint="eastAsia" w:ascii="宋体" w:hAnsi="宋体"/>
          <w:sz w:val="24"/>
        </w:rPr>
        <w:t>主机容量应≥10kVA；采用在线式双变换技术。</w:t>
      </w:r>
    </w:p>
    <w:p w14:paraId="4B2BB9F0">
      <w:pPr>
        <w:pStyle w:val="76"/>
        <w:spacing w:line="360" w:lineRule="auto"/>
        <w:ind w:left="-64" w:leftChars="-202" w:right="-567" w:rightChars="-270" w:hanging="360" w:firstLineChars="0"/>
        <w:rPr>
          <w:rFonts w:hint="eastAsia" w:ascii="宋体" w:hAnsi="宋体"/>
          <w:sz w:val="24"/>
        </w:rPr>
      </w:pPr>
      <w:r>
        <w:rPr>
          <w:rFonts w:ascii="宋体" w:hAnsi="宋体"/>
          <w:sz w:val="24"/>
        </w:rPr>
        <w:t>2.</w:t>
      </w:r>
      <w:r>
        <w:rPr>
          <w:rFonts w:hint="eastAsia" w:ascii="宋体" w:hAnsi="宋体"/>
          <w:sz w:val="24"/>
        </w:rPr>
        <w:t>UPS输入输出制式应为三相输入、单相输出。</w:t>
      </w:r>
    </w:p>
    <w:p w14:paraId="67891B87">
      <w:pPr>
        <w:pStyle w:val="76"/>
        <w:spacing w:line="360" w:lineRule="auto"/>
        <w:ind w:left="-64" w:leftChars="-202" w:right="-567" w:rightChars="-270" w:hanging="360" w:firstLineChars="0"/>
        <w:rPr>
          <w:rFonts w:hint="eastAsia" w:ascii="宋体" w:hAnsi="宋体"/>
          <w:sz w:val="24"/>
        </w:rPr>
      </w:pPr>
      <w:r>
        <w:rPr>
          <w:rFonts w:ascii="宋体" w:hAnsi="宋体"/>
          <w:sz w:val="24"/>
        </w:rPr>
        <w:t>3.</w:t>
      </w:r>
      <w:r>
        <w:rPr>
          <w:rFonts w:hint="eastAsia" w:ascii="宋体" w:hAnsi="宋体"/>
          <w:sz w:val="24"/>
        </w:rPr>
        <w:t>运行海拔高度可达到1000m；若超过1000m时应按GB/T 3859.2的规定降容使用。</w:t>
      </w:r>
    </w:p>
    <w:p w14:paraId="11F2071A">
      <w:pPr>
        <w:pStyle w:val="76"/>
        <w:spacing w:line="360" w:lineRule="auto"/>
        <w:ind w:left="-64" w:leftChars="-202" w:right="-567" w:rightChars="-270" w:hanging="360" w:firstLineChars="0"/>
        <w:rPr>
          <w:rFonts w:hint="eastAsia" w:ascii="宋体" w:hAnsi="宋体"/>
          <w:sz w:val="24"/>
        </w:rPr>
      </w:pPr>
      <w:r>
        <w:rPr>
          <w:rFonts w:ascii="宋体" w:hAnsi="宋体"/>
          <w:sz w:val="24"/>
        </w:rPr>
        <w:t>4.所有电路板均需要采用三防工艺，确保在低恶劣环境下的使用寿</w:t>
      </w:r>
      <w:r>
        <w:rPr>
          <w:rFonts w:hint="eastAsia" w:ascii="宋体" w:hAnsi="宋体"/>
          <w:sz w:val="24"/>
        </w:rPr>
        <w:t>命。需提供实物照片证明。</w:t>
      </w:r>
    </w:p>
    <w:p w14:paraId="0D0729FE">
      <w:pPr>
        <w:pStyle w:val="76"/>
        <w:spacing w:line="360" w:lineRule="auto"/>
        <w:ind w:left="-64" w:leftChars="-202" w:right="-567" w:rightChars="-270" w:hanging="360" w:firstLineChars="0"/>
        <w:rPr>
          <w:rFonts w:hint="eastAsia" w:ascii="宋体" w:hAnsi="宋体"/>
          <w:sz w:val="24"/>
        </w:rPr>
      </w:pPr>
      <w:bookmarkStart w:id="45" w:name="OLE_LINK1"/>
      <w:r>
        <w:rPr>
          <w:rFonts w:hint="eastAsia" w:ascii="宋体" w:hAnsi="宋体"/>
          <w:sz w:val="24"/>
        </w:rPr>
        <w:t>5</w:t>
      </w:r>
      <w:bookmarkEnd w:id="45"/>
      <w:r>
        <w:rPr>
          <w:rFonts w:hint="eastAsia" w:ascii="宋体" w:hAnsi="宋体"/>
          <w:sz w:val="24"/>
        </w:rPr>
        <w:t>.整机效率：为保证</w:t>
      </w:r>
      <w:r>
        <w:rPr>
          <w:rFonts w:ascii="宋体" w:hAnsi="宋体"/>
          <w:sz w:val="24"/>
        </w:rPr>
        <w:t>UPS产品的高效节能、绿色环保，</w:t>
      </w:r>
      <w:r>
        <w:rPr>
          <w:rFonts w:hint="eastAsia" w:ascii="宋体" w:hAnsi="宋体"/>
          <w:sz w:val="24"/>
        </w:rPr>
        <w:t>UPS的整机效率在100%额定阻性负载情况下应＞94.5%，在50%额定阻性负载情况下应＞95.0%，在30%额定阻性负载情况下应＞94.5%</w:t>
      </w:r>
    </w:p>
    <w:p w14:paraId="66E2BBEE">
      <w:pPr>
        <w:pStyle w:val="76"/>
        <w:spacing w:line="360" w:lineRule="auto"/>
        <w:ind w:left="-64" w:leftChars="-202" w:right="-567" w:rightChars="-270" w:hanging="360" w:firstLineChars="0"/>
        <w:rPr>
          <w:rFonts w:hint="eastAsia" w:ascii="宋体" w:hAnsi="宋体"/>
          <w:sz w:val="24"/>
        </w:rPr>
      </w:pPr>
      <w:r>
        <w:rPr>
          <w:rFonts w:ascii="宋体" w:hAnsi="宋体"/>
          <w:sz w:val="24"/>
        </w:rPr>
        <w:t>6.</w:t>
      </w:r>
      <w:r>
        <w:rPr>
          <w:rFonts w:hint="eastAsia" w:ascii="宋体" w:hAnsi="宋体"/>
          <w:sz w:val="24"/>
        </w:rPr>
        <w:t>UPS具备ECO模式，在ECO经济模式下，UPS系统运行效率98%。</w:t>
      </w:r>
    </w:p>
    <w:p w14:paraId="23507E51">
      <w:pPr>
        <w:pStyle w:val="76"/>
        <w:spacing w:line="360" w:lineRule="auto"/>
        <w:ind w:left="-64" w:leftChars="-202" w:right="-567" w:rightChars="-270" w:hanging="360" w:firstLineChars="0"/>
        <w:rPr>
          <w:rFonts w:hint="eastAsia" w:ascii="宋体" w:hAnsi="宋体"/>
          <w:sz w:val="24"/>
        </w:rPr>
      </w:pPr>
      <w:bookmarkStart w:id="46" w:name="OLE_LINK4"/>
      <w:r>
        <w:rPr>
          <w:rFonts w:hint="eastAsia" w:ascii="宋体" w:hAnsi="宋体"/>
          <w:sz w:val="24"/>
        </w:rPr>
        <w:sym w:font="Wingdings" w:char="F0AB"/>
      </w:r>
      <w:bookmarkEnd w:id="46"/>
      <w:bookmarkStart w:id="47" w:name="OLE_LINK3"/>
      <w:r>
        <w:rPr>
          <w:rFonts w:hint="eastAsia" w:ascii="宋体" w:hAnsi="宋体"/>
          <w:sz w:val="24"/>
        </w:rPr>
        <w:t>7</w:t>
      </w:r>
      <w:bookmarkEnd w:id="47"/>
      <w:r>
        <w:rPr>
          <w:rFonts w:hint="eastAsia" w:ascii="宋体" w:hAnsi="宋体"/>
          <w:sz w:val="24"/>
        </w:rPr>
        <w:t>.输入功率因数：UPS在100%非线性负载时应＞0.99，在50%非线性负载时应＞0.98，在3</w:t>
      </w:r>
      <w:r>
        <w:rPr>
          <w:rFonts w:ascii="宋体" w:hAnsi="宋体"/>
          <w:sz w:val="24"/>
        </w:rPr>
        <w:t>0</w:t>
      </w:r>
      <w:r>
        <w:rPr>
          <w:rFonts w:hint="eastAsia" w:ascii="宋体" w:hAnsi="宋体"/>
          <w:sz w:val="24"/>
        </w:rPr>
        <w:t>%非线性负载时应＞0.97。</w:t>
      </w:r>
    </w:p>
    <w:p w14:paraId="620AAFA2">
      <w:pPr>
        <w:pStyle w:val="76"/>
        <w:spacing w:line="360" w:lineRule="auto"/>
        <w:ind w:left="-64" w:leftChars="-202" w:right="-567" w:rightChars="-270" w:hanging="360" w:firstLineChars="0"/>
        <w:rPr>
          <w:rFonts w:hint="eastAsia" w:ascii="宋体" w:hAnsi="宋体"/>
          <w:sz w:val="24"/>
        </w:rPr>
      </w:pPr>
      <w:r>
        <w:rPr>
          <w:rFonts w:hint="eastAsia" w:ascii="宋体" w:hAnsi="宋体"/>
          <w:sz w:val="24"/>
        </w:rPr>
        <w:sym w:font="Wingdings" w:char="F0AB"/>
      </w:r>
      <w:r>
        <w:rPr>
          <w:rFonts w:hint="eastAsia" w:ascii="宋体" w:hAnsi="宋体"/>
          <w:sz w:val="24"/>
        </w:rPr>
        <w:t>8.输入电流谐波成分：UPS在100%非线性负载时应≤2.5％，在50%非线性负载时应＜4.0％，在30%非线性负载时应≤6％。</w:t>
      </w:r>
    </w:p>
    <w:p w14:paraId="4F00BB42">
      <w:pPr>
        <w:pStyle w:val="76"/>
        <w:spacing w:line="360" w:lineRule="auto"/>
        <w:ind w:left="-64" w:leftChars="-202" w:right="-567" w:rightChars="-270" w:hanging="360" w:firstLineChars="0"/>
        <w:rPr>
          <w:rFonts w:hint="eastAsia" w:ascii="宋体" w:hAnsi="宋体"/>
          <w:sz w:val="24"/>
        </w:rPr>
      </w:pPr>
      <w:r>
        <w:rPr>
          <w:rFonts w:ascii="宋体" w:hAnsi="宋体"/>
          <w:sz w:val="24"/>
        </w:rPr>
        <w:t>9.</w:t>
      </w:r>
      <w:r>
        <w:rPr>
          <w:rFonts w:hint="eastAsia" w:ascii="宋体" w:hAnsi="宋体"/>
          <w:sz w:val="24"/>
        </w:rPr>
        <w:t>输出为额定阻性负载时，输入电压范围应不小于304V-476.7V，输入频率范围应不窄于</w:t>
      </w:r>
      <w:r>
        <w:rPr>
          <w:rFonts w:ascii="宋体" w:hAnsi="宋体"/>
          <w:sz w:val="24"/>
        </w:rPr>
        <w:t>4</w:t>
      </w:r>
      <w:r>
        <w:rPr>
          <w:rFonts w:hint="eastAsia" w:ascii="宋体" w:hAnsi="宋体"/>
          <w:sz w:val="24"/>
        </w:rPr>
        <w:t>5Hz～55Hz。</w:t>
      </w:r>
    </w:p>
    <w:p w14:paraId="6A1CB1E9">
      <w:pPr>
        <w:pStyle w:val="76"/>
        <w:spacing w:line="360" w:lineRule="auto"/>
        <w:ind w:left="-64" w:leftChars="-202" w:right="-567" w:rightChars="-270" w:hanging="360" w:firstLineChars="0"/>
        <w:rPr>
          <w:rFonts w:hint="eastAsia" w:ascii="宋体" w:hAnsi="宋体"/>
          <w:sz w:val="24"/>
        </w:rPr>
      </w:pPr>
      <w:r>
        <w:rPr>
          <w:rFonts w:ascii="宋体" w:hAnsi="宋体"/>
          <w:sz w:val="24"/>
        </w:rPr>
        <w:t>10.</w:t>
      </w:r>
      <w:r>
        <w:rPr>
          <w:rFonts w:hint="eastAsia" w:ascii="宋体" w:hAnsi="宋体"/>
          <w:sz w:val="24"/>
        </w:rPr>
        <w:t>频率跟踪范围应满足于50Hz±2Hz可调，频率跟踪速率应在0.5Hz/s～2Hz/s范围内。</w:t>
      </w:r>
    </w:p>
    <w:p w14:paraId="69E216CD">
      <w:pPr>
        <w:pStyle w:val="76"/>
        <w:spacing w:line="360" w:lineRule="auto"/>
        <w:ind w:left="-64" w:leftChars="-202" w:right="-567" w:rightChars="-270" w:hanging="360" w:firstLineChars="0"/>
        <w:rPr>
          <w:rFonts w:hint="eastAsia" w:ascii="宋体" w:hAnsi="宋体"/>
          <w:sz w:val="24"/>
        </w:rPr>
      </w:pPr>
      <w:r>
        <w:rPr>
          <w:rFonts w:hint="eastAsia" w:ascii="宋体" w:hAnsi="宋体"/>
          <w:sz w:val="24"/>
        </w:rPr>
        <w:t>11.</w:t>
      </w:r>
      <w:r>
        <w:rPr>
          <w:rFonts w:ascii="宋体" w:hAnsi="宋体"/>
          <w:sz w:val="24"/>
        </w:rPr>
        <w:t>输出功率因数</w:t>
      </w:r>
      <w:r>
        <w:rPr>
          <w:rFonts w:hint="eastAsia" w:ascii="宋体" w:hAnsi="宋体"/>
          <w:sz w:val="24"/>
        </w:rPr>
        <w:t>≥0.9。</w:t>
      </w:r>
    </w:p>
    <w:p w14:paraId="2191AA8A">
      <w:pPr>
        <w:pStyle w:val="76"/>
        <w:spacing w:line="360" w:lineRule="auto"/>
        <w:ind w:left="-64" w:leftChars="-202" w:right="-567" w:rightChars="-270" w:hanging="360" w:firstLineChars="0"/>
        <w:rPr>
          <w:rFonts w:hint="eastAsia" w:ascii="宋体" w:hAnsi="宋体"/>
          <w:sz w:val="24"/>
        </w:rPr>
      </w:pPr>
      <w:r>
        <w:rPr>
          <w:rFonts w:ascii="宋体" w:hAnsi="宋体"/>
          <w:sz w:val="24"/>
        </w:rPr>
        <w:t>12.</w:t>
      </w:r>
      <w:r>
        <w:rPr>
          <w:rFonts w:hint="eastAsia" w:ascii="宋体" w:hAnsi="宋体"/>
          <w:sz w:val="24"/>
        </w:rPr>
        <w:t>输出为空载和额定阻性负载，调节输入电压为UPS上、下限值时，其输出稳压精度应＜</w:t>
      </w:r>
      <w:r>
        <w:rPr>
          <w:rFonts w:ascii="宋体" w:hAnsi="宋体"/>
          <w:sz w:val="24"/>
        </w:rPr>
        <w:t>0.</w:t>
      </w:r>
      <w:r>
        <w:rPr>
          <w:rFonts w:hint="eastAsia" w:ascii="宋体" w:hAnsi="宋体"/>
          <w:sz w:val="24"/>
        </w:rPr>
        <w:t>5%。</w:t>
      </w:r>
    </w:p>
    <w:p w14:paraId="6C483178">
      <w:pPr>
        <w:pStyle w:val="76"/>
        <w:spacing w:line="360" w:lineRule="auto"/>
        <w:ind w:left="-64" w:leftChars="-202" w:right="-567" w:rightChars="-270" w:hanging="360" w:firstLineChars="0"/>
        <w:rPr>
          <w:rFonts w:hint="eastAsia" w:ascii="宋体" w:hAnsi="宋体"/>
          <w:sz w:val="24"/>
        </w:rPr>
      </w:pPr>
      <w:r>
        <w:rPr>
          <w:rFonts w:ascii="宋体" w:hAnsi="宋体"/>
          <w:sz w:val="24"/>
        </w:rPr>
        <w:t>13.</w:t>
      </w:r>
      <w:r>
        <w:rPr>
          <w:rFonts w:hint="eastAsia" w:ascii="宋体" w:hAnsi="宋体"/>
          <w:sz w:val="24"/>
        </w:rPr>
        <w:t>在电池逆变工作方式下，输出频率范围应不宽于50Hz±0.5Hz。</w:t>
      </w:r>
    </w:p>
    <w:p w14:paraId="289EB16C">
      <w:pPr>
        <w:pStyle w:val="76"/>
        <w:spacing w:line="360" w:lineRule="auto"/>
        <w:ind w:left="-64" w:leftChars="-202" w:right="-567" w:rightChars="-270" w:hanging="360" w:firstLineChars="0"/>
        <w:rPr>
          <w:rFonts w:hint="eastAsia" w:ascii="宋体" w:hAnsi="宋体"/>
          <w:sz w:val="24"/>
        </w:rPr>
      </w:pPr>
      <w:r>
        <w:rPr>
          <w:rFonts w:ascii="宋体" w:hAnsi="宋体"/>
          <w:sz w:val="24"/>
        </w:rPr>
        <w:t>14.</w:t>
      </w:r>
      <w:r>
        <w:rPr>
          <w:rFonts w:hint="eastAsia" w:ascii="宋体" w:hAnsi="宋体"/>
          <w:sz w:val="24"/>
        </w:rPr>
        <w:t>输出波形失真度：在100%阻性负载时应＜</w:t>
      </w:r>
      <w:r>
        <w:rPr>
          <w:rFonts w:ascii="宋体" w:hAnsi="宋体"/>
          <w:sz w:val="24"/>
        </w:rPr>
        <w:t>1</w:t>
      </w:r>
      <w:r>
        <w:rPr>
          <w:rFonts w:hint="eastAsia" w:ascii="宋体" w:hAnsi="宋体"/>
          <w:sz w:val="24"/>
        </w:rPr>
        <w:t>.5％，在100%非线性负载输出时应＜3.5%。</w:t>
      </w:r>
    </w:p>
    <w:p w14:paraId="6B093434">
      <w:pPr>
        <w:pStyle w:val="76"/>
        <w:spacing w:line="360" w:lineRule="auto"/>
        <w:ind w:left="-64" w:leftChars="-202" w:right="-567" w:rightChars="-270" w:hanging="360" w:firstLineChars="0"/>
        <w:rPr>
          <w:rFonts w:hint="eastAsia" w:ascii="宋体" w:hAnsi="宋体"/>
          <w:sz w:val="24"/>
        </w:rPr>
      </w:pPr>
      <w:r>
        <w:rPr>
          <w:rFonts w:ascii="宋体" w:hAnsi="宋体"/>
          <w:sz w:val="24"/>
        </w:rPr>
        <w:t>15.</w:t>
      </w:r>
      <w:r>
        <w:rPr>
          <w:rFonts w:hint="eastAsia" w:ascii="宋体" w:hAnsi="宋体"/>
          <w:sz w:val="24"/>
        </w:rPr>
        <w:t>动态电压瞬变范围：在正常工作方式时，输出接阻性负载，使输出电流由零突加至额定值，再由额定值突减至零，动态电压瞬</w:t>
      </w:r>
      <w:r>
        <w:rPr>
          <w:rFonts w:hint="eastAsia" w:ascii="宋体" w:hAnsi="宋体" w:cs="宋体"/>
          <w:color w:val="000000"/>
          <w:kern w:val="0"/>
          <w:sz w:val="24"/>
        </w:rPr>
        <w:t>变范围应</w:t>
      </w:r>
      <w:r>
        <w:rPr>
          <w:rFonts w:hint="eastAsia" w:ascii="宋体" w:hAnsi="宋体"/>
          <w:sz w:val="24"/>
        </w:rPr>
        <w:t>＜2%。</w:t>
      </w:r>
    </w:p>
    <w:p w14:paraId="5B24A307">
      <w:pPr>
        <w:pStyle w:val="76"/>
        <w:spacing w:line="360" w:lineRule="auto"/>
        <w:ind w:left="-64" w:leftChars="-202" w:right="-567" w:rightChars="-270" w:hanging="360" w:firstLineChars="0"/>
        <w:rPr>
          <w:rFonts w:hint="eastAsia" w:ascii="宋体" w:hAnsi="宋体"/>
          <w:sz w:val="24"/>
        </w:rPr>
      </w:pPr>
      <w:r>
        <w:rPr>
          <w:rFonts w:ascii="宋体" w:hAnsi="宋体"/>
          <w:sz w:val="24"/>
        </w:rPr>
        <w:t>16.</w:t>
      </w:r>
      <w:r>
        <w:rPr>
          <w:rFonts w:hint="eastAsia" w:ascii="宋体" w:hAnsi="宋体"/>
          <w:sz w:val="24"/>
        </w:rPr>
        <w:t>电压瞬变恢复时间：在正常工作方式时，输出接阻性负载，使输出电流突加和突减时，输出电压有效值恢复到（220±4.4）V所经过时间应＜10ms。</w:t>
      </w:r>
    </w:p>
    <w:p w14:paraId="278F325D">
      <w:pPr>
        <w:pStyle w:val="76"/>
        <w:spacing w:line="360" w:lineRule="auto"/>
        <w:ind w:left="-64" w:leftChars="-202" w:right="-567" w:rightChars="-270" w:hanging="360" w:firstLineChars="0"/>
        <w:rPr>
          <w:rFonts w:hint="eastAsia" w:ascii="宋体" w:hAnsi="宋体"/>
          <w:sz w:val="24"/>
        </w:rPr>
      </w:pPr>
      <w:r>
        <w:rPr>
          <w:rFonts w:ascii="宋体" w:hAnsi="宋体"/>
          <w:sz w:val="24"/>
        </w:rPr>
        <w:t>17.</w:t>
      </w:r>
      <w:r>
        <w:rPr>
          <w:rFonts w:hint="eastAsia" w:ascii="宋体" w:hAnsi="宋体"/>
          <w:sz w:val="24"/>
        </w:rPr>
        <w:t>市电电池转换时间：UPS在正常工作方式和电池逆变工作方式两种状态间切换的时间应为0ms。</w:t>
      </w:r>
    </w:p>
    <w:p w14:paraId="3B8BE610">
      <w:pPr>
        <w:pStyle w:val="76"/>
        <w:spacing w:line="360" w:lineRule="auto"/>
        <w:ind w:left="-64" w:leftChars="-202" w:right="-567" w:rightChars="-270" w:hanging="360" w:firstLineChars="0"/>
        <w:rPr>
          <w:rFonts w:hint="eastAsia" w:ascii="宋体" w:hAnsi="宋体"/>
          <w:sz w:val="24"/>
        </w:rPr>
      </w:pPr>
      <w:r>
        <w:rPr>
          <w:rFonts w:ascii="宋体" w:hAnsi="宋体"/>
          <w:sz w:val="24"/>
        </w:rPr>
        <w:t>18.</w:t>
      </w:r>
      <w:r>
        <w:rPr>
          <w:rFonts w:hint="eastAsia" w:ascii="宋体" w:hAnsi="宋体"/>
          <w:sz w:val="24"/>
        </w:rPr>
        <w:t>旁路逆变转换时间：</w:t>
      </w:r>
      <w:r>
        <w:rPr>
          <w:rFonts w:hint="eastAsia" w:ascii="宋体" w:hAnsi="宋体" w:cs="宋体"/>
          <w:color w:val="000000"/>
          <w:kern w:val="0"/>
          <w:sz w:val="24"/>
        </w:rPr>
        <w:t>输入电压为额定值、输出为50%额定阻性负载，正常工作方式与旁路工作相互转换时间应为0ms。</w:t>
      </w:r>
    </w:p>
    <w:p w14:paraId="0105CA36">
      <w:pPr>
        <w:pStyle w:val="76"/>
        <w:spacing w:line="360" w:lineRule="auto"/>
        <w:ind w:left="-64" w:leftChars="-202" w:right="-567" w:rightChars="-270" w:hanging="360" w:firstLineChars="0"/>
        <w:rPr>
          <w:rFonts w:hint="eastAsia" w:ascii="宋体" w:hAnsi="宋体"/>
          <w:sz w:val="24"/>
        </w:rPr>
      </w:pPr>
      <w:r>
        <w:rPr>
          <w:rFonts w:ascii="宋体" w:hAnsi="宋体"/>
          <w:sz w:val="24"/>
        </w:rPr>
        <w:t>19.</w:t>
      </w:r>
      <w:r>
        <w:rPr>
          <w:rFonts w:hint="eastAsia" w:ascii="宋体" w:hAnsi="宋体"/>
          <w:sz w:val="24"/>
        </w:rPr>
        <w:t>输出电流峰值系数：UPS所允许的最大非正弦波峰值电流与输出电流有效值之比应≥3：1。</w:t>
      </w:r>
    </w:p>
    <w:p w14:paraId="562B174A">
      <w:pPr>
        <w:pStyle w:val="76"/>
        <w:spacing w:line="360" w:lineRule="auto"/>
        <w:ind w:left="-64" w:leftChars="-202" w:right="-567" w:rightChars="-270" w:hanging="360" w:firstLineChars="0"/>
        <w:rPr>
          <w:rFonts w:hint="eastAsia" w:ascii="宋体" w:hAnsi="宋体"/>
          <w:sz w:val="24"/>
        </w:rPr>
      </w:pPr>
      <w:r>
        <w:rPr>
          <w:rFonts w:ascii="宋体" w:hAnsi="宋体"/>
          <w:sz w:val="24"/>
        </w:rPr>
        <w:t>20.</w:t>
      </w:r>
      <w:r>
        <w:rPr>
          <w:rFonts w:hint="eastAsia" w:ascii="宋体" w:hAnsi="宋体"/>
          <w:sz w:val="24"/>
        </w:rPr>
        <w:t>过载能力：</w:t>
      </w:r>
      <w:r>
        <w:rPr>
          <w:rFonts w:hint="eastAsia" w:ascii="宋体" w:hAnsi="宋体" w:cs="宋体"/>
          <w:color w:val="000000"/>
          <w:kern w:val="0"/>
          <w:sz w:val="24"/>
        </w:rPr>
        <w:t>输入电压为额定值，输出为阻性负载，调节输出电流，使输出功率为额定值的125%时，机器正常工作时间应≥10min。</w:t>
      </w:r>
    </w:p>
    <w:p w14:paraId="4E294906">
      <w:pPr>
        <w:pStyle w:val="76"/>
        <w:spacing w:line="360" w:lineRule="auto"/>
        <w:ind w:left="-64" w:leftChars="-202" w:right="-567" w:rightChars="-270" w:hanging="360" w:firstLineChars="0"/>
        <w:rPr>
          <w:rFonts w:hint="eastAsia" w:ascii="宋体" w:hAnsi="宋体" w:cs="宋体"/>
          <w:color w:val="000000"/>
          <w:kern w:val="0"/>
          <w:sz w:val="24"/>
        </w:rPr>
      </w:pPr>
      <w:r>
        <w:rPr>
          <w:rFonts w:hint="eastAsia" w:ascii="宋体" w:hAnsi="宋体" w:cs="宋体"/>
          <w:color w:val="000000"/>
          <w:kern w:val="0"/>
          <w:sz w:val="24"/>
        </w:rPr>
        <w:t>21.输入电压为额定值，输出接额定阻性负载，音频噪声应＜55dB。</w:t>
      </w:r>
    </w:p>
    <w:p w14:paraId="20E35A00">
      <w:pPr>
        <w:pStyle w:val="76"/>
        <w:spacing w:line="360" w:lineRule="auto"/>
        <w:ind w:left="-64" w:leftChars="-202" w:right="-567" w:rightChars="-270" w:hanging="360" w:firstLineChars="0"/>
        <w:rPr>
          <w:rFonts w:hint="eastAsia" w:ascii="宋体" w:hAnsi="宋体"/>
          <w:sz w:val="24"/>
        </w:rPr>
      </w:pPr>
      <w:r>
        <w:rPr>
          <w:rFonts w:hint="eastAsia" w:ascii="宋体" w:hAnsi="宋体"/>
          <w:sz w:val="24"/>
        </w:rPr>
        <w:t>22</w:t>
      </w:r>
      <w:r>
        <w:rPr>
          <w:rFonts w:ascii="宋体" w:hAnsi="宋体"/>
          <w:sz w:val="24"/>
        </w:rPr>
        <w:t>.</w:t>
      </w:r>
      <w:r>
        <w:rPr>
          <w:rFonts w:hint="eastAsia" w:ascii="宋体" w:hAnsi="宋体"/>
          <w:sz w:val="24"/>
        </w:rPr>
        <w:t>UPS应采用无中线设计，电池组节数可进行16~20</w:t>
      </w:r>
      <w:r>
        <w:rPr>
          <w:rFonts w:ascii="宋体" w:hAnsi="宋体"/>
          <w:sz w:val="24"/>
        </w:rPr>
        <w:t>节设置，便于未来遭遇个别电池故障需要维护、更换时,可灵活调节电池节数的需要</w:t>
      </w:r>
      <w:r>
        <w:rPr>
          <w:rFonts w:hint="eastAsia" w:ascii="宋体" w:hAnsi="宋体"/>
          <w:sz w:val="24"/>
        </w:rPr>
        <w:t>。</w:t>
      </w:r>
    </w:p>
    <w:p w14:paraId="4D007E47">
      <w:pPr>
        <w:pStyle w:val="76"/>
        <w:spacing w:line="360" w:lineRule="auto"/>
        <w:ind w:left="-64" w:leftChars="-202" w:right="-567" w:rightChars="-270" w:hanging="360" w:firstLineChars="0"/>
        <w:rPr>
          <w:rFonts w:hint="eastAsia" w:ascii="宋体" w:hAnsi="宋体"/>
          <w:sz w:val="24"/>
        </w:rPr>
      </w:pPr>
      <w:r>
        <w:rPr>
          <w:rFonts w:hint="eastAsia" w:ascii="宋体" w:hAnsi="宋体"/>
          <w:sz w:val="24"/>
        </w:rPr>
        <w:t>23</w:t>
      </w:r>
      <w:r>
        <w:rPr>
          <w:rFonts w:ascii="宋体" w:hAnsi="宋体"/>
          <w:sz w:val="24"/>
        </w:rPr>
        <w:t>.</w:t>
      </w:r>
      <w:r>
        <w:rPr>
          <w:rFonts w:hint="eastAsia" w:ascii="宋体" w:hAnsi="宋体"/>
          <w:sz w:val="24"/>
        </w:rPr>
        <w:t>输出短路保护：输出负载短路时，UPS系统应自动关闭输出，同时发出声光告警。</w:t>
      </w:r>
    </w:p>
    <w:p w14:paraId="26F94030">
      <w:pPr>
        <w:pStyle w:val="76"/>
        <w:spacing w:line="360" w:lineRule="auto"/>
        <w:ind w:left="-64" w:leftChars="-202" w:right="-567" w:rightChars="-270" w:hanging="360" w:firstLineChars="0"/>
        <w:rPr>
          <w:rFonts w:hint="eastAsia" w:ascii="宋体" w:hAnsi="宋体"/>
          <w:sz w:val="24"/>
        </w:rPr>
      </w:pPr>
      <w:r>
        <w:rPr>
          <w:rFonts w:hint="eastAsia" w:ascii="宋体" w:hAnsi="宋体"/>
          <w:sz w:val="24"/>
        </w:rPr>
        <w:t>24</w:t>
      </w:r>
      <w:r>
        <w:rPr>
          <w:rFonts w:ascii="宋体" w:hAnsi="宋体"/>
          <w:sz w:val="24"/>
        </w:rPr>
        <w:t>.</w:t>
      </w:r>
      <w:r>
        <w:rPr>
          <w:rFonts w:hint="eastAsia" w:ascii="宋体" w:hAnsi="宋体"/>
          <w:sz w:val="24"/>
        </w:rPr>
        <w:t>输出过载保护：输出负载超过UPS额定功率时，应发出声光告警，超过过载能力时，应转为旁路供电。</w:t>
      </w:r>
    </w:p>
    <w:p w14:paraId="43203579">
      <w:pPr>
        <w:pStyle w:val="76"/>
        <w:spacing w:line="360" w:lineRule="auto"/>
        <w:ind w:left="-64" w:leftChars="-202" w:right="-567" w:rightChars="-270" w:hanging="360" w:firstLineChars="0"/>
        <w:rPr>
          <w:rFonts w:hint="eastAsia" w:ascii="宋体" w:hAnsi="宋体"/>
          <w:sz w:val="24"/>
        </w:rPr>
      </w:pPr>
      <w:r>
        <w:rPr>
          <w:rFonts w:hint="eastAsia" w:ascii="宋体" w:hAnsi="宋体"/>
          <w:sz w:val="24"/>
        </w:rPr>
        <w:t>25</w:t>
      </w:r>
      <w:r>
        <w:rPr>
          <w:rFonts w:ascii="宋体" w:hAnsi="宋体"/>
          <w:sz w:val="24"/>
        </w:rPr>
        <w:t>.</w:t>
      </w:r>
      <w:r>
        <w:rPr>
          <w:rFonts w:hint="eastAsia" w:ascii="宋体" w:hAnsi="宋体"/>
          <w:sz w:val="24"/>
        </w:rPr>
        <w:t>过温度保护：UPS内部运行温度过高时，应能自动告警并转旁路工作。</w:t>
      </w:r>
    </w:p>
    <w:p w14:paraId="45B03A19">
      <w:pPr>
        <w:pStyle w:val="76"/>
        <w:spacing w:line="360" w:lineRule="auto"/>
        <w:ind w:left="-64" w:leftChars="-202" w:right="-567" w:rightChars="-270" w:hanging="360" w:firstLineChars="0"/>
        <w:rPr>
          <w:rFonts w:hint="eastAsia" w:ascii="宋体" w:hAnsi="宋体"/>
          <w:sz w:val="24"/>
        </w:rPr>
      </w:pPr>
      <w:r>
        <w:rPr>
          <w:rFonts w:hint="eastAsia" w:ascii="宋体" w:hAnsi="宋体"/>
          <w:sz w:val="24"/>
        </w:rPr>
        <w:t>26</w:t>
      </w:r>
      <w:r>
        <w:rPr>
          <w:rFonts w:ascii="宋体" w:hAnsi="宋体"/>
          <w:sz w:val="24"/>
        </w:rPr>
        <w:t>.</w:t>
      </w:r>
      <w:r>
        <w:rPr>
          <w:rFonts w:hint="eastAsia" w:ascii="宋体" w:hAnsi="宋体"/>
          <w:sz w:val="24"/>
        </w:rPr>
        <w:t>电池电压低保护：当UPS系统在电池逆变工作方式时，电池电压降至保护点时，应发出声光告警，</w:t>
      </w:r>
      <w:bookmarkStart w:id="48" w:name="_Hlk139964341"/>
      <w:r>
        <w:rPr>
          <w:rFonts w:hint="eastAsia" w:ascii="宋体" w:hAnsi="宋体"/>
          <w:sz w:val="24"/>
        </w:rPr>
        <w:t>电池停止供电</w:t>
      </w:r>
      <w:bookmarkEnd w:id="48"/>
      <w:r>
        <w:rPr>
          <w:rFonts w:hint="eastAsia" w:ascii="宋体" w:hAnsi="宋体"/>
          <w:sz w:val="24"/>
        </w:rPr>
        <w:t>。</w:t>
      </w:r>
    </w:p>
    <w:p w14:paraId="14B1B471">
      <w:pPr>
        <w:pStyle w:val="76"/>
        <w:spacing w:line="360" w:lineRule="auto"/>
        <w:ind w:left="-64" w:leftChars="-202" w:right="-567" w:rightChars="-270" w:hanging="360" w:firstLineChars="0"/>
        <w:rPr>
          <w:rFonts w:hint="eastAsia" w:ascii="宋体" w:hAnsi="宋体"/>
          <w:sz w:val="24"/>
        </w:rPr>
      </w:pPr>
      <w:r>
        <w:rPr>
          <w:rFonts w:hint="eastAsia" w:ascii="宋体" w:hAnsi="宋体"/>
          <w:sz w:val="24"/>
        </w:rPr>
        <w:t>27</w:t>
      </w:r>
      <w:r>
        <w:rPr>
          <w:rFonts w:ascii="宋体" w:hAnsi="宋体"/>
          <w:sz w:val="24"/>
        </w:rPr>
        <w:t>.</w:t>
      </w:r>
      <w:r>
        <w:rPr>
          <w:rFonts w:hint="eastAsia" w:ascii="宋体" w:hAnsi="宋体"/>
          <w:sz w:val="24"/>
        </w:rPr>
        <w:t>输出过欠压保护：UPS系统输出电压超过设定过、欠电压值时，应发出声光告警并转为旁路供电。</w:t>
      </w:r>
    </w:p>
    <w:p w14:paraId="006400FC">
      <w:pPr>
        <w:pStyle w:val="76"/>
        <w:spacing w:line="360" w:lineRule="auto"/>
        <w:ind w:left="-64" w:leftChars="-202" w:right="-567" w:rightChars="-270" w:hanging="360" w:firstLineChars="0"/>
        <w:rPr>
          <w:rFonts w:hint="eastAsia" w:ascii="宋体" w:hAnsi="宋体"/>
          <w:sz w:val="24"/>
        </w:rPr>
      </w:pPr>
      <w:r>
        <w:rPr>
          <w:rFonts w:hint="eastAsia" w:ascii="宋体" w:hAnsi="宋体"/>
          <w:sz w:val="24"/>
        </w:rPr>
        <w:t>28</w:t>
      </w:r>
      <w:r>
        <w:rPr>
          <w:rFonts w:ascii="宋体" w:hAnsi="宋体"/>
          <w:sz w:val="24"/>
        </w:rPr>
        <w:t>.</w:t>
      </w:r>
      <w:r>
        <w:rPr>
          <w:rFonts w:hint="eastAsia" w:ascii="宋体" w:hAnsi="宋体"/>
          <w:sz w:val="24"/>
        </w:rPr>
        <w:t>风扇故障告警：风扇故障时应发出声光告警。</w:t>
      </w:r>
    </w:p>
    <w:p w14:paraId="1786844A">
      <w:pPr>
        <w:pStyle w:val="76"/>
        <w:spacing w:line="360" w:lineRule="auto"/>
        <w:ind w:left="-64" w:leftChars="-202" w:right="-567" w:rightChars="-270" w:hanging="360" w:firstLineChars="0"/>
        <w:rPr>
          <w:rFonts w:hint="eastAsia" w:ascii="宋体" w:hAnsi="宋体"/>
          <w:sz w:val="24"/>
        </w:rPr>
      </w:pPr>
      <w:r>
        <w:rPr>
          <w:rFonts w:hint="eastAsia" w:ascii="宋体" w:hAnsi="宋体"/>
          <w:sz w:val="24"/>
        </w:rPr>
        <w:t>29</w:t>
      </w:r>
      <w:r>
        <w:rPr>
          <w:rFonts w:ascii="宋体" w:hAnsi="宋体"/>
          <w:sz w:val="24"/>
        </w:rPr>
        <w:t>.</w:t>
      </w:r>
      <w:r>
        <w:rPr>
          <w:rFonts w:hint="eastAsia" w:ascii="宋体" w:hAnsi="宋体"/>
          <w:sz w:val="24"/>
        </w:rPr>
        <w:t>UPS系统应具备RS485、RS232、RS422、IP、USB、FE标准通信接口中的至少两种，并提供与通讯接口配套使用的通讯线缆和各种告警信号输出端子，通信协议应符合YD/T 1363.3-2014或MODBUS的要求。</w:t>
      </w:r>
    </w:p>
    <w:p w14:paraId="1E8DBBF7">
      <w:pPr>
        <w:pStyle w:val="76"/>
        <w:spacing w:line="360" w:lineRule="auto"/>
        <w:ind w:left="-64" w:leftChars="-202" w:right="-567" w:rightChars="-270" w:hanging="360" w:firstLineChars="0"/>
        <w:rPr>
          <w:rFonts w:hint="eastAsia" w:ascii="宋体" w:hAnsi="宋体"/>
          <w:sz w:val="24"/>
        </w:rPr>
      </w:pPr>
      <w:r>
        <w:rPr>
          <w:rFonts w:hint="eastAsia" w:ascii="宋体" w:hAnsi="宋体"/>
          <w:sz w:val="24"/>
        </w:rPr>
        <w:t>30</w:t>
      </w:r>
      <w:r>
        <w:rPr>
          <w:rFonts w:ascii="宋体" w:hAnsi="宋体"/>
          <w:sz w:val="24"/>
        </w:rPr>
        <w:t>.</w:t>
      </w:r>
      <w:r>
        <w:rPr>
          <w:rFonts w:hint="eastAsia" w:ascii="宋体" w:hAnsi="宋体"/>
          <w:sz w:val="24"/>
        </w:rPr>
        <w:t>实时监控系统的工作状态：系统正常工作方式/电池逆变/旁路供电、过载、蓄电池放电电压低、市电故障、UPS系统故障和运行状态记录。</w:t>
      </w:r>
    </w:p>
    <w:p w14:paraId="3E70B39A">
      <w:pPr>
        <w:pStyle w:val="76"/>
        <w:spacing w:line="360" w:lineRule="auto"/>
        <w:ind w:left="-64" w:leftChars="-202" w:right="-567" w:rightChars="-270" w:hanging="360" w:firstLineChars="0"/>
        <w:rPr>
          <w:rFonts w:hint="eastAsia" w:ascii="宋体" w:hAnsi="宋体"/>
          <w:sz w:val="24"/>
        </w:rPr>
      </w:pPr>
      <w:r>
        <w:rPr>
          <w:rFonts w:hint="eastAsia" w:ascii="宋体" w:hAnsi="宋体"/>
          <w:sz w:val="24"/>
        </w:rPr>
        <w:t>31</w:t>
      </w:r>
      <w:r>
        <w:rPr>
          <w:rFonts w:ascii="宋体" w:hAnsi="宋体"/>
          <w:sz w:val="24"/>
        </w:rPr>
        <w:t>.</w:t>
      </w:r>
      <w:r>
        <w:rPr>
          <w:rFonts w:hint="eastAsia" w:ascii="宋体" w:hAnsi="宋体"/>
          <w:sz w:val="24"/>
        </w:rPr>
        <w:t>采集和存储系统运行参数：主输入电压、旁路输入电压、输出电压、输出电流、输出频率、蓄电池电压、充/放电电流；显示精度应符合YD/T 1363.1的要求。</w:t>
      </w:r>
    </w:p>
    <w:p w14:paraId="04A6E1D5">
      <w:pPr>
        <w:pStyle w:val="76"/>
        <w:spacing w:line="360" w:lineRule="auto"/>
        <w:ind w:left="-64" w:leftChars="-202" w:right="-567" w:rightChars="-270" w:hanging="360" w:firstLineChars="0"/>
        <w:rPr>
          <w:rFonts w:hint="eastAsia" w:ascii="宋体" w:hAnsi="宋体"/>
          <w:sz w:val="24"/>
        </w:rPr>
      </w:pPr>
      <w:r>
        <w:rPr>
          <w:rFonts w:hint="eastAsia" w:ascii="宋体" w:hAnsi="宋体"/>
          <w:sz w:val="24"/>
        </w:rPr>
        <w:t>32</w:t>
      </w:r>
      <w:r>
        <w:rPr>
          <w:rFonts w:ascii="宋体" w:hAnsi="宋体"/>
          <w:sz w:val="24"/>
        </w:rPr>
        <w:t>.面板采用</w:t>
      </w:r>
      <w:r>
        <w:rPr>
          <w:rFonts w:hint="eastAsia" w:ascii="宋体" w:hAnsi="宋体"/>
          <w:sz w:val="24"/>
        </w:rPr>
        <w:t>不小于2.4英寸的</w:t>
      </w:r>
      <w:r>
        <w:rPr>
          <w:rFonts w:ascii="宋体" w:hAnsi="宋体"/>
          <w:sz w:val="24"/>
        </w:rPr>
        <w:t>显示</w:t>
      </w:r>
      <w:r>
        <w:rPr>
          <w:rFonts w:hint="eastAsia" w:ascii="宋体" w:hAnsi="宋体"/>
          <w:sz w:val="24"/>
        </w:rPr>
        <w:t>屏</w:t>
      </w:r>
      <w:r>
        <w:rPr>
          <w:rFonts w:ascii="宋体" w:hAnsi="宋体"/>
          <w:sz w:val="24"/>
        </w:rPr>
        <w:t>，可显示UPS的运行参数</w:t>
      </w:r>
      <w:r>
        <w:rPr>
          <w:rFonts w:hint="eastAsia" w:ascii="宋体" w:hAnsi="宋体"/>
          <w:sz w:val="24"/>
        </w:rPr>
        <w:t>、告警信息等内容。</w:t>
      </w:r>
    </w:p>
    <w:p w14:paraId="1132556A">
      <w:pPr>
        <w:pStyle w:val="81"/>
        <w:overflowPunct w:val="0"/>
        <w:topLinePunct/>
        <w:spacing w:line="360" w:lineRule="auto"/>
        <w:ind w:left="-425" w:right="-483" w:rightChars="-230"/>
        <w:rPr>
          <w:rFonts w:hint="eastAsia" w:ascii="宋体" w:hAnsi="宋体"/>
          <w:sz w:val="24"/>
        </w:rPr>
      </w:pPr>
    </w:p>
    <w:p w14:paraId="53037D5A">
      <w:pPr>
        <w:pStyle w:val="81"/>
        <w:overflowPunct w:val="0"/>
        <w:topLinePunct/>
        <w:spacing w:line="360" w:lineRule="auto"/>
        <w:ind w:left="-425" w:right="-483" w:rightChars="-230"/>
        <w:rPr>
          <w:rFonts w:hint="eastAsia" w:ascii="宋体" w:hAnsi="宋体" w:cs="宋体"/>
          <w:b/>
          <w:bCs/>
          <w:sz w:val="24"/>
          <w:szCs w:val="24"/>
        </w:rPr>
      </w:pPr>
      <w:r>
        <w:rPr>
          <w:rFonts w:hint="eastAsia" w:ascii="宋体" w:hAnsi="宋体" w:cs="宋体"/>
          <w:b/>
          <w:bCs/>
          <w:sz w:val="24"/>
          <w:szCs w:val="24"/>
        </w:rPr>
        <w:t>注：“★”参数需求为实质性要求，供应商必须响应并满足该参数，须提供证明材料（包括但不限于设备产品彩页、检测报告、测试报告、功能截图等），未提供证明材料按不满足实质性要求处理。</w:t>
      </w:r>
    </w:p>
    <w:p w14:paraId="47ECC83A">
      <w:pPr>
        <w:pStyle w:val="76"/>
        <w:spacing w:line="360" w:lineRule="auto"/>
        <w:ind w:left="-424" w:leftChars="-202" w:right="-483" w:rightChars="-230" w:firstLine="0" w:firstLineChars="0"/>
        <w:rPr>
          <w:rFonts w:hint="eastAsia" w:ascii="宋体" w:hAnsi="宋体" w:cs="宋体"/>
          <w:b/>
          <w:bCs/>
          <w:sz w:val="32"/>
          <w:szCs w:val="32"/>
        </w:rPr>
      </w:pPr>
    </w:p>
    <w:p w14:paraId="61CA2D70">
      <w:pPr>
        <w:spacing w:line="360" w:lineRule="auto"/>
        <w:ind w:firstLine="482" w:firstLineChars="200"/>
        <w:jc w:val="left"/>
        <w:rPr>
          <w:rFonts w:hint="eastAsia" w:ascii="宋体" w:hAnsi="宋体" w:cs="宋体"/>
          <w:b/>
          <w:bCs/>
          <w:sz w:val="24"/>
          <w:szCs w:val="24"/>
        </w:rPr>
      </w:pPr>
    </w:p>
    <w:p w14:paraId="243E0FC2">
      <w:pPr>
        <w:rPr>
          <w:rFonts w:hint="eastAsia" w:ascii="宋体" w:hAnsi="宋体" w:cs="宋体"/>
          <w:b/>
          <w:bCs/>
          <w:sz w:val="24"/>
          <w:szCs w:val="24"/>
        </w:rPr>
      </w:pPr>
      <w:r>
        <w:rPr>
          <w:rFonts w:hint="eastAsia" w:ascii="宋体" w:hAnsi="宋体" w:cs="宋体"/>
          <w:b/>
          <w:bCs/>
          <w:sz w:val="24"/>
          <w:szCs w:val="24"/>
        </w:rPr>
        <w:br w:type="page"/>
      </w:r>
    </w:p>
    <w:p w14:paraId="7BEF58CB">
      <w:pPr>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三、商务要求</w:t>
      </w:r>
    </w:p>
    <w:p w14:paraId="282E635A">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1、交货期：自合同签订之日起20日历天内完成安装调试</w:t>
      </w:r>
    </w:p>
    <w:p w14:paraId="16A63410">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2、交货地点：甲方指定地点</w:t>
      </w:r>
    </w:p>
    <w:p w14:paraId="0127FE6B">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3、质量标准：达到国家及行业质量验收合格标准</w:t>
      </w:r>
    </w:p>
    <w:p w14:paraId="268CF762">
      <w:pPr>
        <w:spacing w:line="360" w:lineRule="auto"/>
        <w:ind w:firstLine="480" w:firstLineChars="200"/>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4、质保期：三年</w:t>
      </w:r>
    </w:p>
    <w:p w14:paraId="7657EF9D">
      <w:pPr>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5</w:t>
      </w:r>
      <w:r>
        <w:rPr>
          <w:rFonts w:hint="eastAsia" w:ascii="宋体" w:hAnsi="宋体" w:cs="宋体"/>
          <w:sz w:val="24"/>
          <w:szCs w:val="24"/>
        </w:rPr>
        <w:t>、验收、交付标准和方法：严格按照《财政部关于进一步加强政府采购需求和履约验收管理的指导意见》（财库〔2016〕205号）、《政府采购需求管理办法》（财库〔2021〕22号）的要求、采购文件规定的要求和响应文件及合同承诺的内容进行验收。</w:t>
      </w:r>
    </w:p>
    <w:p w14:paraId="26904257">
      <w:pPr>
        <w:spacing w:line="360" w:lineRule="auto"/>
        <w:ind w:firstLine="480" w:firstLineChars="200"/>
        <w:jc w:val="left"/>
        <w:rPr>
          <w:rFonts w:hint="eastAsia" w:ascii="宋体" w:hAnsi="宋体" w:cs="宋体"/>
          <w:sz w:val="24"/>
          <w:szCs w:val="24"/>
        </w:rPr>
      </w:pPr>
      <w:r>
        <w:rPr>
          <w:rFonts w:hint="eastAsia" w:ascii="宋体" w:hAnsi="宋体" w:cs="宋体"/>
          <w:sz w:val="24"/>
          <w:szCs w:val="24"/>
          <w:lang w:val="en-US" w:eastAsia="zh-CN"/>
        </w:rPr>
        <w:t>6</w:t>
      </w:r>
      <w:r>
        <w:rPr>
          <w:rFonts w:hint="eastAsia" w:ascii="宋体" w:hAnsi="宋体" w:cs="宋体"/>
          <w:sz w:val="24"/>
          <w:szCs w:val="24"/>
        </w:rPr>
        <w:t>、违约责任与解决争议的方法：（1）违约责任：①甲乙双方必须遵守合同并执行合同中的各项规定，保证本项目合同的正常履行。②如因乙方工作人员在履行职务过程中的疏忽、失职、过错等故意或者过失原因给甲方造成损失或侵害，包括但不限于甲方本身的财产损失、由此而导致的甲方对任何第三方的法律责任等，乙方对此均应承担全部的赔偿责任。（2）解决争议的方法：①在执行本合同中发生的或与本合同有关的争端，双方应通过友好协商解决，经协商解决不成的，应提交采购人所在地仲裁委员会仲裁。②仲裁裁决为最终决定，并对双方具有约束力。③除另有裁决外，仲裁费由败诉方负担。④在裁期间，除正在进行仲裁部分外，合同其他部分继续执行。</w:t>
      </w:r>
    </w:p>
    <w:p w14:paraId="074DBCA1">
      <w:pPr>
        <w:rPr>
          <w:rFonts w:hint="eastAsia" w:ascii="宋体" w:hAnsi="宋体" w:cs="宋体"/>
          <w:b/>
          <w:bCs/>
          <w:sz w:val="32"/>
          <w:szCs w:val="32"/>
          <w:lang w:val="zh-CN"/>
        </w:rPr>
      </w:pPr>
      <w:r>
        <w:rPr>
          <w:rFonts w:hint="eastAsia" w:ascii="宋体" w:hAnsi="宋体" w:cs="宋体"/>
          <w:b/>
          <w:bCs/>
          <w:sz w:val="32"/>
          <w:szCs w:val="32"/>
          <w:lang w:val="zh-CN"/>
        </w:rPr>
        <w:br w:type="page"/>
      </w:r>
    </w:p>
    <w:p w14:paraId="4C4A28BB">
      <w:pPr>
        <w:pStyle w:val="2"/>
        <w:rPr>
          <w:rFonts w:hint="eastAsia"/>
        </w:rPr>
      </w:pPr>
      <w:bookmarkStart w:id="49" w:name="_Toc21707"/>
      <w:bookmarkStart w:id="50" w:name="_Toc5463"/>
      <w:r>
        <w:rPr>
          <w:rFonts w:hint="eastAsia"/>
          <w:lang w:val="en-US"/>
        </w:rPr>
        <w:t xml:space="preserve">第五章 </w:t>
      </w:r>
      <w:r>
        <w:rPr>
          <w:rFonts w:hint="eastAsia"/>
        </w:rPr>
        <w:t>合同条款及格式</w:t>
      </w:r>
      <w:bookmarkEnd w:id="49"/>
      <w:bookmarkEnd w:id="50"/>
    </w:p>
    <w:p w14:paraId="54096945">
      <w:pPr>
        <w:spacing w:line="360" w:lineRule="auto"/>
        <w:ind w:firstLine="422" w:firstLineChars="200"/>
        <w:jc w:val="center"/>
        <w:rPr>
          <w:rFonts w:hint="eastAsia" w:ascii="宋体" w:hAnsi="宋体" w:cs="宋体"/>
          <w:b/>
          <w:bCs/>
          <w:szCs w:val="21"/>
          <w:lang w:val="zh-CN"/>
        </w:rPr>
      </w:pPr>
      <w:r>
        <w:rPr>
          <w:rFonts w:hint="eastAsia" w:ascii="宋体" w:hAnsi="宋体" w:cs="宋体"/>
          <w:b/>
          <w:bCs/>
          <w:szCs w:val="21"/>
        </w:rPr>
        <w:t>（本合同为合同样稿，最终稿以甲乙双方实际签订为准）</w:t>
      </w:r>
    </w:p>
    <w:p w14:paraId="08186605">
      <w:pPr>
        <w:snapToGrid w:val="0"/>
        <w:spacing w:line="360" w:lineRule="auto"/>
        <w:ind w:firstLine="630" w:firstLineChars="300"/>
        <w:rPr>
          <w:rFonts w:hint="eastAsia" w:ascii="宋体" w:hAnsi="宋体" w:cs="宋体"/>
          <w:bCs/>
          <w:szCs w:val="21"/>
        </w:rPr>
      </w:pPr>
      <w:r>
        <w:rPr>
          <w:rFonts w:hint="eastAsia" w:ascii="宋体" w:hAnsi="宋体" w:cs="宋体"/>
          <w:bCs/>
          <w:szCs w:val="21"/>
        </w:rPr>
        <w:t>根据《中华人民共和国政府采购法》、《中华人民共和国民法典》等法律法规的规定，甲乙双方就以下项目的招标结果签订本合同。</w:t>
      </w:r>
    </w:p>
    <w:p w14:paraId="2B0E7B26">
      <w:pPr>
        <w:snapToGrid w:val="0"/>
        <w:spacing w:line="360" w:lineRule="auto"/>
        <w:rPr>
          <w:rFonts w:hint="eastAsia" w:ascii="宋体" w:hAnsi="宋体" w:cs="宋体"/>
          <w:b/>
          <w:bCs/>
          <w:szCs w:val="21"/>
          <w:lang w:val="zh-CN"/>
        </w:rPr>
      </w:pPr>
      <w:r>
        <w:rPr>
          <w:rFonts w:hint="eastAsia" w:ascii="宋体" w:hAnsi="宋体" w:cs="宋体"/>
          <w:b/>
          <w:bCs/>
          <w:szCs w:val="21"/>
          <w:lang w:val="zh-CN"/>
        </w:rPr>
        <w:t>甲方：</w:t>
      </w:r>
      <w:r>
        <w:rPr>
          <w:rFonts w:hint="eastAsia" w:ascii="宋体" w:hAnsi="宋体" w:cs="宋体"/>
          <w:bCs/>
          <w:szCs w:val="21"/>
          <w:lang w:val="zh-CN"/>
        </w:rPr>
        <w:t xml:space="preserve">（采购人）  </w:t>
      </w:r>
    </w:p>
    <w:p w14:paraId="65973685">
      <w:pPr>
        <w:tabs>
          <w:tab w:val="left" w:pos="735"/>
        </w:tabs>
        <w:autoSpaceDE w:val="0"/>
        <w:autoSpaceDN w:val="0"/>
        <w:adjustRightInd w:val="0"/>
        <w:snapToGrid w:val="0"/>
        <w:spacing w:line="360" w:lineRule="auto"/>
        <w:rPr>
          <w:rFonts w:hint="eastAsia" w:ascii="宋体" w:hAnsi="宋体" w:cs="宋体"/>
          <w:bCs/>
          <w:szCs w:val="21"/>
          <w:lang w:val="zh-CN"/>
        </w:rPr>
      </w:pPr>
      <w:r>
        <w:rPr>
          <w:rFonts w:hint="eastAsia" w:ascii="宋体" w:hAnsi="宋体" w:cs="宋体"/>
          <w:b/>
          <w:bCs/>
          <w:szCs w:val="21"/>
          <w:lang w:val="zh-CN"/>
        </w:rPr>
        <w:t>乙方：</w:t>
      </w:r>
      <w:r>
        <w:rPr>
          <w:rFonts w:hint="eastAsia" w:ascii="宋体" w:hAnsi="宋体" w:cs="宋体"/>
          <w:bCs/>
          <w:szCs w:val="21"/>
          <w:lang w:val="zh-CN"/>
        </w:rPr>
        <w:t>（</w:t>
      </w:r>
      <w:r>
        <w:rPr>
          <w:rFonts w:hint="eastAsia" w:ascii="宋体" w:hAnsi="宋体" w:cs="宋体"/>
          <w:bCs/>
          <w:szCs w:val="21"/>
        </w:rPr>
        <w:t>成交供应商</w:t>
      </w:r>
      <w:r>
        <w:rPr>
          <w:rFonts w:hint="eastAsia" w:ascii="宋体" w:hAnsi="宋体" w:cs="宋体"/>
          <w:bCs/>
          <w:szCs w:val="21"/>
          <w:lang w:val="zh-CN"/>
        </w:rPr>
        <w:t xml:space="preserve">）     </w:t>
      </w:r>
    </w:p>
    <w:p w14:paraId="751384B9">
      <w:pPr>
        <w:adjustRightInd w:val="0"/>
        <w:snapToGrid w:val="0"/>
        <w:spacing w:line="360" w:lineRule="auto"/>
        <w:ind w:firstLine="422" w:firstLineChars="200"/>
        <w:rPr>
          <w:rFonts w:hint="eastAsia" w:ascii="宋体" w:hAnsi="宋体" w:cs="宋体"/>
          <w:b/>
          <w:bCs/>
          <w:szCs w:val="21"/>
        </w:rPr>
      </w:pPr>
      <w:bookmarkStart w:id="51" w:name="_Toc19515384"/>
      <w:r>
        <w:rPr>
          <w:rFonts w:hint="eastAsia" w:ascii="宋体" w:hAnsi="宋体" w:cs="宋体"/>
          <w:b/>
          <w:bCs/>
          <w:szCs w:val="21"/>
        </w:rPr>
        <w:t>一、合同内容</w:t>
      </w:r>
      <w:bookmarkEnd w:id="51"/>
      <w:r>
        <w:rPr>
          <w:rFonts w:hint="eastAsia" w:ascii="宋体" w:hAnsi="宋体" w:cs="宋体"/>
          <w:b/>
          <w:bCs/>
          <w:szCs w:val="21"/>
        </w:rPr>
        <w:t>：</w:t>
      </w:r>
    </w:p>
    <w:p w14:paraId="08D7A971">
      <w:pPr>
        <w:adjustRightInd w:val="0"/>
        <w:snapToGrid w:val="0"/>
        <w:spacing w:line="360" w:lineRule="auto"/>
        <w:ind w:firstLine="422" w:firstLineChars="200"/>
        <w:rPr>
          <w:rFonts w:hint="eastAsia" w:ascii="宋体" w:hAnsi="宋体" w:cs="宋体"/>
          <w:b/>
          <w:bCs/>
          <w:szCs w:val="21"/>
        </w:rPr>
      </w:pPr>
      <w:bookmarkStart w:id="52" w:name="_Toc19515385"/>
      <w:r>
        <w:rPr>
          <w:rFonts w:hint="eastAsia" w:ascii="宋体" w:hAnsi="宋体" w:cs="宋体"/>
          <w:b/>
          <w:bCs/>
          <w:szCs w:val="21"/>
        </w:rPr>
        <w:t>女子监狱机房不间断电源电池组更换项目</w:t>
      </w:r>
    </w:p>
    <w:p w14:paraId="548C0DD2">
      <w:pPr>
        <w:adjustRightInd w:val="0"/>
        <w:snapToGrid w:val="0"/>
        <w:spacing w:line="360" w:lineRule="auto"/>
        <w:ind w:firstLine="422" w:firstLineChars="200"/>
        <w:rPr>
          <w:rFonts w:hint="eastAsia" w:ascii="宋体" w:hAnsi="宋体" w:cs="宋体"/>
          <w:b/>
          <w:bCs/>
          <w:szCs w:val="21"/>
        </w:rPr>
      </w:pPr>
      <w:r>
        <w:rPr>
          <w:rFonts w:hint="eastAsia" w:ascii="宋体" w:hAnsi="宋体" w:cs="宋体"/>
          <w:b/>
          <w:bCs/>
          <w:szCs w:val="21"/>
        </w:rPr>
        <w:t>二、合同价款</w:t>
      </w:r>
      <w:bookmarkEnd w:id="52"/>
    </w:p>
    <w:p w14:paraId="1BFB0CDB">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1、合同总价：</w:t>
      </w:r>
    </w:p>
    <w:p w14:paraId="0928DFB0">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2、合同总价包括：</w:t>
      </w:r>
    </w:p>
    <w:p w14:paraId="001A2A46">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3、合同为固定总价合同，不受市场价变化的影响。</w:t>
      </w:r>
    </w:p>
    <w:p w14:paraId="06D46FEA">
      <w:pPr>
        <w:adjustRightInd w:val="0"/>
        <w:snapToGrid w:val="0"/>
        <w:spacing w:line="360" w:lineRule="auto"/>
        <w:ind w:firstLine="422" w:firstLineChars="200"/>
        <w:rPr>
          <w:rFonts w:hint="eastAsia" w:ascii="宋体" w:hAnsi="宋体" w:cs="宋体"/>
          <w:b/>
          <w:bCs/>
          <w:szCs w:val="21"/>
        </w:rPr>
      </w:pPr>
      <w:bookmarkStart w:id="53" w:name="_Toc19515386"/>
      <w:r>
        <w:rPr>
          <w:rFonts w:hint="eastAsia" w:ascii="宋体" w:hAnsi="宋体" w:cs="宋体"/>
          <w:b/>
          <w:bCs/>
          <w:szCs w:val="21"/>
        </w:rPr>
        <w:t>三、合同结算</w:t>
      </w:r>
      <w:bookmarkEnd w:id="53"/>
    </w:p>
    <w:p w14:paraId="1ED60521">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1、付款方式：合同签订后7天内预付50%，项目验收合格后甲方向乙方支付至本合同100%价款。</w:t>
      </w:r>
    </w:p>
    <w:p w14:paraId="138F8FC9">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2、结算方式：银行转账。</w:t>
      </w:r>
    </w:p>
    <w:p w14:paraId="058BBD38">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3、结算单位：由</w:t>
      </w:r>
      <w:r>
        <w:rPr>
          <w:rFonts w:hint="eastAsia" w:ascii="宋体" w:hAnsi="宋体" w:cs="宋体"/>
          <w:szCs w:val="21"/>
          <w:u w:val="single"/>
        </w:rPr>
        <w:t xml:space="preserve"> 甲方 </w:t>
      </w:r>
      <w:r>
        <w:rPr>
          <w:rFonts w:hint="eastAsia" w:ascii="宋体" w:hAnsi="宋体" w:cs="宋体"/>
          <w:szCs w:val="21"/>
        </w:rPr>
        <w:t>负责结算，乙方开具合同总价数的全额发票交采购人。</w:t>
      </w:r>
    </w:p>
    <w:p w14:paraId="5CE6C919">
      <w:pPr>
        <w:adjustRightInd w:val="0"/>
        <w:snapToGrid w:val="0"/>
        <w:spacing w:line="360" w:lineRule="auto"/>
        <w:ind w:firstLine="422" w:firstLineChars="200"/>
        <w:rPr>
          <w:rFonts w:hint="eastAsia" w:ascii="宋体" w:hAnsi="宋体" w:cs="宋体"/>
          <w:b/>
          <w:bCs/>
          <w:szCs w:val="21"/>
        </w:rPr>
      </w:pPr>
      <w:bookmarkStart w:id="54" w:name="_Toc19515387"/>
      <w:r>
        <w:rPr>
          <w:rFonts w:hint="eastAsia" w:ascii="宋体" w:hAnsi="宋体" w:cs="宋体"/>
          <w:b/>
          <w:bCs/>
          <w:szCs w:val="21"/>
        </w:rPr>
        <w:t>四、服务期、</w:t>
      </w:r>
      <w:r>
        <w:rPr>
          <w:rFonts w:hint="eastAsia" w:ascii="宋体" w:hAnsi="宋体" w:cs="宋体"/>
          <w:b/>
          <w:bCs/>
          <w:szCs w:val="21"/>
          <w:lang w:val="en-US" w:eastAsia="zh-CN"/>
        </w:rPr>
        <w:t>质量标准、质保期、</w:t>
      </w:r>
      <w:r>
        <w:rPr>
          <w:rFonts w:hint="eastAsia" w:ascii="宋体" w:hAnsi="宋体" w:cs="宋体"/>
          <w:b/>
          <w:bCs/>
          <w:szCs w:val="21"/>
        </w:rPr>
        <w:t>地点</w:t>
      </w:r>
      <w:bookmarkEnd w:id="54"/>
      <w:r>
        <w:rPr>
          <w:rFonts w:hint="eastAsia" w:ascii="宋体" w:hAnsi="宋体" w:cs="宋体"/>
          <w:b/>
          <w:bCs/>
          <w:szCs w:val="21"/>
        </w:rPr>
        <w:t>：</w:t>
      </w:r>
    </w:p>
    <w:p w14:paraId="1CBDABAC">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1、交货期限：自合同签订之日起20日历天内完成安装调试；</w:t>
      </w:r>
    </w:p>
    <w:p w14:paraId="216D8952">
      <w:pPr>
        <w:adjustRightInd w:val="0"/>
        <w:snapToGrid w:val="0"/>
        <w:spacing w:line="360" w:lineRule="auto"/>
        <w:ind w:firstLine="420" w:firstLineChars="200"/>
        <w:rPr>
          <w:rFonts w:hint="eastAsia" w:ascii="宋体" w:hAnsi="宋体" w:cs="宋体"/>
          <w:szCs w:val="21"/>
          <w:lang w:val="en-US" w:eastAsia="zh-CN"/>
        </w:rPr>
      </w:pPr>
      <w:r>
        <w:rPr>
          <w:rFonts w:hint="eastAsia" w:ascii="宋体" w:hAnsi="宋体" w:cs="宋体"/>
          <w:szCs w:val="21"/>
          <w:lang w:val="en-US" w:eastAsia="zh-CN"/>
        </w:rPr>
        <w:t>2.质量标准：达到国家及行业质量验收合格标准</w:t>
      </w:r>
    </w:p>
    <w:p w14:paraId="6D99C379">
      <w:pPr>
        <w:adjustRightInd w:val="0"/>
        <w:snapToGrid w:val="0"/>
        <w:spacing w:line="360" w:lineRule="auto"/>
        <w:ind w:firstLine="420" w:firstLineChars="200"/>
        <w:rPr>
          <w:rFonts w:hint="default" w:ascii="宋体" w:hAnsi="宋体" w:cs="宋体"/>
          <w:szCs w:val="21"/>
          <w:lang w:val="en-US" w:eastAsia="zh-CN"/>
        </w:rPr>
      </w:pPr>
      <w:r>
        <w:rPr>
          <w:rFonts w:hint="eastAsia" w:ascii="宋体" w:hAnsi="宋体" w:cs="宋体"/>
          <w:szCs w:val="21"/>
          <w:lang w:val="en-US" w:eastAsia="zh-CN"/>
        </w:rPr>
        <w:t>3.质保期：三年</w:t>
      </w:r>
    </w:p>
    <w:p w14:paraId="336FB0B7">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lang w:val="en-US" w:eastAsia="zh-CN"/>
        </w:rPr>
        <w:t>4</w:t>
      </w:r>
      <w:r>
        <w:rPr>
          <w:rFonts w:hint="eastAsia" w:ascii="宋体" w:hAnsi="宋体" w:cs="宋体"/>
          <w:szCs w:val="21"/>
        </w:rPr>
        <w:t>、地点：甲方指定地点。</w:t>
      </w:r>
    </w:p>
    <w:p w14:paraId="5EDB1E0B">
      <w:pPr>
        <w:adjustRightInd w:val="0"/>
        <w:snapToGrid w:val="0"/>
        <w:spacing w:line="360" w:lineRule="auto"/>
        <w:ind w:firstLine="422" w:firstLineChars="200"/>
        <w:rPr>
          <w:rFonts w:hint="eastAsia" w:ascii="宋体" w:hAnsi="宋体" w:cs="宋体"/>
          <w:b/>
          <w:szCs w:val="21"/>
        </w:rPr>
      </w:pPr>
      <w:r>
        <w:rPr>
          <w:rFonts w:hint="eastAsia" w:ascii="宋体" w:hAnsi="宋体" w:cs="宋体"/>
          <w:b/>
          <w:szCs w:val="21"/>
        </w:rPr>
        <w:t>五、甲方的权利和义务</w:t>
      </w:r>
    </w:p>
    <w:p w14:paraId="171C635E">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1、甲方有权督促乙方完成合同中协议的所有工作内容及其工作进度；</w:t>
      </w:r>
    </w:p>
    <w:p w14:paraId="371CB8AF">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2、甲方应主动提供有利于项目顺利执行实施的相关资源及便利；</w:t>
      </w:r>
    </w:p>
    <w:p w14:paraId="63E5D981">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3、甲方有权向乙方提出整改建议和意见。</w:t>
      </w:r>
    </w:p>
    <w:p w14:paraId="03D61218">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4、甲方负责监督、检查乙方提供服务的工作进度、质量情况。</w:t>
      </w:r>
    </w:p>
    <w:p w14:paraId="4680C93B">
      <w:pPr>
        <w:adjustRightInd w:val="0"/>
        <w:snapToGrid w:val="0"/>
        <w:spacing w:line="360" w:lineRule="auto"/>
        <w:ind w:firstLine="422" w:firstLineChars="200"/>
        <w:rPr>
          <w:rFonts w:hint="eastAsia" w:ascii="宋体" w:hAnsi="宋体" w:cs="宋体"/>
          <w:b/>
          <w:szCs w:val="21"/>
        </w:rPr>
      </w:pPr>
      <w:r>
        <w:rPr>
          <w:rFonts w:hint="eastAsia" w:ascii="宋体" w:hAnsi="宋体" w:cs="宋体"/>
          <w:b/>
          <w:szCs w:val="21"/>
        </w:rPr>
        <w:t>六、乙方的权利和义务</w:t>
      </w:r>
    </w:p>
    <w:p w14:paraId="55B4C435">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1、对本合同规定的委托范围内的项目享有管理权及服务义务。</w:t>
      </w:r>
    </w:p>
    <w:p w14:paraId="12D8150D">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2、根据本合同的规定向甲方收取相关服务费用，并有权在本项目管理范围内管理及合理使用。</w:t>
      </w:r>
    </w:p>
    <w:p w14:paraId="06AC4780">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3、及时向甲方通告本项目执行范围内有关的重大事项，及时配合处理投诉。</w:t>
      </w:r>
    </w:p>
    <w:p w14:paraId="1A3FC0AF">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4、接受项目行业管理部门及政府有关部门的指导，接受甲方的监督。</w:t>
      </w:r>
    </w:p>
    <w:p w14:paraId="1ACFC27B">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5、国家法律、法规所规定由乙方承担的其它责任。</w:t>
      </w:r>
    </w:p>
    <w:p w14:paraId="2F64B869">
      <w:pPr>
        <w:adjustRightInd w:val="0"/>
        <w:snapToGrid w:val="0"/>
        <w:spacing w:line="360" w:lineRule="auto"/>
        <w:ind w:firstLine="422" w:firstLineChars="200"/>
        <w:rPr>
          <w:rFonts w:hint="eastAsia" w:ascii="宋体" w:hAnsi="宋体" w:cs="宋体"/>
          <w:b/>
          <w:szCs w:val="21"/>
        </w:rPr>
      </w:pPr>
      <w:r>
        <w:rPr>
          <w:rFonts w:hint="eastAsia" w:ascii="宋体" w:hAnsi="宋体" w:cs="宋体"/>
          <w:b/>
          <w:szCs w:val="21"/>
        </w:rPr>
        <w:t>七、保密条款</w:t>
      </w:r>
    </w:p>
    <w:p w14:paraId="460351CF">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1、合同双方在订立合同过程中知悉的对方商业秘密等资料，无论合同是否成立，不得泄密或不正当使用。</w:t>
      </w:r>
    </w:p>
    <w:p w14:paraId="08665ED9">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2、泄密或不正当使用对方商业秘密给对方造成损失的，应该承担赔偿责任。</w:t>
      </w:r>
    </w:p>
    <w:p w14:paraId="5A516CD8">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3、保密责任不因合同履行完毕而解除。未经双方同意，任何一方不得以任何形式公开本合同及附件内容，以及在合同订立、履行中知悉的对方商业秘密等资料。</w:t>
      </w:r>
    </w:p>
    <w:p w14:paraId="00C97549">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4、任何一方对在本合同履行过程中以任何方式获知的另一方商业秘密或其他技术及经营信息均负有保密义务，不得向任何其他第三方透露或泄露，但中国现行法律、法规另有规定或经另一方书面同意的除外，不论本合同是否变更、解除或终止，上述约定的效力不受影响。</w:t>
      </w:r>
    </w:p>
    <w:p w14:paraId="4BA52AB0">
      <w:pPr>
        <w:adjustRightInd w:val="0"/>
        <w:snapToGrid w:val="0"/>
        <w:spacing w:line="360" w:lineRule="auto"/>
        <w:ind w:firstLine="422" w:firstLineChars="200"/>
        <w:rPr>
          <w:rFonts w:hint="eastAsia" w:ascii="宋体" w:hAnsi="宋体" w:cs="宋体"/>
          <w:b/>
          <w:szCs w:val="21"/>
        </w:rPr>
      </w:pPr>
      <w:r>
        <w:rPr>
          <w:rFonts w:hint="eastAsia" w:ascii="宋体" w:hAnsi="宋体" w:cs="宋体"/>
          <w:b/>
          <w:szCs w:val="21"/>
        </w:rPr>
        <w:t>八、违约责任</w:t>
      </w:r>
    </w:p>
    <w:p w14:paraId="1A63927C">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1、按《民法典》中的相关条款执行。</w:t>
      </w:r>
    </w:p>
    <w:p w14:paraId="78F7573D">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2、乙方履约延误</w:t>
      </w:r>
    </w:p>
    <w:p w14:paraId="43DAC834">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2-1、如乙方事先未征得甲方同意并得到甲方的谅解而单方面延迟服务期限，将按违约终止合同。</w:t>
      </w:r>
    </w:p>
    <w:p w14:paraId="3B3F5546">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-2、在履行合同过程中，如果乙方遇到可能妨碍按时提供服务的情况，应及时以书面形式将拖延的事实，可能拖延的期限和理由通知甲方。甲方在收到乙方通知后，应尽快对情况进行评价，并确定是否通过修改合同，酌情延长服务时间或对乙方加收误期赔偿金。每延误一周的赔偿费按迟交或未提供服务的服务费用的百分之零点五（0.5%）计收，直至提供服务为止。误期赔偿费的最高限额为合同价格的百分之五（5%）。一旦达到误期赔偿费的最高限额，甲方可终止合同。</w:t>
      </w:r>
    </w:p>
    <w:p w14:paraId="07B724DE">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3、违约终止合同：未按合同要求提供服务，甲方会同监督机构有权终止合同，对乙方违约行为进行追究，同时按政府采购法的有关规定进行相应的处罚。</w:t>
      </w:r>
    </w:p>
    <w:p w14:paraId="180E023D">
      <w:pPr>
        <w:adjustRightInd w:val="0"/>
        <w:snapToGrid w:val="0"/>
        <w:spacing w:line="360" w:lineRule="auto"/>
        <w:ind w:firstLine="420" w:firstLineChars="200"/>
        <w:rPr>
          <w:rFonts w:hint="eastAsia" w:ascii="宋体" w:hAnsi="宋体" w:cs="宋体"/>
          <w:b/>
          <w:szCs w:val="21"/>
        </w:rPr>
      </w:pPr>
      <w:r>
        <w:rPr>
          <w:rFonts w:hint="eastAsia" w:ascii="宋体" w:hAnsi="宋体" w:cs="宋体"/>
          <w:szCs w:val="21"/>
        </w:rPr>
        <w:t>4、违约责任与解决争议的方法：（1）违约责任：①甲乙双方必须遵守合同并执行合同中的各项规定，保证本项目合同的正常履行。②如因乙方工作人员在履行职务过程中的疏忽、失职、过错等故意或者过失原因给甲方造成损失或侵害，包括但不限于甲方本身的财产损失、由此而导致的甲方对任何第三方的法律责任等，乙方对此均应承担全部的赔偿责任。（2）解决争议的方法：①在执行本合同中发生的或与本合同有关的争端，双方应通过友好协商解决，经协商解决不成的，应提交采购人所在地仲裁委员会仲裁。②仲裁裁决为最终决定，并对双方具有约束力。③除另有裁决外，仲裁费由败诉方负担。④在裁期间，除正在进行仲裁部分外，合同其他部分继续执行</w:t>
      </w:r>
    </w:p>
    <w:p w14:paraId="6C788A5E">
      <w:pPr>
        <w:adjustRightInd w:val="0"/>
        <w:snapToGrid w:val="0"/>
        <w:spacing w:line="360" w:lineRule="auto"/>
        <w:ind w:firstLine="422" w:firstLineChars="200"/>
        <w:rPr>
          <w:rFonts w:hint="eastAsia" w:ascii="宋体" w:hAnsi="宋体" w:cs="宋体"/>
          <w:b/>
          <w:szCs w:val="21"/>
        </w:rPr>
      </w:pPr>
      <w:r>
        <w:rPr>
          <w:rFonts w:hint="eastAsia" w:ascii="宋体" w:hAnsi="宋体" w:cs="宋体"/>
          <w:b/>
          <w:szCs w:val="21"/>
        </w:rPr>
        <w:t>九、不可抗力事件处理</w:t>
      </w:r>
    </w:p>
    <w:p w14:paraId="6761186E">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若双方任何一方由于受诸如战争、严重火灾、洪水、台风、地震等不可抗力事故的影响而不能执行合同时，履约合同的期限应予以延长，延长的期限应相当于事故所影响的时间。不可抗力事故系指在缔结合同时所不能预见的，并且它的发生及其后果是无法避免和无法克服的事故。受阻一方应在不可抗力事故发生后立即通知对方，并于事故发生后叁天内将事故发生地有关组织出具的事故证明文件用特快专递寄给对方审阅确认。因不可抗力原因导致合同履行期过长，无法满足甲方服务需求的或无法实现甲方合同目的、影响甲方正常运营，甲方有权解除合同，双方不必承担违约责任。</w:t>
      </w:r>
    </w:p>
    <w:p w14:paraId="12F31D8A">
      <w:pPr>
        <w:adjustRightInd w:val="0"/>
        <w:snapToGrid w:val="0"/>
        <w:spacing w:line="360" w:lineRule="auto"/>
        <w:ind w:firstLine="422" w:firstLineChars="200"/>
        <w:rPr>
          <w:rFonts w:hint="eastAsia" w:ascii="宋体" w:hAnsi="宋体" w:cs="宋体"/>
          <w:b/>
          <w:szCs w:val="21"/>
        </w:rPr>
      </w:pPr>
      <w:r>
        <w:rPr>
          <w:rFonts w:hint="eastAsia" w:ascii="宋体" w:hAnsi="宋体" w:cs="宋体"/>
          <w:b/>
          <w:szCs w:val="21"/>
        </w:rPr>
        <w:t>十、合同组成</w:t>
      </w:r>
    </w:p>
    <w:p w14:paraId="13C0E7FD">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1、成交通知书</w:t>
      </w:r>
    </w:p>
    <w:p w14:paraId="6A9098DE">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2、合同文件</w:t>
      </w:r>
    </w:p>
    <w:p w14:paraId="4845732F">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3、国家相关规范及标准</w:t>
      </w:r>
    </w:p>
    <w:p w14:paraId="2B60B98D">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4、竞争性谈判文件</w:t>
      </w:r>
    </w:p>
    <w:p w14:paraId="38BB2A25">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5、谈判响应文件</w:t>
      </w:r>
    </w:p>
    <w:p w14:paraId="7F4C91B3">
      <w:pPr>
        <w:adjustRightInd w:val="0"/>
        <w:snapToGrid w:val="0"/>
        <w:spacing w:line="360" w:lineRule="auto"/>
        <w:ind w:firstLine="422" w:firstLineChars="200"/>
        <w:rPr>
          <w:rFonts w:hint="eastAsia" w:ascii="宋体" w:hAnsi="宋体" w:cs="宋体"/>
          <w:b/>
          <w:szCs w:val="21"/>
        </w:rPr>
      </w:pPr>
      <w:r>
        <w:rPr>
          <w:rFonts w:hint="eastAsia" w:ascii="宋体" w:hAnsi="宋体" w:cs="宋体"/>
          <w:b/>
          <w:szCs w:val="21"/>
        </w:rPr>
        <w:t>十一、解决争议的方法</w:t>
      </w:r>
    </w:p>
    <w:p w14:paraId="377E6C13">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凡因本合同引起的或与本合同有关的争议，双方应友好协商解决。协商不成时，双方均同意采用以下第（ 1 ）种争议解决方式：</w:t>
      </w:r>
    </w:p>
    <w:p w14:paraId="0804EC0C">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（1）甲、乙双方均同意向（甲方所在地人民法院）提起诉讼。</w:t>
      </w:r>
    </w:p>
    <w:p w14:paraId="3FE0455A">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（2）甲、乙双方均同意向（仲裁委员会）提起仲裁。</w:t>
      </w:r>
    </w:p>
    <w:p w14:paraId="19D161FE">
      <w:pPr>
        <w:adjustRightInd w:val="0"/>
        <w:snapToGrid w:val="0"/>
        <w:spacing w:line="360" w:lineRule="auto"/>
        <w:ind w:firstLine="422" w:firstLineChars="200"/>
        <w:rPr>
          <w:rFonts w:hint="eastAsia" w:ascii="宋体" w:hAnsi="宋体" w:cs="宋体"/>
          <w:b/>
          <w:szCs w:val="21"/>
        </w:rPr>
      </w:pPr>
      <w:r>
        <w:rPr>
          <w:rFonts w:hint="eastAsia" w:ascii="宋体" w:hAnsi="宋体" w:cs="宋体"/>
          <w:b/>
          <w:szCs w:val="21"/>
        </w:rPr>
        <w:t>十二、合同生效及其它</w:t>
      </w:r>
    </w:p>
    <w:p w14:paraId="10A90E04">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1、合同未尽事宜、由甲、乙双方协商，作为合同补充，与原合同具有同等法律效力。</w:t>
      </w:r>
    </w:p>
    <w:p w14:paraId="408B6088">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 xml:space="preserve">2、 本合同一式 </w:t>
      </w:r>
      <w:r>
        <w:rPr>
          <w:rFonts w:hint="eastAsia" w:ascii="宋体" w:hAnsi="宋体" w:cs="宋体"/>
          <w:szCs w:val="21"/>
          <w:u w:val="single"/>
        </w:rPr>
        <w:t xml:space="preserve">   </w:t>
      </w:r>
      <w:r>
        <w:rPr>
          <w:rFonts w:hint="eastAsia" w:ascii="宋体" w:hAnsi="宋体" w:cs="宋体"/>
          <w:szCs w:val="21"/>
        </w:rPr>
        <w:t>份，甲方、乙方双方分别执</w:t>
      </w:r>
      <w:r>
        <w:rPr>
          <w:rFonts w:hint="eastAsia" w:ascii="宋体" w:hAnsi="宋体" w:cs="宋体"/>
          <w:szCs w:val="21"/>
          <w:u w:val="single"/>
        </w:rPr>
        <w:t xml:space="preserve">   </w:t>
      </w:r>
      <w:r>
        <w:rPr>
          <w:rFonts w:hint="eastAsia" w:ascii="宋体" w:hAnsi="宋体" w:cs="宋体"/>
          <w:szCs w:val="21"/>
        </w:rPr>
        <w:t>份，</w:t>
      </w:r>
      <w:r>
        <w:rPr>
          <w:rFonts w:hint="eastAsia" w:ascii="宋体" w:hAnsi="宋体" w:cs="宋体"/>
          <w:szCs w:val="21"/>
          <w:u w:val="single"/>
        </w:rPr>
        <w:t xml:space="preserve">    </w:t>
      </w:r>
      <w:r>
        <w:rPr>
          <w:rFonts w:hint="eastAsia" w:ascii="宋体" w:hAnsi="宋体" w:cs="宋体"/>
          <w:szCs w:val="21"/>
        </w:rPr>
        <w:t>备案</w:t>
      </w:r>
      <w:r>
        <w:rPr>
          <w:rFonts w:hint="eastAsia" w:ascii="宋体" w:hAnsi="宋体" w:cs="宋体"/>
          <w:szCs w:val="21"/>
          <w:u w:val="single"/>
        </w:rPr>
        <w:t xml:space="preserve">   </w:t>
      </w:r>
      <w:r>
        <w:rPr>
          <w:rFonts w:hint="eastAsia" w:ascii="宋体" w:hAnsi="宋体" w:cs="宋体"/>
          <w:szCs w:val="21"/>
        </w:rPr>
        <w:t>份。</w:t>
      </w:r>
    </w:p>
    <w:p w14:paraId="3E031A46">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3、合同经甲乙双方盖章、签字后生效，合同签订地点为</w:t>
      </w:r>
      <w:r>
        <w:rPr>
          <w:rFonts w:hint="eastAsia" w:ascii="宋体" w:hAnsi="宋体" w:cs="宋体"/>
          <w:szCs w:val="21"/>
          <w:u w:val="single"/>
        </w:rPr>
        <w:t xml:space="preserve">      </w:t>
      </w:r>
      <w:r>
        <w:rPr>
          <w:rFonts w:hint="eastAsia" w:ascii="宋体" w:hAnsi="宋体" w:cs="宋体"/>
          <w:szCs w:val="21"/>
        </w:rPr>
        <w:t>。</w:t>
      </w:r>
    </w:p>
    <w:p w14:paraId="1813B33E">
      <w:pPr>
        <w:adjustRightInd w:val="0"/>
        <w:snapToGrid w:val="0"/>
        <w:spacing w:line="360" w:lineRule="auto"/>
        <w:ind w:firstLine="420" w:firstLineChars="200"/>
        <w:rPr>
          <w:rFonts w:hint="eastAsia" w:ascii="宋体" w:hAnsi="宋体" w:cs="宋体"/>
          <w:kern w:val="0"/>
          <w:szCs w:val="21"/>
        </w:rPr>
      </w:pPr>
      <w:r>
        <w:rPr>
          <w:rFonts w:hint="eastAsia" w:ascii="宋体" w:hAnsi="宋体" w:cs="宋体"/>
          <w:szCs w:val="21"/>
        </w:rPr>
        <w:t>4、生效时间：</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46D013C3">
      <w:pPr>
        <w:spacing w:line="360" w:lineRule="auto"/>
        <w:ind w:firstLine="420" w:firstLineChars="200"/>
        <w:rPr>
          <w:rFonts w:hint="eastAsia" w:ascii="宋体" w:hAnsi="宋体" w:cs="宋体"/>
          <w:szCs w:val="21"/>
        </w:rPr>
      </w:pPr>
    </w:p>
    <w:p w14:paraId="3792E932">
      <w:pPr>
        <w:spacing w:line="360" w:lineRule="auto"/>
        <w:rPr>
          <w:rFonts w:hint="eastAsia" w:ascii="宋体" w:hAnsi="宋体" w:cs="宋体"/>
          <w:szCs w:val="21"/>
        </w:rPr>
      </w:pPr>
    </w:p>
    <w:p w14:paraId="1A08F656">
      <w:pPr>
        <w:spacing w:line="360" w:lineRule="auto"/>
        <w:rPr>
          <w:rFonts w:hint="eastAsia" w:ascii="宋体" w:hAnsi="宋体" w:cs="宋体"/>
          <w:szCs w:val="21"/>
        </w:rPr>
      </w:pPr>
      <w:r>
        <w:rPr>
          <w:rFonts w:hint="eastAsia" w:ascii="宋体" w:hAnsi="宋体" w:cs="宋体"/>
          <w:szCs w:val="21"/>
        </w:rPr>
        <w:t>甲方：  (公章)                             乙方：  (公章)</w:t>
      </w:r>
    </w:p>
    <w:p w14:paraId="64DF0C8B">
      <w:pPr>
        <w:spacing w:line="360" w:lineRule="auto"/>
        <w:rPr>
          <w:rFonts w:hint="eastAsia" w:ascii="宋体" w:hAnsi="宋体" w:cs="宋体"/>
          <w:szCs w:val="21"/>
        </w:rPr>
      </w:pPr>
      <w:r>
        <w:rPr>
          <w:rFonts w:hint="eastAsia" w:ascii="宋体" w:hAnsi="宋体" w:cs="宋体"/>
          <w:szCs w:val="21"/>
        </w:rPr>
        <w:t>法定代表人或其委托代理人（签字）  ：       法定代表人或其委托代理人（签字）：</w:t>
      </w:r>
    </w:p>
    <w:p w14:paraId="5BF11F63">
      <w:pPr>
        <w:spacing w:line="360" w:lineRule="auto"/>
        <w:rPr>
          <w:rFonts w:hint="eastAsia" w:ascii="宋体" w:hAnsi="宋体" w:cs="宋体"/>
          <w:szCs w:val="21"/>
        </w:rPr>
      </w:pPr>
      <w:r>
        <w:rPr>
          <w:rFonts w:hint="eastAsia" w:ascii="宋体" w:hAnsi="宋体" w:cs="宋体"/>
          <w:szCs w:val="21"/>
        </w:rPr>
        <w:t xml:space="preserve">地  址： </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                     </w:t>
      </w:r>
    </w:p>
    <w:p w14:paraId="4C4E1293">
      <w:pPr>
        <w:spacing w:line="360" w:lineRule="auto"/>
        <w:rPr>
          <w:rFonts w:hint="eastAsia" w:ascii="宋体" w:hAnsi="宋体" w:cs="宋体"/>
          <w:szCs w:val="21"/>
        </w:rPr>
      </w:pPr>
      <w:r>
        <w:rPr>
          <w:rFonts w:hint="eastAsia" w:ascii="宋体" w:hAnsi="宋体" w:cs="宋体"/>
          <w:szCs w:val="21"/>
        </w:rPr>
        <w:t>邮政编码：</w:t>
      </w:r>
      <w:r>
        <w:rPr>
          <w:rFonts w:hint="eastAsia" w:ascii="宋体" w:hAnsi="宋体" w:cs="宋体"/>
          <w:szCs w:val="21"/>
          <w:u w:val="single"/>
        </w:rPr>
        <w:t xml:space="preserve">                         </w:t>
      </w:r>
      <w:r>
        <w:rPr>
          <w:rFonts w:hint="eastAsia" w:ascii="宋体" w:hAnsi="宋体" w:cs="宋体"/>
          <w:szCs w:val="21"/>
        </w:rPr>
        <w:t xml:space="preserve">      邮政编码：</w:t>
      </w:r>
      <w:r>
        <w:rPr>
          <w:rFonts w:hint="eastAsia" w:ascii="宋体" w:hAnsi="宋体" w:cs="宋体"/>
          <w:szCs w:val="21"/>
          <w:u w:val="single"/>
        </w:rPr>
        <w:t xml:space="preserve">              </w:t>
      </w:r>
      <w:r>
        <w:rPr>
          <w:rFonts w:hint="eastAsia" w:ascii="宋体" w:hAnsi="宋体" w:cs="宋体"/>
          <w:szCs w:val="21"/>
        </w:rPr>
        <w:t xml:space="preserve">  </w:t>
      </w:r>
    </w:p>
    <w:p w14:paraId="6A2B63AC">
      <w:pPr>
        <w:spacing w:line="360" w:lineRule="auto"/>
        <w:rPr>
          <w:rFonts w:hint="eastAsia" w:ascii="宋体" w:hAnsi="宋体" w:cs="宋体"/>
          <w:szCs w:val="21"/>
        </w:rPr>
      </w:pPr>
      <w:r>
        <w:rPr>
          <w:rFonts w:hint="eastAsia" w:ascii="宋体" w:hAnsi="宋体" w:cs="宋体"/>
          <w:szCs w:val="21"/>
        </w:rPr>
        <w:t>电  话：</w:t>
      </w:r>
      <w:r>
        <w:rPr>
          <w:rFonts w:hint="eastAsia" w:ascii="宋体" w:hAnsi="宋体" w:cs="宋体"/>
          <w:szCs w:val="21"/>
          <w:u w:val="single"/>
        </w:rPr>
        <w:t xml:space="preserve">                         </w:t>
      </w:r>
      <w:r>
        <w:rPr>
          <w:rFonts w:hint="eastAsia" w:ascii="宋体" w:hAnsi="宋体" w:cs="宋体"/>
          <w:szCs w:val="21"/>
        </w:rPr>
        <w:t xml:space="preserve">        电  话：</w:t>
      </w:r>
      <w:r>
        <w:rPr>
          <w:rFonts w:hint="eastAsia" w:ascii="宋体" w:hAnsi="宋体" w:cs="宋体"/>
          <w:szCs w:val="21"/>
          <w:u w:val="single"/>
        </w:rPr>
        <w:t xml:space="preserve">              </w:t>
      </w:r>
      <w:r>
        <w:rPr>
          <w:rFonts w:hint="eastAsia" w:ascii="宋体" w:hAnsi="宋体" w:cs="宋体"/>
          <w:szCs w:val="21"/>
        </w:rPr>
        <w:t xml:space="preserve">    </w:t>
      </w:r>
    </w:p>
    <w:p w14:paraId="1D9BA842">
      <w:pPr>
        <w:spacing w:line="360" w:lineRule="auto"/>
        <w:rPr>
          <w:rFonts w:hint="eastAsia" w:ascii="宋体" w:hAnsi="宋体" w:cs="宋体"/>
          <w:szCs w:val="21"/>
          <w:u w:val="single"/>
        </w:rPr>
      </w:pPr>
      <w:r>
        <w:rPr>
          <w:rFonts w:hint="eastAsia" w:ascii="宋体" w:hAnsi="宋体" w:cs="宋体"/>
          <w:szCs w:val="21"/>
        </w:rPr>
        <w:t>传  真：</w:t>
      </w:r>
      <w:r>
        <w:rPr>
          <w:rFonts w:hint="eastAsia" w:ascii="宋体" w:hAnsi="宋体" w:cs="宋体"/>
          <w:szCs w:val="21"/>
          <w:u w:val="single"/>
        </w:rPr>
        <w:t xml:space="preserve">               </w:t>
      </w:r>
      <w:r>
        <w:rPr>
          <w:rFonts w:hint="eastAsia" w:ascii="宋体" w:hAnsi="宋体" w:cs="宋体"/>
          <w:szCs w:val="21"/>
        </w:rPr>
        <w:t xml:space="preserve">        传  真：</w:t>
      </w:r>
      <w:r>
        <w:rPr>
          <w:rFonts w:hint="eastAsia" w:ascii="宋体" w:hAnsi="宋体" w:cs="宋体"/>
          <w:szCs w:val="21"/>
          <w:u w:val="single"/>
        </w:rPr>
        <w:t xml:space="preserve">           </w:t>
      </w:r>
    </w:p>
    <w:p w14:paraId="7792BF98">
      <w:pPr>
        <w:spacing w:line="360" w:lineRule="auto"/>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             </w:t>
      </w:r>
      <w:r>
        <w:rPr>
          <w:rFonts w:hint="eastAsia" w:ascii="宋体" w:hAnsi="宋体" w:cs="宋体"/>
          <w:szCs w:val="21"/>
        </w:rPr>
        <w:t xml:space="preserve">       电子信箱：</w:t>
      </w:r>
      <w:r>
        <w:rPr>
          <w:rFonts w:hint="eastAsia" w:ascii="宋体" w:hAnsi="宋体" w:cs="宋体"/>
          <w:szCs w:val="21"/>
          <w:u w:val="single"/>
        </w:rPr>
        <w:t xml:space="preserve">              </w:t>
      </w:r>
      <w:r>
        <w:rPr>
          <w:rFonts w:hint="eastAsia" w:ascii="宋体" w:hAnsi="宋体" w:cs="宋体"/>
          <w:szCs w:val="21"/>
        </w:rPr>
        <w:t xml:space="preserve">  </w:t>
      </w:r>
    </w:p>
    <w:p w14:paraId="53CD1F55">
      <w:pPr>
        <w:spacing w:line="360" w:lineRule="auto"/>
        <w:rPr>
          <w:rFonts w:hint="eastAsia" w:ascii="宋体" w:hAnsi="宋体" w:cs="宋体"/>
          <w:szCs w:val="21"/>
          <w:u w:val="single"/>
        </w:rPr>
      </w:pPr>
      <w:r>
        <w:rPr>
          <w:rFonts w:hint="eastAsia" w:ascii="宋体" w:hAnsi="宋体" w:cs="宋体"/>
          <w:szCs w:val="21"/>
        </w:rPr>
        <w:t>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             </w:t>
      </w:r>
    </w:p>
    <w:p w14:paraId="7F37D61E">
      <w:pPr>
        <w:spacing w:line="360" w:lineRule="auto"/>
        <w:rPr>
          <w:rFonts w:hint="eastAsia" w:ascii="宋体" w:hAnsi="宋体" w:cs="宋体"/>
          <w:szCs w:val="21"/>
        </w:rPr>
      </w:pPr>
      <w:r>
        <w:rPr>
          <w:rFonts w:hint="eastAsia" w:ascii="宋体" w:hAnsi="宋体" w:cs="宋体"/>
          <w:szCs w:val="21"/>
        </w:rPr>
        <w:t>账  号：</w:t>
      </w:r>
      <w:r>
        <w:rPr>
          <w:rFonts w:hint="eastAsia" w:ascii="宋体" w:hAnsi="宋体" w:cs="宋体"/>
          <w:szCs w:val="21"/>
          <w:u w:val="single"/>
        </w:rPr>
        <w:t xml:space="preserve">                            </w:t>
      </w:r>
      <w:r>
        <w:rPr>
          <w:rFonts w:hint="eastAsia" w:ascii="宋体" w:hAnsi="宋体" w:cs="宋体"/>
          <w:szCs w:val="21"/>
        </w:rPr>
        <w:t xml:space="preserve">       账  号：</w:t>
      </w:r>
      <w:r>
        <w:rPr>
          <w:rFonts w:hint="eastAsia" w:ascii="宋体" w:hAnsi="宋体" w:cs="宋体"/>
          <w:szCs w:val="21"/>
          <w:u w:val="single"/>
        </w:rPr>
        <w:t xml:space="preserve">           </w:t>
      </w:r>
    </w:p>
    <w:p w14:paraId="1C1E3FBA">
      <w:pPr>
        <w:spacing w:line="360" w:lineRule="auto"/>
        <w:ind w:firstLine="643" w:firstLineChars="200"/>
        <w:jc w:val="left"/>
        <w:rPr>
          <w:rFonts w:hint="eastAsia" w:ascii="宋体" w:hAnsi="宋体" w:cs="宋体"/>
          <w:b/>
          <w:bCs/>
          <w:sz w:val="32"/>
          <w:szCs w:val="32"/>
          <w:lang w:val="zh-CN"/>
        </w:rPr>
      </w:pPr>
      <w:r>
        <w:rPr>
          <w:rFonts w:hint="eastAsia" w:ascii="宋体" w:hAnsi="宋体" w:cs="宋体"/>
          <w:b/>
          <w:bCs/>
          <w:sz w:val="32"/>
          <w:szCs w:val="32"/>
          <w:lang w:val="zh-CN"/>
        </w:rPr>
        <w:br w:type="page"/>
      </w:r>
    </w:p>
    <w:bookmarkEnd w:id="33"/>
    <w:bookmarkEnd w:id="34"/>
    <w:bookmarkEnd w:id="35"/>
    <w:bookmarkEnd w:id="36"/>
    <w:bookmarkEnd w:id="37"/>
    <w:bookmarkEnd w:id="38"/>
    <w:p w14:paraId="4F7F7BBD">
      <w:pPr>
        <w:pStyle w:val="2"/>
        <w:rPr>
          <w:rFonts w:hint="eastAsia" w:ascii="宋体" w:hAnsi="宋体" w:eastAsia="宋体" w:cs="宋体"/>
        </w:rPr>
      </w:pPr>
      <w:bookmarkStart w:id="55" w:name="_Toc27960"/>
      <w:bookmarkStart w:id="56" w:name="_Toc10644"/>
      <w:r>
        <w:rPr>
          <w:rFonts w:hint="eastAsia" w:ascii="宋体" w:hAnsi="宋体" w:eastAsia="宋体" w:cs="宋体"/>
        </w:rPr>
        <w:t>第</w:t>
      </w:r>
      <w:r>
        <w:rPr>
          <w:rFonts w:hint="eastAsia" w:ascii="宋体" w:hAnsi="宋体" w:eastAsia="宋体" w:cs="宋体"/>
          <w:lang w:val="en-US"/>
        </w:rPr>
        <w:t>六章</w:t>
      </w:r>
      <w:r>
        <w:rPr>
          <w:rFonts w:hint="eastAsia" w:ascii="宋体" w:hAnsi="宋体" w:eastAsia="宋体" w:cs="宋体"/>
        </w:rPr>
        <w:t xml:space="preserve"> 竞争性谈判响应文件格式</w:t>
      </w:r>
      <w:bookmarkEnd w:id="55"/>
      <w:bookmarkEnd w:id="56"/>
    </w:p>
    <w:p w14:paraId="68BAF233">
      <w:pPr>
        <w:autoSpaceDE w:val="0"/>
        <w:autoSpaceDN w:val="0"/>
        <w:adjustRightInd w:val="0"/>
        <w:snapToGrid w:val="0"/>
        <w:spacing w:line="360" w:lineRule="auto"/>
        <w:jc w:val="right"/>
        <w:rPr>
          <w:rFonts w:hint="eastAsia" w:ascii="宋体" w:hAnsi="宋体" w:cs="宋体"/>
          <w:b/>
          <w:bCs/>
          <w:sz w:val="32"/>
          <w:szCs w:val="32"/>
          <w:lang w:val="zh-CN"/>
        </w:rPr>
      </w:pPr>
    </w:p>
    <w:p w14:paraId="66EA87FC">
      <w:pPr>
        <w:autoSpaceDE w:val="0"/>
        <w:autoSpaceDN w:val="0"/>
        <w:adjustRightInd w:val="0"/>
        <w:snapToGrid w:val="0"/>
        <w:spacing w:line="360" w:lineRule="auto"/>
        <w:jc w:val="right"/>
        <w:rPr>
          <w:rFonts w:hint="eastAsia" w:ascii="宋体" w:hAnsi="宋体" w:cs="宋体"/>
          <w:b/>
          <w:bCs/>
          <w:sz w:val="32"/>
          <w:szCs w:val="32"/>
          <w:lang w:val="zh-CN"/>
        </w:rPr>
      </w:pPr>
    </w:p>
    <w:p w14:paraId="4E6FB93F">
      <w:pPr>
        <w:autoSpaceDE w:val="0"/>
        <w:autoSpaceDN w:val="0"/>
        <w:adjustRightInd w:val="0"/>
        <w:snapToGrid w:val="0"/>
        <w:spacing w:line="360" w:lineRule="auto"/>
        <w:jc w:val="left"/>
        <w:rPr>
          <w:rFonts w:hint="eastAsia" w:ascii="宋体" w:hAnsi="宋体" w:cs="宋体"/>
          <w:b/>
          <w:bCs/>
          <w:sz w:val="32"/>
          <w:szCs w:val="32"/>
          <w:lang w:val="zh-CN"/>
        </w:rPr>
      </w:pPr>
      <w:bookmarkStart w:id="57" w:name="_Toc8495"/>
      <w:r>
        <w:rPr>
          <w:rFonts w:hint="eastAsia" w:ascii="宋体" w:hAnsi="宋体" w:cs="宋体"/>
          <w:b/>
          <w:bCs/>
          <w:sz w:val="32"/>
          <w:szCs w:val="32"/>
          <w:lang w:val="zh-CN"/>
        </w:rPr>
        <w:t>政府采购项目</w:t>
      </w:r>
      <w:bookmarkEnd w:id="57"/>
    </w:p>
    <w:p w14:paraId="2F22728A">
      <w:pPr>
        <w:pStyle w:val="23"/>
        <w:widowControl/>
        <w:spacing w:line="450" w:lineRule="atLeast"/>
        <w:rPr>
          <w:rFonts w:hint="eastAsia" w:ascii="宋体" w:hAnsi="宋体" w:cs="宋体"/>
          <w:b/>
          <w:bCs/>
          <w:sz w:val="30"/>
          <w:szCs w:val="30"/>
        </w:rPr>
      </w:pPr>
      <w:bookmarkStart w:id="58" w:name="_Toc15040"/>
      <w:r>
        <w:rPr>
          <w:rFonts w:hint="eastAsia" w:ascii="宋体" w:hAnsi="宋体" w:cs="宋体"/>
          <w:b/>
          <w:bCs/>
          <w:sz w:val="32"/>
          <w:szCs w:val="32"/>
          <w:lang w:val="zh-CN"/>
        </w:rPr>
        <w:t>采购项目编号：</w:t>
      </w:r>
      <w:bookmarkEnd w:id="58"/>
      <w:r>
        <w:rPr>
          <w:rFonts w:hint="eastAsia" w:ascii="宋体" w:hAnsi="宋体" w:cs="宋体"/>
          <w:b/>
          <w:bCs/>
          <w:sz w:val="32"/>
          <w:szCs w:val="32"/>
          <w:lang w:val="zh-CN"/>
        </w:rPr>
        <w:t>XZH2026-HW-0</w:t>
      </w:r>
      <w:r>
        <w:rPr>
          <w:rFonts w:hint="eastAsia" w:ascii="宋体" w:hAnsi="宋体" w:cs="宋体"/>
          <w:b/>
          <w:bCs/>
          <w:sz w:val="32"/>
          <w:szCs w:val="32"/>
        </w:rPr>
        <w:t>46</w:t>
      </w:r>
    </w:p>
    <w:p w14:paraId="5790EB01">
      <w:pPr>
        <w:tabs>
          <w:tab w:val="left" w:pos="5670"/>
        </w:tabs>
        <w:autoSpaceDE w:val="0"/>
        <w:autoSpaceDN w:val="0"/>
        <w:adjustRightInd w:val="0"/>
        <w:snapToGrid w:val="0"/>
        <w:spacing w:line="360" w:lineRule="auto"/>
        <w:jc w:val="center"/>
        <w:rPr>
          <w:rFonts w:hint="eastAsia" w:ascii="宋体" w:hAnsi="宋体" w:cs="宋体"/>
          <w:sz w:val="19"/>
          <w:szCs w:val="19"/>
        </w:rPr>
      </w:pPr>
    </w:p>
    <w:p w14:paraId="6D945B27">
      <w:pPr>
        <w:tabs>
          <w:tab w:val="left" w:pos="5670"/>
        </w:tabs>
        <w:autoSpaceDE w:val="0"/>
        <w:autoSpaceDN w:val="0"/>
        <w:adjustRightInd w:val="0"/>
        <w:snapToGrid w:val="0"/>
        <w:spacing w:line="360" w:lineRule="auto"/>
        <w:jc w:val="center"/>
        <w:rPr>
          <w:rFonts w:hint="eastAsia" w:ascii="宋体" w:hAnsi="宋体" w:cs="宋体"/>
          <w:sz w:val="19"/>
          <w:szCs w:val="19"/>
        </w:rPr>
      </w:pPr>
    </w:p>
    <w:p w14:paraId="6F79E68B">
      <w:pPr>
        <w:pStyle w:val="80"/>
        <w:spacing w:line="360" w:lineRule="auto"/>
        <w:jc w:val="center"/>
        <w:rPr>
          <w:rFonts w:ascii="宋体" w:hAnsi="宋体" w:eastAsia="宋体" w:cs="宋体"/>
          <w:sz w:val="44"/>
          <w:szCs w:val="44"/>
        </w:rPr>
      </w:pPr>
    </w:p>
    <w:p w14:paraId="328E5A9B">
      <w:pPr>
        <w:pStyle w:val="80"/>
        <w:spacing w:line="360" w:lineRule="auto"/>
        <w:jc w:val="center"/>
        <w:rPr>
          <w:rFonts w:ascii="宋体" w:hAnsi="宋体" w:eastAsia="宋体" w:cs="宋体"/>
          <w:sz w:val="44"/>
          <w:szCs w:val="44"/>
        </w:rPr>
      </w:pPr>
      <w:r>
        <w:rPr>
          <w:rFonts w:ascii="宋体" w:hAnsi="宋体" w:eastAsia="宋体" w:cs="宋体"/>
          <w:sz w:val="44"/>
          <w:szCs w:val="44"/>
        </w:rPr>
        <w:t>女子监狱机房不间断电源电池组更换项目</w:t>
      </w:r>
    </w:p>
    <w:p w14:paraId="1A36CCBE">
      <w:pPr>
        <w:tabs>
          <w:tab w:val="left" w:pos="5670"/>
        </w:tabs>
        <w:autoSpaceDE w:val="0"/>
        <w:autoSpaceDN w:val="0"/>
        <w:adjustRightInd w:val="0"/>
        <w:snapToGrid w:val="0"/>
        <w:spacing w:line="360" w:lineRule="auto"/>
        <w:ind w:firstLine="2088" w:firstLineChars="400"/>
        <w:rPr>
          <w:rFonts w:hint="eastAsia" w:ascii="宋体" w:hAnsi="宋体" w:cs="宋体"/>
          <w:b/>
          <w:bCs/>
          <w:sz w:val="52"/>
          <w:szCs w:val="52"/>
          <w:lang w:val="zh-CN"/>
        </w:rPr>
      </w:pPr>
    </w:p>
    <w:p w14:paraId="43596619">
      <w:pPr>
        <w:tabs>
          <w:tab w:val="left" w:pos="5670"/>
        </w:tabs>
        <w:autoSpaceDE w:val="0"/>
        <w:autoSpaceDN w:val="0"/>
        <w:adjustRightInd w:val="0"/>
        <w:snapToGrid w:val="0"/>
        <w:spacing w:line="360" w:lineRule="auto"/>
        <w:ind w:firstLine="2088" w:firstLineChars="400"/>
        <w:rPr>
          <w:rFonts w:hint="eastAsia" w:ascii="宋体" w:hAnsi="宋体" w:cs="宋体"/>
          <w:b/>
          <w:bCs/>
          <w:sz w:val="52"/>
          <w:szCs w:val="52"/>
          <w:lang w:val="zh-CN"/>
        </w:rPr>
      </w:pPr>
    </w:p>
    <w:p w14:paraId="57AE9516">
      <w:pPr>
        <w:tabs>
          <w:tab w:val="left" w:pos="5670"/>
        </w:tabs>
        <w:autoSpaceDE w:val="0"/>
        <w:autoSpaceDN w:val="0"/>
        <w:adjustRightInd w:val="0"/>
        <w:snapToGrid w:val="0"/>
        <w:spacing w:line="360" w:lineRule="auto"/>
        <w:ind w:firstLine="2088" w:firstLineChars="400"/>
        <w:rPr>
          <w:rFonts w:hint="eastAsia" w:ascii="宋体" w:hAnsi="宋体" w:cs="宋体"/>
          <w:b/>
          <w:bCs/>
          <w:sz w:val="52"/>
          <w:szCs w:val="52"/>
          <w:lang w:val="zh-CN"/>
        </w:rPr>
      </w:pPr>
      <w:r>
        <w:rPr>
          <w:rFonts w:hint="eastAsia" w:ascii="宋体" w:hAnsi="宋体" w:cs="宋体"/>
          <w:b/>
          <w:bCs/>
          <w:sz w:val="52"/>
          <w:szCs w:val="52"/>
          <w:lang w:val="zh-CN"/>
        </w:rPr>
        <w:t>竞争性谈判响应文件</w:t>
      </w:r>
    </w:p>
    <w:p w14:paraId="5F9A5C2F">
      <w:pPr>
        <w:tabs>
          <w:tab w:val="left" w:pos="5670"/>
        </w:tabs>
        <w:autoSpaceDE w:val="0"/>
        <w:autoSpaceDN w:val="0"/>
        <w:adjustRightInd w:val="0"/>
        <w:snapToGrid w:val="0"/>
        <w:spacing w:line="360" w:lineRule="auto"/>
        <w:jc w:val="center"/>
        <w:rPr>
          <w:rFonts w:hint="eastAsia" w:ascii="宋体" w:hAnsi="宋体" w:cs="宋体"/>
          <w:b/>
          <w:bCs/>
          <w:sz w:val="52"/>
          <w:szCs w:val="52"/>
          <w:lang w:val="zh-CN"/>
        </w:rPr>
      </w:pPr>
    </w:p>
    <w:p w14:paraId="3FCF6631">
      <w:pPr>
        <w:spacing w:line="360" w:lineRule="auto"/>
        <w:rPr>
          <w:rFonts w:hint="eastAsia" w:ascii="宋体" w:hAnsi="宋体" w:cs="宋体"/>
          <w:b/>
          <w:sz w:val="28"/>
          <w:szCs w:val="28"/>
        </w:rPr>
      </w:pPr>
    </w:p>
    <w:p w14:paraId="12904DF4">
      <w:pPr>
        <w:spacing w:line="360" w:lineRule="auto"/>
        <w:ind w:firstLine="843" w:firstLineChars="300"/>
        <w:rPr>
          <w:rFonts w:hint="eastAsia" w:ascii="宋体" w:hAnsi="宋体" w:cs="宋体"/>
          <w:b/>
          <w:sz w:val="28"/>
          <w:szCs w:val="28"/>
          <w:u w:val="single"/>
        </w:rPr>
      </w:pPr>
      <w:r>
        <w:rPr>
          <w:rFonts w:hint="eastAsia" w:ascii="宋体" w:hAnsi="宋体" w:cs="宋体"/>
          <w:b/>
          <w:sz w:val="28"/>
          <w:szCs w:val="28"/>
        </w:rPr>
        <w:t>供    应     商：</w:t>
      </w:r>
      <w:r>
        <w:rPr>
          <w:rFonts w:hint="eastAsia" w:ascii="宋体" w:hAnsi="宋体" w:cs="宋体"/>
          <w:b/>
          <w:sz w:val="28"/>
          <w:szCs w:val="28"/>
          <w:u w:val="single"/>
        </w:rPr>
        <w:t xml:space="preserve">                （加盖单位章）</w:t>
      </w:r>
    </w:p>
    <w:p w14:paraId="450B4F8C">
      <w:pPr>
        <w:spacing w:line="360" w:lineRule="auto"/>
        <w:ind w:firstLine="843" w:firstLineChars="300"/>
        <w:rPr>
          <w:rFonts w:hint="eastAsia" w:ascii="宋体" w:hAnsi="宋体" w:cs="宋体"/>
          <w:b/>
          <w:sz w:val="28"/>
          <w:szCs w:val="28"/>
          <w:u w:val="single"/>
        </w:rPr>
      </w:pPr>
      <w:r>
        <w:rPr>
          <w:rFonts w:hint="eastAsia" w:ascii="宋体" w:hAnsi="宋体" w:cs="宋体"/>
          <w:b/>
          <w:sz w:val="28"/>
          <w:szCs w:val="28"/>
        </w:rPr>
        <w:t>法定代表人或其授权委托代理人：</w:t>
      </w:r>
      <w:r>
        <w:rPr>
          <w:rFonts w:hint="eastAsia" w:ascii="宋体" w:hAnsi="宋体" w:cs="宋体"/>
          <w:b/>
          <w:sz w:val="28"/>
          <w:szCs w:val="28"/>
          <w:u w:val="single"/>
        </w:rPr>
        <w:t xml:space="preserve">    （签字或盖章）</w:t>
      </w:r>
    </w:p>
    <w:p w14:paraId="5DF799C1">
      <w:pPr>
        <w:spacing w:line="360" w:lineRule="auto"/>
        <w:ind w:firstLine="843" w:firstLineChars="300"/>
        <w:rPr>
          <w:rFonts w:hint="eastAsia" w:ascii="宋体" w:hAnsi="宋体" w:cs="宋体"/>
          <w:sz w:val="24"/>
          <w:szCs w:val="24"/>
        </w:rPr>
      </w:pPr>
      <w:r>
        <w:rPr>
          <w:rFonts w:hint="eastAsia" w:ascii="宋体" w:hAnsi="宋体" w:cs="宋体"/>
          <w:b/>
          <w:sz w:val="28"/>
          <w:szCs w:val="28"/>
        </w:rPr>
        <w:t>日           期：</w:t>
      </w:r>
      <w:r>
        <w:rPr>
          <w:rFonts w:hint="eastAsia" w:ascii="宋体" w:hAnsi="宋体" w:cs="宋体"/>
          <w:b/>
          <w:sz w:val="28"/>
          <w:szCs w:val="28"/>
          <w:u w:val="single"/>
        </w:rPr>
        <w:t xml:space="preserve">         </w:t>
      </w:r>
      <w:r>
        <w:rPr>
          <w:rFonts w:hint="eastAsia" w:ascii="宋体" w:hAnsi="宋体" w:cs="宋体"/>
          <w:b/>
          <w:sz w:val="28"/>
          <w:szCs w:val="28"/>
        </w:rPr>
        <w:t>年</w:t>
      </w:r>
      <w:r>
        <w:rPr>
          <w:rFonts w:hint="eastAsia" w:ascii="宋体" w:hAnsi="宋体" w:cs="宋体"/>
          <w:b/>
          <w:sz w:val="28"/>
          <w:szCs w:val="28"/>
          <w:u w:val="single"/>
        </w:rPr>
        <w:t xml:space="preserve">     </w:t>
      </w:r>
      <w:r>
        <w:rPr>
          <w:rFonts w:hint="eastAsia" w:ascii="宋体" w:hAnsi="宋体" w:cs="宋体"/>
          <w:b/>
          <w:sz w:val="28"/>
          <w:szCs w:val="28"/>
        </w:rPr>
        <w:t>月</w:t>
      </w:r>
      <w:r>
        <w:rPr>
          <w:rFonts w:hint="eastAsia" w:ascii="宋体" w:hAnsi="宋体" w:cs="宋体"/>
          <w:b/>
          <w:sz w:val="28"/>
          <w:szCs w:val="28"/>
          <w:u w:val="single"/>
        </w:rPr>
        <w:t xml:space="preserve">     </w:t>
      </w:r>
      <w:r>
        <w:rPr>
          <w:rFonts w:hint="eastAsia" w:ascii="宋体" w:hAnsi="宋体" w:cs="宋体"/>
          <w:b/>
          <w:sz w:val="28"/>
          <w:szCs w:val="28"/>
        </w:rPr>
        <w:t>日</w:t>
      </w:r>
      <w:r>
        <w:rPr>
          <w:rFonts w:hint="eastAsia" w:ascii="宋体" w:hAnsi="宋体" w:cs="宋体"/>
          <w:sz w:val="24"/>
          <w:szCs w:val="24"/>
        </w:rPr>
        <w:br w:type="page"/>
      </w:r>
    </w:p>
    <w:p w14:paraId="7ED27087">
      <w:pPr>
        <w:pStyle w:val="10"/>
        <w:jc w:val="center"/>
        <w:rPr>
          <w:rFonts w:hint="eastAsia" w:ascii="宋体" w:hAnsi="宋体" w:cs="宋体"/>
          <w:b/>
          <w:bCs/>
          <w:sz w:val="42"/>
          <w:szCs w:val="42"/>
        </w:rPr>
      </w:pPr>
      <w:bookmarkStart w:id="59" w:name="_Toc10679"/>
      <w:r>
        <w:rPr>
          <w:rFonts w:hint="eastAsia" w:ascii="宋体" w:hAnsi="宋体" w:cs="宋体"/>
          <w:b/>
          <w:bCs/>
          <w:sz w:val="42"/>
          <w:szCs w:val="42"/>
          <w:lang w:val="zh-CN"/>
        </w:rPr>
        <w:t>目</w:t>
      </w:r>
      <w:r>
        <w:rPr>
          <w:rFonts w:hint="eastAsia" w:ascii="宋体" w:hAnsi="宋体" w:cs="宋体"/>
          <w:b/>
          <w:bCs/>
          <w:sz w:val="42"/>
          <w:szCs w:val="42"/>
        </w:rPr>
        <w:t xml:space="preserve">  </w:t>
      </w:r>
      <w:r>
        <w:rPr>
          <w:rFonts w:hint="eastAsia" w:ascii="宋体" w:hAnsi="宋体" w:cs="宋体"/>
          <w:b/>
          <w:bCs/>
          <w:sz w:val="42"/>
          <w:szCs w:val="42"/>
          <w:lang w:val="zh-CN"/>
        </w:rPr>
        <w:t>录</w:t>
      </w:r>
      <w:bookmarkEnd w:id="59"/>
    </w:p>
    <w:p w14:paraId="6A33EF10">
      <w:pPr>
        <w:autoSpaceDE w:val="0"/>
        <w:autoSpaceDN w:val="0"/>
        <w:adjustRightInd w:val="0"/>
        <w:snapToGrid w:val="0"/>
        <w:spacing w:line="360" w:lineRule="auto"/>
        <w:rPr>
          <w:rFonts w:hint="eastAsia" w:ascii="宋体" w:hAnsi="宋体" w:cs="宋体"/>
          <w:b/>
          <w:bCs/>
          <w:sz w:val="32"/>
          <w:szCs w:val="32"/>
        </w:rPr>
      </w:pPr>
    </w:p>
    <w:p w14:paraId="65673B1C">
      <w:pPr>
        <w:autoSpaceDE w:val="0"/>
        <w:autoSpaceDN w:val="0"/>
        <w:adjustRightInd w:val="0"/>
        <w:snapToGrid w:val="0"/>
        <w:spacing w:line="360" w:lineRule="auto"/>
        <w:rPr>
          <w:rFonts w:hint="eastAsia" w:ascii="宋体" w:hAnsi="宋体" w:cs="宋体"/>
          <w:b/>
          <w:bCs/>
          <w:sz w:val="32"/>
          <w:szCs w:val="32"/>
        </w:rPr>
      </w:pPr>
      <w:r>
        <w:rPr>
          <w:rFonts w:hint="eastAsia" w:ascii="宋体" w:hAnsi="宋体" w:cs="宋体"/>
          <w:b/>
          <w:bCs/>
          <w:sz w:val="32"/>
          <w:szCs w:val="32"/>
        </w:rPr>
        <w:t>一、谈判响应函</w:t>
      </w:r>
    </w:p>
    <w:p w14:paraId="44539C81">
      <w:pPr>
        <w:autoSpaceDE w:val="0"/>
        <w:autoSpaceDN w:val="0"/>
        <w:adjustRightInd w:val="0"/>
        <w:snapToGrid w:val="0"/>
        <w:spacing w:line="360" w:lineRule="auto"/>
        <w:rPr>
          <w:rFonts w:hint="eastAsia" w:ascii="宋体" w:hAnsi="宋体" w:cs="宋体"/>
          <w:b/>
          <w:bCs/>
          <w:sz w:val="32"/>
          <w:szCs w:val="32"/>
        </w:rPr>
      </w:pPr>
      <w:r>
        <w:rPr>
          <w:rFonts w:hint="eastAsia" w:ascii="宋体" w:hAnsi="宋体" w:cs="宋体"/>
          <w:b/>
          <w:bCs/>
          <w:sz w:val="32"/>
          <w:szCs w:val="32"/>
        </w:rPr>
        <w:t>二、第一次谈判报价表</w:t>
      </w:r>
    </w:p>
    <w:p w14:paraId="56A7D9F4">
      <w:pPr>
        <w:autoSpaceDE w:val="0"/>
        <w:autoSpaceDN w:val="0"/>
        <w:adjustRightInd w:val="0"/>
        <w:snapToGrid w:val="0"/>
        <w:spacing w:line="360" w:lineRule="auto"/>
        <w:rPr>
          <w:rFonts w:hint="eastAsia" w:ascii="宋体" w:hAnsi="宋体" w:cs="宋体"/>
          <w:b/>
          <w:bCs/>
          <w:sz w:val="32"/>
          <w:szCs w:val="32"/>
        </w:rPr>
      </w:pPr>
      <w:r>
        <w:rPr>
          <w:rFonts w:hint="eastAsia" w:ascii="宋体" w:hAnsi="宋体" w:cs="宋体"/>
          <w:b/>
          <w:bCs/>
          <w:sz w:val="32"/>
          <w:szCs w:val="32"/>
        </w:rPr>
        <w:t>三、法定代表人（单位负责人）身份证明或授权委托书</w:t>
      </w:r>
    </w:p>
    <w:p w14:paraId="00613E5C">
      <w:pPr>
        <w:autoSpaceDE w:val="0"/>
        <w:autoSpaceDN w:val="0"/>
        <w:adjustRightInd w:val="0"/>
        <w:snapToGrid w:val="0"/>
        <w:spacing w:line="360" w:lineRule="auto"/>
        <w:rPr>
          <w:rFonts w:hint="eastAsia" w:ascii="宋体" w:hAnsi="宋体" w:cs="宋体"/>
          <w:b/>
          <w:bCs/>
          <w:sz w:val="32"/>
          <w:szCs w:val="32"/>
        </w:rPr>
      </w:pPr>
      <w:r>
        <w:rPr>
          <w:rFonts w:hint="eastAsia" w:ascii="宋体" w:hAnsi="宋体" w:cs="宋体"/>
          <w:b/>
          <w:bCs/>
          <w:sz w:val="32"/>
          <w:szCs w:val="32"/>
        </w:rPr>
        <w:t>四、资格审查资料</w:t>
      </w:r>
    </w:p>
    <w:p w14:paraId="2DA2054C">
      <w:pPr>
        <w:autoSpaceDE w:val="0"/>
        <w:autoSpaceDN w:val="0"/>
        <w:adjustRightInd w:val="0"/>
        <w:snapToGrid w:val="0"/>
        <w:spacing w:line="360" w:lineRule="auto"/>
        <w:rPr>
          <w:rFonts w:hint="eastAsia" w:ascii="宋体" w:hAnsi="宋体" w:cs="宋体"/>
          <w:b/>
          <w:bCs/>
          <w:sz w:val="32"/>
          <w:szCs w:val="32"/>
        </w:rPr>
      </w:pPr>
      <w:r>
        <w:rPr>
          <w:rFonts w:hint="eastAsia" w:ascii="宋体" w:hAnsi="宋体" w:cs="宋体"/>
          <w:b/>
          <w:bCs/>
          <w:sz w:val="32"/>
          <w:szCs w:val="32"/>
        </w:rPr>
        <w:t>五、供应商认为需要提供的其他资料</w:t>
      </w:r>
    </w:p>
    <w:p w14:paraId="3BB1FF17">
      <w:pPr>
        <w:autoSpaceDE w:val="0"/>
        <w:autoSpaceDN w:val="0"/>
        <w:adjustRightInd w:val="0"/>
        <w:spacing w:line="360" w:lineRule="auto"/>
        <w:rPr>
          <w:rFonts w:hint="eastAsia" w:ascii="宋体" w:hAnsi="宋体" w:cs="宋体"/>
          <w:sz w:val="30"/>
          <w:szCs w:val="30"/>
        </w:rPr>
      </w:pPr>
    </w:p>
    <w:p w14:paraId="3693EC59">
      <w:pPr>
        <w:rPr>
          <w:rFonts w:hint="eastAsia" w:ascii="宋体" w:hAnsi="宋体" w:cs="宋体"/>
        </w:rPr>
      </w:pPr>
      <w:r>
        <w:rPr>
          <w:rFonts w:hint="eastAsia" w:ascii="宋体" w:hAnsi="宋体" w:cs="宋体"/>
        </w:rPr>
        <w:br w:type="page"/>
      </w:r>
    </w:p>
    <w:p w14:paraId="63DEE7C0">
      <w:pPr>
        <w:pStyle w:val="3"/>
        <w:jc w:val="center"/>
        <w:rPr>
          <w:rFonts w:hint="eastAsia" w:ascii="宋体" w:hAnsi="宋体" w:eastAsia="宋体" w:cs="宋体"/>
          <w:b/>
          <w:sz w:val="32"/>
          <w:szCs w:val="32"/>
        </w:rPr>
      </w:pPr>
      <w:bookmarkStart w:id="60" w:name="_Toc520468911"/>
      <w:bookmarkStart w:id="61" w:name="_Toc15486"/>
      <w:bookmarkStart w:id="62" w:name="_Toc22533"/>
      <w:bookmarkStart w:id="63" w:name="_Toc27680"/>
      <w:bookmarkStart w:id="64" w:name="_Toc493"/>
      <w:bookmarkStart w:id="65" w:name="_Toc12763"/>
      <w:r>
        <w:rPr>
          <w:rFonts w:hint="eastAsia" w:ascii="宋体" w:hAnsi="宋体" w:eastAsia="宋体" w:cs="宋体"/>
          <w:b/>
          <w:sz w:val="32"/>
          <w:szCs w:val="32"/>
          <w:lang w:val="zh-CN"/>
        </w:rPr>
        <w:t>一、</w:t>
      </w:r>
      <w:r>
        <w:rPr>
          <w:rFonts w:hint="eastAsia" w:ascii="宋体" w:hAnsi="宋体" w:eastAsia="宋体" w:cs="宋体"/>
          <w:b/>
          <w:sz w:val="32"/>
          <w:szCs w:val="32"/>
        </w:rPr>
        <w:t>谈判</w:t>
      </w:r>
      <w:r>
        <w:rPr>
          <w:rFonts w:hint="eastAsia" w:ascii="宋体" w:hAnsi="宋体" w:eastAsia="宋体" w:cs="宋体"/>
          <w:b/>
          <w:sz w:val="32"/>
          <w:szCs w:val="32"/>
          <w:lang w:val="zh-CN"/>
        </w:rPr>
        <w:t>响应函</w:t>
      </w:r>
      <w:bookmarkEnd w:id="60"/>
      <w:bookmarkEnd w:id="61"/>
      <w:bookmarkEnd w:id="62"/>
      <w:bookmarkEnd w:id="63"/>
      <w:bookmarkEnd w:id="64"/>
      <w:bookmarkEnd w:id="65"/>
    </w:p>
    <w:p w14:paraId="796D8D49">
      <w:pPr>
        <w:spacing w:line="360" w:lineRule="auto"/>
        <w:rPr>
          <w:rFonts w:hint="eastAsia" w:ascii="宋体" w:hAnsi="宋体" w:cs="宋体"/>
          <w:b/>
          <w:sz w:val="24"/>
          <w:szCs w:val="24"/>
          <w:u w:val="single"/>
        </w:rPr>
      </w:pPr>
      <w:bookmarkStart w:id="66" w:name="_Toc232673691"/>
      <w:bookmarkStart w:id="67" w:name="_Toc11309"/>
      <w:bookmarkStart w:id="68" w:name="_Toc31961"/>
      <w:bookmarkStart w:id="69" w:name="_Toc27843"/>
      <w:bookmarkStart w:id="70" w:name="_Toc520468912"/>
      <w:bookmarkStart w:id="71" w:name="_Toc24275"/>
      <w:bookmarkStart w:id="72" w:name="_Toc29160"/>
      <w:r>
        <w:rPr>
          <w:rFonts w:hint="eastAsia" w:ascii="宋体" w:hAnsi="宋体" w:cs="宋体"/>
          <w:b/>
          <w:sz w:val="24"/>
          <w:szCs w:val="24"/>
        </w:rPr>
        <w:t>致：</w:t>
      </w:r>
      <w:r>
        <w:rPr>
          <w:rFonts w:hint="eastAsia" w:ascii="宋体" w:hAnsi="宋体" w:cs="宋体"/>
          <w:b/>
          <w:sz w:val="24"/>
          <w:szCs w:val="24"/>
          <w:u w:val="single"/>
        </w:rPr>
        <w:t>（采购人名称）</w:t>
      </w:r>
    </w:p>
    <w:p w14:paraId="7AD20FDE">
      <w:pPr>
        <w:spacing w:line="360" w:lineRule="auto"/>
        <w:ind w:firstLine="480" w:firstLineChars="200"/>
        <w:rPr>
          <w:rFonts w:hint="eastAsia" w:ascii="宋体" w:hAnsi="宋体" w:cs="宋体"/>
          <w:sz w:val="24"/>
          <w:szCs w:val="24"/>
        </w:rPr>
      </w:pPr>
      <w:r>
        <w:rPr>
          <w:rFonts w:hint="eastAsia" w:ascii="宋体" w:hAnsi="宋体" w:cs="宋体"/>
          <w:sz w:val="24"/>
          <w:szCs w:val="24"/>
        </w:rPr>
        <w:t>1．我方已仔细研究了</w:t>
      </w:r>
      <w:r>
        <w:rPr>
          <w:rFonts w:hint="eastAsia" w:ascii="宋体" w:hAnsi="宋体" w:cs="宋体"/>
          <w:sz w:val="24"/>
          <w:szCs w:val="24"/>
          <w:u w:val="single"/>
        </w:rPr>
        <w:t>（项目名称）、（项目编号）</w:t>
      </w:r>
      <w:r>
        <w:rPr>
          <w:rFonts w:hint="eastAsia" w:ascii="宋体" w:hAnsi="宋体" w:cs="宋体"/>
          <w:sz w:val="24"/>
          <w:szCs w:val="24"/>
        </w:rPr>
        <w:t>竞争性谈判文件的全部内容，我方针对本项目第一次响应总报价大写：</w:t>
      </w:r>
      <w:r>
        <w:rPr>
          <w:rFonts w:hint="eastAsia" w:ascii="宋体" w:hAnsi="宋体" w:cs="宋体"/>
          <w:sz w:val="24"/>
          <w:szCs w:val="24"/>
          <w:u w:val="single"/>
        </w:rPr>
        <w:t xml:space="preserve">      （小写：¥     ），</w:t>
      </w:r>
      <w:r>
        <w:rPr>
          <w:rFonts w:hint="eastAsia" w:ascii="宋体" w:hAnsi="宋体" w:cs="宋体"/>
          <w:sz w:val="24"/>
          <w:szCs w:val="24"/>
        </w:rPr>
        <w:t>交货期限为</w:t>
      </w:r>
      <w:r>
        <w:rPr>
          <w:rFonts w:hint="eastAsia" w:ascii="宋体" w:hAnsi="宋体" w:cs="宋体"/>
          <w:sz w:val="24"/>
          <w:szCs w:val="24"/>
          <w:u w:val="single"/>
        </w:rPr>
        <w:t xml:space="preserve">        ，</w:t>
      </w:r>
      <w:r>
        <w:rPr>
          <w:rFonts w:hint="eastAsia" w:ascii="宋体" w:hAnsi="宋体" w:cs="宋体"/>
          <w:sz w:val="24"/>
          <w:szCs w:val="24"/>
          <w:u w:val="none"/>
          <w:lang w:val="en-US" w:eastAsia="zh-CN"/>
        </w:rPr>
        <w:t>质保期：</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 xml:space="preserve"> ，</w:t>
      </w:r>
      <w:r>
        <w:rPr>
          <w:rFonts w:hint="eastAsia" w:ascii="宋体" w:hAnsi="宋体" w:cs="宋体"/>
          <w:sz w:val="24"/>
          <w:szCs w:val="24"/>
        </w:rPr>
        <w:t>服务地点是否响应竞争性谈判文件要求：（</w:t>
      </w:r>
      <w:r>
        <w:rPr>
          <w:rFonts w:hint="eastAsia" w:ascii="宋体" w:hAnsi="宋体" w:cs="宋体"/>
          <w:sz w:val="24"/>
          <w:szCs w:val="24"/>
        </w:rPr>
        <w:sym w:font="Wingdings" w:char="00A8"/>
      </w:r>
      <w:r>
        <w:rPr>
          <w:rFonts w:hint="eastAsia" w:ascii="宋体" w:hAnsi="宋体" w:cs="宋体"/>
          <w:sz w:val="24"/>
          <w:szCs w:val="24"/>
        </w:rPr>
        <w:t>是/</w:t>
      </w:r>
      <w:r>
        <w:rPr>
          <w:rFonts w:hint="eastAsia" w:ascii="宋体" w:hAnsi="宋体" w:cs="宋体"/>
          <w:sz w:val="24"/>
          <w:szCs w:val="24"/>
        </w:rPr>
        <w:sym w:font="Wingdings" w:char="00A8"/>
      </w:r>
      <w:r>
        <w:rPr>
          <w:rFonts w:hint="eastAsia" w:ascii="宋体" w:hAnsi="宋体" w:cs="宋体"/>
          <w:sz w:val="24"/>
          <w:szCs w:val="24"/>
        </w:rPr>
        <w:t>否），我方承诺成交后按合同约定履行义务。</w:t>
      </w:r>
    </w:p>
    <w:p w14:paraId="67B7BCA5">
      <w:pPr>
        <w:spacing w:line="360" w:lineRule="auto"/>
        <w:ind w:firstLine="480" w:firstLineChars="200"/>
        <w:rPr>
          <w:rFonts w:hint="eastAsia" w:ascii="宋体" w:hAnsi="宋体" w:cs="宋体"/>
          <w:sz w:val="24"/>
          <w:szCs w:val="24"/>
        </w:rPr>
      </w:pPr>
      <w:r>
        <w:rPr>
          <w:rFonts w:hint="eastAsia" w:ascii="宋体" w:hAnsi="宋体" w:cs="宋体"/>
          <w:sz w:val="24"/>
          <w:szCs w:val="24"/>
        </w:rPr>
        <w:t>2．我方承诺除商务和技术偏差表列出的偏差外，我方响应竞争性谈判文件的全部要求。</w:t>
      </w:r>
    </w:p>
    <w:p w14:paraId="0ECCEFAB">
      <w:pPr>
        <w:spacing w:line="360" w:lineRule="auto"/>
        <w:ind w:firstLine="480" w:firstLineChars="200"/>
        <w:rPr>
          <w:rFonts w:hint="eastAsia" w:ascii="宋体" w:hAnsi="宋体" w:cs="宋体"/>
          <w:sz w:val="24"/>
          <w:szCs w:val="24"/>
        </w:rPr>
      </w:pPr>
      <w:r>
        <w:rPr>
          <w:rFonts w:hint="eastAsia" w:ascii="宋体" w:hAnsi="宋体" w:cs="宋体"/>
          <w:sz w:val="24"/>
          <w:szCs w:val="24"/>
        </w:rPr>
        <w:t>3．我方承诺在竞争性谈判文件规定的响应有效期内不撤销响应文件。</w:t>
      </w:r>
    </w:p>
    <w:p w14:paraId="671331E9">
      <w:pPr>
        <w:spacing w:line="360" w:lineRule="auto"/>
        <w:ind w:firstLine="480" w:firstLineChars="200"/>
        <w:rPr>
          <w:rFonts w:hint="eastAsia" w:ascii="宋体" w:hAnsi="宋体" w:cs="宋体"/>
          <w:sz w:val="24"/>
          <w:szCs w:val="24"/>
        </w:rPr>
      </w:pPr>
      <w:r>
        <w:rPr>
          <w:rFonts w:hint="eastAsia" w:ascii="宋体" w:hAnsi="宋体" w:cs="宋体"/>
          <w:sz w:val="24"/>
          <w:szCs w:val="24"/>
        </w:rPr>
        <w:t>4．如我方成交，我方承诺：</w:t>
      </w:r>
    </w:p>
    <w:p w14:paraId="666E99B9">
      <w:pPr>
        <w:spacing w:line="360" w:lineRule="auto"/>
        <w:ind w:firstLine="480" w:firstLineChars="200"/>
        <w:rPr>
          <w:rFonts w:hint="eastAsia" w:ascii="宋体" w:hAnsi="宋体" w:cs="宋体"/>
          <w:sz w:val="24"/>
          <w:szCs w:val="24"/>
        </w:rPr>
      </w:pPr>
      <w:r>
        <w:rPr>
          <w:rFonts w:hint="eastAsia" w:ascii="宋体" w:hAnsi="宋体" w:cs="宋体"/>
          <w:sz w:val="24"/>
          <w:szCs w:val="24"/>
        </w:rPr>
        <w:t>（1）在收到成交通知书后，在成交通知书规定的期限内与你方签订合同；</w:t>
      </w:r>
    </w:p>
    <w:p w14:paraId="3C0C457E">
      <w:pPr>
        <w:spacing w:line="360" w:lineRule="auto"/>
        <w:ind w:firstLine="480" w:firstLineChars="200"/>
        <w:rPr>
          <w:rFonts w:hint="eastAsia" w:ascii="宋体" w:hAnsi="宋体" w:cs="宋体"/>
          <w:sz w:val="24"/>
          <w:szCs w:val="24"/>
        </w:rPr>
      </w:pPr>
      <w:r>
        <w:rPr>
          <w:rFonts w:hint="eastAsia" w:ascii="宋体" w:hAnsi="宋体" w:cs="宋体"/>
          <w:sz w:val="24"/>
          <w:szCs w:val="24"/>
        </w:rPr>
        <w:t>（2）在签订合同时不向你方提出附加条件；</w:t>
      </w:r>
    </w:p>
    <w:p w14:paraId="3DD2D335">
      <w:pPr>
        <w:spacing w:line="360" w:lineRule="auto"/>
        <w:ind w:firstLine="480" w:firstLineChars="200"/>
        <w:rPr>
          <w:rFonts w:hint="eastAsia" w:ascii="宋体" w:hAnsi="宋体" w:cs="宋体"/>
          <w:sz w:val="24"/>
          <w:szCs w:val="24"/>
        </w:rPr>
      </w:pPr>
      <w:r>
        <w:rPr>
          <w:rFonts w:hint="eastAsia" w:ascii="宋体" w:hAnsi="宋体" w:cs="宋体"/>
          <w:sz w:val="24"/>
          <w:szCs w:val="24"/>
        </w:rPr>
        <w:t>（3）按照竞争性谈判文件要求提交履约保证金；</w:t>
      </w:r>
    </w:p>
    <w:p w14:paraId="5BFD6953">
      <w:pPr>
        <w:spacing w:line="360" w:lineRule="auto"/>
        <w:ind w:firstLine="480" w:firstLineChars="200"/>
        <w:rPr>
          <w:rFonts w:hint="eastAsia" w:ascii="宋体" w:hAnsi="宋体" w:cs="宋体"/>
          <w:sz w:val="24"/>
          <w:szCs w:val="24"/>
        </w:rPr>
      </w:pPr>
      <w:r>
        <w:rPr>
          <w:rFonts w:hint="eastAsia" w:ascii="宋体" w:hAnsi="宋体" w:cs="宋体"/>
          <w:sz w:val="24"/>
          <w:szCs w:val="24"/>
        </w:rPr>
        <w:t>（4）在合同约定的期限内完成合同规定的全部义务。</w:t>
      </w:r>
    </w:p>
    <w:p w14:paraId="23BE8386">
      <w:pPr>
        <w:spacing w:line="360" w:lineRule="auto"/>
        <w:ind w:firstLine="480" w:firstLineChars="200"/>
        <w:rPr>
          <w:rFonts w:hint="eastAsia" w:ascii="宋体" w:hAnsi="宋体" w:cs="宋体"/>
          <w:sz w:val="24"/>
          <w:szCs w:val="24"/>
        </w:rPr>
      </w:pPr>
      <w:r>
        <w:rPr>
          <w:rFonts w:hint="eastAsia" w:ascii="宋体" w:hAnsi="宋体" w:cs="宋体"/>
          <w:sz w:val="24"/>
          <w:szCs w:val="24"/>
        </w:rPr>
        <w:t>5．我方在此声明，所递交的响应文件及有关资料内容完整、真实和准确，且不存在第二章“供应商须知”正文第 1.4.3 项规定的任何一种情形。</w:t>
      </w:r>
    </w:p>
    <w:p w14:paraId="5EC87482">
      <w:pPr>
        <w:spacing w:line="360" w:lineRule="auto"/>
        <w:ind w:firstLine="480" w:firstLineChars="200"/>
        <w:rPr>
          <w:rFonts w:hint="eastAsia" w:ascii="宋体" w:hAnsi="宋体" w:cs="宋体"/>
          <w:sz w:val="24"/>
          <w:szCs w:val="24"/>
        </w:rPr>
      </w:pPr>
      <w:bookmarkStart w:id="73" w:name="_Hlk508375245"/>
      <w:r>
        <w:rPr>
          <w:rFonts w:hint="eastAsia" w:ascii="宋体" w:hAnsi="宋体" w:cs="宋体"/>
          <w:sz w:val="24"/>
          <w:szCs w:val="24"/>
        </w:rPr>
        <w:t>6．响应有效期为：自谈判之日起</w:t>
      </w:r>
      <w:r>
        <w:rPr>
          <w:rFonts w:hint="eastAsia" w:ascii="宋体" w:hAnsi="宋体" w:cs="宋体"/>
          <w:sz w:val="24"/>
          <w:szCs w:val="24"/>
          <w:u w:val="single"/>
        </w:rPr>
        <w:t>九十</w:t>
      </w:r>
      <w:r>
        <w:rPr>
          <w:rFonts w:hint="eastAsia" w:ascii="宋体" w:hAnsi="宋体" w:cs="宋体"/>
          <w:sz w:val="24"/>
          <w:szCs w:val="24"/>
        </w:rPr>
        <w:t>个日历天。</w:t>
      </w:r>
    </w:p>
    <w:bookmarkEnd w:id="73"/>
    <w:p w14:paraId="4B2A8E58">
      <w:pPr>
        <w:spacing w:line="360" w:lineRule="auto"/>
        <w:ind w:firstLine="480" w:firstLineChars="200"/>
        <w:rPr>
          <w:rFonts w:hint="eastAsia" w:ascii="宋体" w:hAnsi="宋体" w:cs="宋体"/>
          <w:sz w:val="24"/>
          <w:szCs w:val="24"/>
        </w:rPr>
      </w:pPr>
      <w:r>
        <w:rPr>
          <w:rFonts w:hint="eastAsia" w:ascii="宋体" w:hAnsi="宋体" w:cs="宋体"/>
          <w:sz w:val="24"/>
          <w:szCs w:val="24"/>
        </w:rPr>
        <w:t>7．</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（其他补充说明）。</w:t>
      </w:r>
    </w:p>
    <w:p w14:paraId="3AA3AE1F">
      <w:pPr>
        <w:spacing w:line="360" w:lineRule="auto"/>
        <w:ind w:firstLine="645"/>
        <w:rPr>
          <w:rFonts w:hint="eastAsia" w:ascii="宋体" w:hAnsi="宋体" w:cs="宋体"/>
          <w:sz w:val="24"/>
          <w:szCs w:val="24"/>
        </w:rPr>
      </w:pPr>
      <w:r>
        <w:rPr>
          <w:rFonts w:hint="eastAsia" w:ascii="宋体" w:hAnsi="宋体" w:cs="宋体"/>
          <w:sz w:val="24"/>
          <w:szCs w:val="24"/>
        </w:rPr>
        <w:t>供应商名称（单位公章）：</w:t>
      </w:r>
    </w:p>
    <w:p w14:paraId="345BA12C">
      <w:pPr>
        <w:spacing w:line="360" w:lineRule="auto"/>
        <w:ind w:firstLine="645"/>
        <w:rPr>
          <w:rFonts w:hint="eastAsia" w:ascii="宋体" w:hAnsi="宋体" w:cs="宋体"/>
          <w:sz w:val="24"/>
          <w:szCs w:val="24"/>
        </w:rPr>
      </w:pPr>
      <w:r>
        <w:rPr>
          <w:rFonts w:hint="eastAsia" w:ascii="宋体" w:hAnsi="宋体" w:cs="宋体"/>
          <w:sz w:val="24"/>
          <w:szCs w:val="24"/>
        </w:rPr>
        <w:t>法定代表人（单位负责人）或委托代理人（签字或盖章）：</w:t>
      </w:r>
    </w:p>
    <w:p w14:paraId="3A42DA85">
      <w:pPr>
        <w:spacing w:line="360" w:lineRule="auto"/>
        <w:ind w:firstLine="645"/>
        <w:rPr>
          <w:rFonts w:hint="eastAsia" w:ascii="宋体" w:hAnsi="宋体" w:cs="宋体"/>
          <w:sz w:val="24"/>
          <w:szCs w:val="24"/>
        </w:rPr>
      </w:pPr>
      <w:r>
        <w:rPr>
          <w:rFonts w:hint="eastAsia" w:ascii="宋体" w:hAnsi="宋体" w:cs="宋体"/>
          <w:sz w:val="24"/>
          <w:szCs w:val="24"/>
        </w:rPr>
        <w:t xml:space="preserve">地  址：                            </w:t>
      </w:r>
    </w:p>
    <w:p w14:paraId="31C5E95F">
      <w:pPr>
        <w:spacing w:line="360" w:lineRule="auto"/>
        <w:ind w:firstLine="645"/>
        <w:rPr>
          <w:rFonts w:hint="eastAsia" w:ascii="宋体" w:hAnsi="宋体" w:cs="宋体"/>
          <w:sz w:val="24"/>
          <w:szCs w:val="24"/>
        </w:rPr>
      </w:pPr>
      <w:r>
        <w:rPr>
          <w:rFonts w:hint="eastAsia" w:ascii="宋体" w:hAnsi="宋体" w:cs="宋体"/>
          <w:sz w:val="24"/>
          <w:szCs w:val="24"/>
        </w:rPr>
        <w:t>电  话：</w:t>
      </w:r>
    </w:p>
    <w:p w14:paraId="1096BF2D">
      <w:pPr>
        <w:spacing w:line="360" w:lineRule="auto"/>
        <w:ind w:firstLine="645"/>
        <w:rPr>
          <w:rFonts w:hint="eastAsia" w:ascii="宋体" w:hAnsi="宋体" w:cs="宋体"/>
          <w:sz w:val="24"/>
          <w:szCs w:val="24"/>
        </w:rPr>
      </w:pPr>
      <w:r>
        <w:rPr>
          <w:rFonts w:hint="eastAsia" w:ascii="宋体" w:hAnsi="宋体" w:cs="宋体"/>
          <w:sz w:val="24"/>
          <w:szCs w:val="24"/>
        </w:rPr>
        <w:t xml:space="preserve">邮  编：                            </w:t>
      </w:r>
    </w:p>
    <w:p w14:paraId="0230D6C7">
      <w:pPr>
        <w:spacing w:line="360" w:lineRule="auto"/>
        <w:ind w:firstLine="645"/>
        <w:rPr>
          <w:rFonts w:hint="eastAsia" w:ascii="宋体" w:hAnsi="宋体" w:cs="宋体"/>
          <w:sz w:val="24"/>
          <w:szCs w:val="24"/>
        </w:rPr>
      </w:pPr>
      <w:r>
        <w:rPr>
          <w:rFonts w:hint="eastAsia" w:ascii="宋体" w:hAnsi="宋体" w:cs="宋体"/>
          <w:sz w:val="24"/>
          <w:szCs w:val="24"/>
        </w:rPr>
        <w:t>传  真：</w:t>
      </w:r>
    </w:p>
    <w:p w14:paraId="26AC30F7">
      <w:pPr>
        <w:spacing w:line="360" w:lineRule="auto"/>
        <w:ind w:right="420" w:firstLine="5056" w:firstLineChars="2107"/>
        <w:rPr>
          <w:rFonts w:hint="eastAsia" w:ascii="宋体" w:hAnsi="宋体" w:cs="宋体"/>
          <w:sz w:val="24"/>
          <w:szCs w:val="24"/>
        </w:rPr>
      </w:pPr>
    </w:p>
    <w:p w14:paraId="36DF2EB4">
      <w:pPr>
        <w:spacing w:line="360" w:lineRule="auto"/>
        <w:ind w:right="420" w:firstLine="5056" w:firstLineChars="2107"/>
        <w:rPr>
          <w:rFonts w:hint="eastAsia" w:ascii="宋体" w:hAnsi="宋体" w:cs="宋体"/>
          <w:sz w:val="24"/>
          <w:szCs w:val="24"/>
        </w:rPr>
      </w:pPr>
      <w:r>
        <w:rPr>
          <w:rFonts w:hint="eastAsia" w:ascii="宋体" w:hAnsi="宋体" w:cs="宋体"/>
          <w:sz w:val="24"/>
          <w:szCs w:val="24"/>
        </w:rPr>
        <w:t>年   月    日</w:t>
      </w:r>
    </w:p>
    <w:bookmarkEnd w:id="66"/>
    <w:p w14:paraId="2B0F77FF">
      <w:pPr>
        <w:adjustRightInd w:val="0"/>
        <w:snapToGrid w:val="0"/>
        <w:spacing w:line="360" w:lineRule="auto"/>
        <w:ind w:firstLine="422" w:firstLineChars="200"/>
        <w:rPr>
          <w:rFonts w:hint="eastAsia" w:ascii="宋体" w:hAnsi="宋体" w:cs="宋体"/>
          <w:bCs/>
          <w:sz w:val="28"/>
          <w:szCs w:val="22"/>
          <w:lang w:val="zh-CN"/>
        </w:rPr>
      </w:pPr>
      <w:r>
        <w:rPr>
          <w:rFonts w:hint="eastAsia" w:ascii="宋体" w:hAnsi="宋体" w:cs="宋体"/>
          <w:b/>
          <w:lang w:val="zh-CN"/>
        </w:rPr>
        <w:br w:type="page"/>
      </w:r>
      <w:bookmarkEnd w:id="67"/>
      <w:bookmarkEnd w:id="68"/>
      <w:bookmarkEnd w:id="69"/>
      <w:bookmarkEnd w:id="70"/>
      <w:bookmarkEnd w:id="71"/>
      <w:bookmarkEnd w:id="72"/>
    </w:p>
    <w:p w14:paraId="0B7B4BDB">
      <w:pPr>
        <w:jc w:val="center"/>
        <w:outlineLvl w:val="1"/>
        <w:rPr>
          <w:rFonts w:hint="eastAsia" w:ascii="宋体" w:hAnsi="宋体" w:cs="宋体"/>
          <w:b/>
          <w:sz w:val="32"/>
          <w:szCs w:val="32"/>
          <w:lang w:val="zh-CN"/>
        </w:rPr>
      </w:pPr>
      <w:bookmarkStart w:id="74" w:name="_Toc13585"/>
      <w:r>
        <w:rPr>
          <w:rFonts w:hint="eastAsia" w:ascii="宋体" w:hAnsi="宋体" w:cs="宋体"/>
          <w:b/>
          <w:sz w:val="32"/>
          <w:szCs w:val="32"/>
        </w:rPr>
        <w:t>二、</w:t>
      </w:r>
      <w:r>
        <w:rPr>
          <w:rFonts w:hint="eastAsia" w:ascii="宋体" w:hAnsi="宋体" w:cs="宋体"/>
          <w:b/>
          <w:sz w:val="32"/>
          <w:szCs w:val="32"/>
          <w:lang w:val="zh-CN"/>
        </w:rPr>
        <w:t>第一次谈判报价表</w:t>
      </w:r>
    </w:p>
    <w:p w14:paraId="1419B859">
      <w:pPr>
        <w:adjustRightInd w:val="0"/>
        <w:snapToGrid w:val="0"/>
        <w:spacing w:line="360" w:lineRule="auto"/>
        <w:jc w:val="center"/>
        <w:rPr>
          <w:rFonts w:hint="eastAsia" w:ascii="宋体" w:hAnsi="宋体" w:cs="宋体"/>
          <w:b/>
          <w:bCs/>
          <w:sz w:val="24"/>
          <w:szCs w:val="24"/>
        </w:rPr>
      </w:pPr>
    </w:p>
    <w:p w14:paraId="39C1F31E">
      <w:pPr>
        <w:adjustRightInd w:val="0"/>
        <w:snapToGrid w:val="0"/>
        <w:spacing w:line="360" w:lineRule="auto"/>
        <w:jc w:val="center"/>
        <w:rPr>
          <w:rFonts w:hint="eastAsia" w:ascii="宋体" w:hAnsi="宋体" w:cs="宋体"/>
          <w:b/>
          <w:bCs/>
          <w:sz w:val="24"/>
          <w:szCs w:val="24"/>
        </w:rPr>
      </w:pPr>
      <w:bookmarkStart w:id="75" w:name="OLE_LINK2"/>
      <w:r>
        <w:rPr>
          <w:rFonts w:hint="eastAsia" w:ascii="宋体" w:hAnsi="宋体" w:cs="宋体"/>
          <w:b/>
          <w:bCs/>
          <w:sz w:val="24"/>
          <w:szCs w:val="24"/>
        </w:rPr>
        <w:t>第一次谈判报价表</w:t>
      </w:r>
    </w:p>
    <w:tbl>
      <w:tblPr>
        <w:tblStyle w:val="28"/>
        <w:tblW w:w="10211" w:type="dxa"/>
        <w:jc w:val="center"/>
        <w:tblLayout w:type="fixed"/>
        <w:tblCellMar>
          <w:top w:w="0" w:type="dxa"/>
          <w:left w:w="108" w:type="dxa"/>
          <w:bottom w:w="0" w:type="dxa"/>
          <w:right w:w="108" w:type="dxa"/>
        </w:tblCellMar>
      </w:tblPr>
      <w:tblGrid>
        <w:gridCol w:w="2775"/>
        <w:gridCol w:w="2175"/>
        <w:gridCol w:w="1649"/>
        <w:gridCol w:w="1384"/>
        <w:gridCol w:w="1114"/>
        <w:gridCol w:w="1114"/>
      </w:tblGrid>
      <w:tr w14:paraId="654ACAE8">
        <w:tblPrEx>
          <w:tblCellMar>
            <w:top w:w="0" w:type="dxa"/>
            <w:left w:w="108" w:type="dxa"/>
            <w:bottom w:w="0" w:type="dxa"/>
            <w:right w:w="108" w:type="dxa"/>
          </w:tblCellMar>
        </w:tblPrEx>
        <w:trPr>
          <w:trHeight w:val="1398" w:hRule="atLeast"/>
          <w:jc w:val="center"/>
        </w:trPr>
        <w:tc>
          <w:tcPr>
            <w:tcW w:w="2775" w:type="dxa"/>
            <w:tcBorders>
              <w:top w:val="single" w:color="auto" w:sz="6" w:space="0"/>
              <w:left w:val="single" w:color="auto" w:sz="6" w:space="0"/>
              <w:bottom w:val="single" w:color="auto" w:sz="6" w:space="0"/>
              <w:right w:val="single" w:color="auto" w:sz="6" w:space="0"/>
              <w:tl2br w:val="single" w:color="auto" w:sz="6" w:space="0"/>
            </w:tcBorders>
          </w:tcPr>
          <w:p w14:paraId="609895FF">
            <w:pPr>
              <w:autoSpaceDE w:val="0"/>
              <w:autoSpaceDN w:val="0"/>
              <w:adjustRightInd w:val="0"/>
              <w:snapToGrid w:val="0"/>
              <w:spacing w:line="360" w:lineRule="auto"/>
              <w:jc w:val="right"/>
              <w:rPr>
                <w:rFonts w:hint="eastAsia" w:ascii="宋体" w:hAnsi="宋体" w:cs="宋体"/>
                <w:sz w:val="24"/>
                <w:szCs w:val="24"/>
              </w:rPr>
            </w:pPr>
            <w:r>
              <w:rPr>
                <w:rFonts w:hint="eastAsia" w:ascii="宋体" w:hAnsi="宋体" w:cs="宋体"/>
                <w:sz w:val="24"/>
                <w:szCs w:val="24"/>
                <w:lang w:val="zh-CN"/>
              </w:rPr>
              <w:t>报价内容</w:t>
            </w:r>
          </w:p>
          <w:p w14:paraId="58BF3825">
            <w:pPr>
              <w:autoSpaceDE w:val="0"/>
              <w:autoSpaceDN w:val="0"/>
              <w:adjustRightInd w:val="0"/>
              <w:snapToGrid w:val="0"/>
              <w:spacing w:line="360" w:lineRule="auto"/>
              <w:ind w:left="-1" w:hanging="419"/>
              <w:rPr>
                <w:rFonts w:hint="eastAsia" w:ascii="宋体" w:hAnsi="宋体" w:cs="宋体"/>
                <w:sz w:val="24"/>
                <w:szCs w:val="24"/>
              </w:rPr>
            </w:pPr>
          </w:p>
          <w:p w14:paraId="3AD9BB7C">
            <w:pPr>
              <w:autoSpaceDE w:val="0"/>
              <w:autoSpaceDN w:val="0"/>
              <w:adjustRightInd w:val="0"/>
              <w:snapToGrid w:val="0"/>
              <w:spacing w:line="360" w:lineRule="auto"/>
              <w:rPr>
                <w:rFonts w:hint="eastAsia" w:ascii="宋体" w:hAnsi="宋体" w:cs="宋体"/>
                <w:sz w:val="24"/>
                <w:szCs w:val="24"/>
              </w:rPr>
            </w:pPr>
            <w:r>
              <w:rPr>
                <w:rFonts w:hint="eastAsia" w:ascii="宋体" w:hAnsi="宋体" w:cs="宋体"/>
                <w:sz w:val="24"/>
                <w:szCs w:val="24"/>
              </w:rPr>
              <w:t>项目名称</w:t>
            </w:r>
          </w:p>
        </w:tc>
        <w:tc>
          <w:tcPr>
            <w:tcW w:w="2175" w:type="dxa"/>
            <w:tcBorders>
              <w:top w:val="single" w:color="auto" w:sz="6" w:space="0"/>
              <w:left w:val="single" w:color="auto" w:sz="6" w:space="0"/>
              <w:bottom w:val="single" w:color="auto" w:sz="6" w:space="0"/>
              <w:right w:val="single" w:color="auto" w:sz="4" w:space="0"/>
            </w:tcBorders>
            <w:vAlign w:val="center"/>
          </w:tcPr>
          <w:p w14:paraId="4DFA47EE">
            <w:pPr>
              <w:autoSpaceDE w:val="0"/>
              <w:autoSpaceDN w:val="0"/>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第一次谈判响应总报价（元）</w:t>
            </w:r>
          </w:p>
        </w:tc>
        <w:tc>
          <w:tcPr>
            <w:tcW w:w="1649" w:type="dxa"/>
            <w:tcBorders>
              <w:top w:val="single" w:color="auto" w:sz="6" w:space="0"/>
              <w:left w:val="single" w:color="auto" w:sz="4" w:space="0"/>
              <w:bottom w:val="single" w:color="auto" w:sz="6" w:space="0"/>
              <w:right w:val="single" w:color="auto" w:sz="6" w:space="0"/>
            </w:tcBorders>
            <w:vAlign w:val="center"/>
          </w:tcPr>
          <w:p w14:paraId="15A66508">
            <w:pPr>
              <w:autoSpaceDE w:val="0"/>
              <w:autoSpaceDN w:val="0"/>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交货期限</w:t>
            </w:r>
          </w:p>
        </w:tc>
        <w:tc>
          <w:tcPr>
            <w:tcW w:w="1384" w:type="dxa"/>
            <w:tcBorders>
              <w:top w:val="single" w:color="auto" w:sz="6" w:space="0"/>
              <w:left w:val="single" w:color="auto" w:sz="4" w:space="0"/>
              <w:bottom w:val="single" w:color="auto" w:sz="6" w:space="0"/>
              <w:right w:val="single" w:color="auto" w:sz="6" w:space="0"/>
            </w:tcBorders>
            <w:vAlign w:val="center"/>
          </w:tcPr>
          <w:p w14:paraId="2B7EA924">
            <w:pPr>
              <w:autoSpaceDE w:val="0"/>
              <w:autoSpaceDN w:val="0"/>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质量标准</w:t>
            </w:r>
          </w:p>
        </w:tc>
        <w:tc>
          <w:tcPr>
            <w:tcW w:w="1114" w:type="dxa"/>
            <w:tcBorders>
              <w:top w:val="single" w:color="auto" w:sz="6" w:space="0"/>
              <w:left w:val="single" w:color="auto" w:sz="6" w:space="0"/>
              <w:bottom w:val="single" w:color="auto" w:sz="6" w:space="0"/>
              <w:right w:val="single" w:color="auto" w:sz="6" w:space="0"/>
            </w:tcBorders>
            <w:vAlign w:val="center"/>
          </w:tcPr>
          <w:p w14:paraId="75F0CC21">
            <w:pPr>
              <w:autoSpaceDE w:val="0"/>
              <w:autoSpaceDN w:val="0"/>
              <w:adjustRightInd w:val="0"/>
              <w:snapToGrid w:val="0"/>
              <w:spacing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质保期</w:t>
            </w:r>
          </w:p>
        </w:tc>
        <w:tc>
          <w:tcPr>
            <w:tcW w:w="1114" w:type="dxa"/>
            <w:tcBorders>
              <w:top w:val="single" w:color="auto" w:sz="6" w:space="0"/>
              <w:left w:val="single" w:color="auto" w:sz="6" w:space="0"/>
              <w:bottom w:val="single" w:color="auto" w:sz="6" w:space="0"/>
              <w:right w:val="single" w:color="auto" w:sz="6" w:space="0"/>
            </w:tcBorders>
            <w:vAlign w:val="center"/>
          </w:tcPr>
          <w:p w14:paraId="352B9DA0">
            <w:pPr>
              <w:autoSpaceDE w:val="0"/>
              <w:autoSpaceDN w:val="0"/>
              <w:adjustRightInd w:val="0"/>
              <w:snapToGrid w:val="0"/>
              <w:spacing w:line="360" w:lineRule="auto"/>
              <w:jc w:val="center"/>
              <w:rPr>
                <w:rFonts w:hint="eastAsia" w:ascii="宋体" w:hAnsi="宋体" w:cs="宋体"/>
                <w:sz w:val="24"/>
                <w:szCs w:val="24"/>
              </w:rPr>
            </w:pPr>
            <w:r>
              <w:rPr>
                <w:rFonts w:hint="eastAsia" w:ascii="宋体" w:hAnsi="宋体" w:cs="宋体"/>
                <w:sz w:val="24"/>
                <w:szCs w:val="24"/>
              </w:rPr>
              <w:t>备注</w:t>
            </w:r>
          </w:p>
        </w:tc>
      </w:tr>
      <w:tr w14:paraId="413CDD26">
        <w:tblPrEx>
          <w:tblCellMar>
            <w:top w:w="0" w:type="dxa"/>
            <w:left w:w="108" w:type="dxa"/>
            <w:bottom w:w="0" w:type="dxa"/>
            <w:right w:w="108" w:type="dxa"/>
          </w:tblCellMar>
        </w:tblPrEx>
        <w:trPr>
          <w:trHeight w:val="1992" w:hRule="atLeast"/>
          <w:jc w:val="center"/>
        </w:trPr>
        <w:tc>
          <w:tcPr>
            <w:tcW w:w="2775" w:type="dxa"/>
            <w:tcBorders>
              <w:top w:val="single" w:color="auto" w:sz="6" w:space="0"/>
              <w:left w:val="single" w:color="auto" w:sz="6" w:space="0"/>
              <w:bottom w:val="single" w:color="auto" w:sz="6" w:space="0"/>
              <w:right w:val="single" w:color="auto" w:sz="6" w:space="0"/>
            </w:tcBorders>
            <w:vAlign w:val="center"/>
          </w:tcPr>
          <w:p w14:paraId="01570093">
            <w:pPr>
              <w:pStyle w:val="26"/>
              <w:spacing w:line="360" w:lineRule="auto"/>
              <w:ind w:firstLine="0" w:firstLineChars="0"/>
              <w:jc w:val="center"/>
              <w:rPr>
                <w:rFonts w:hint="eastAsia" w:ascii="宋体" w:hAnsi="宋体" w:cs="宋体"/>
                <w:bCs/>
                <w:sz w:val="24"/>
                <w:szCs w:val="24"/>
              </w:rPr>
            </w:pPr>
            <w:r>
              <w:rPr>
                <w:rFonts w:hint="eastAsia" w:ascii="宋体" w:hAnsi="宋体" w:cs="宋体"/>
                <w:bCs/>
                <w:sz w:val="24"/>
                <w:szCs w:val="24"/>
              </w:rPr>
              <w:t>女子监狱机房不间断电源电池组更换项目</w:t>
            </w:r>
          </w:p>
        </w:tc>
        <w:tc>
          <w:tcPr>
            <w:tcW w:w="2175" w:type="dxa"/>
            <w:tcBorders>
              <w:top w:val="single" w:color="auto" w:sz="6" w:space="0"/>
              <w:left w:val="single" w:color="auto" w:sz="6" w:space="0"/>
              <w:bottom w:val="single" w:color="auto" w:sz="6" w:space="0"/>
              <w:right w:val="single" w:color="auto" w:sz="4" w:space="0"/>
            </w:tcBorders>
            <w:vAlign w:val="center"/>
          </w:tcPr>
          <w:p w14:paraId="01BDB629">
            <w:pPr>
              <w:autoSpaceDE w:val="0"/>
              <w:autoSpaceDN w:val="0"/>
              <w:adjustRightInd w:val="0"/>
              <w:snapToGrid w:val="0"/>
              <w:spacing w:line="360" w:lineRule="auto"/>
              <w:jc w:val="center"/>
              <w:rPr>
                <w:rFonts w:hint="eastAsia" w:ascii="宋体" w:hAnsi="宋体" w:cs="宋体"/>
                <w:sz w:val="24"/>
                <w:szCs w:val="24"/>
              </w:rPr>
            </w:pPr>
          </w:p>
        </w:tc>
        <w:tc>
          <w:tcPr>
            <w:tcW w:w="1649" w:type="dxa"/>
            <w:tcBorders>
              <w:top w:val="single" w:color="auto" w:sz="6" w:space="0"/>
              <w:left w:val="single" w:color="auto" w:sz="4" w:space="0"/>
              <w:bottom w:val="single" w:color="auto" w:sz="6" w:space="0"/>
              <w:right w:val="single" w:color="auto" w:sz="6" w:space="0"/>
            </w:tcBorders>
            <w:vAlign w:val="center"/>
          </w:tcPr>
          <w:p w14:paraId="6602038F">
            <w:pPr>
              <w:autoSpaceDE w:val="0"/>
              <w:autoSpaceDN w:val="0"/>
              <w:adjustRightInd w:val="0"/>
              <w:snapToGrid w:val="0"/>
              <w:spacing w:line="360" w:lineRule="auto"/>
              <w:jc w:val="center"/>
              <w:rPr>
                <w:rFonts w:hint="eastAsia" w:ascii="宋体" w:hAnsi="宋体" w:cs="宋体"/>
                <w:sz w:val="24"/>
                <w:szCs w:val="24"/>
              </w:rPr>
            </w:pPr>
          </w:p>
        </w:tc>
        <w:tc>
          <w:tcPr>
            <w:tcW w:w="1384" w:type="dxa"/>
            <w:tcBorders>
              <w:top w:val="single" w:color="auto" w:sz="6" w:space="0"/>
              <w:left w:val="single" w:color="auto" w:sz="4" w:space="0"/>
              <w:bottom w:val="single" w:color="auto" w:sz="6" w:space="0"/>
              <w:right w:val="single" w:color="auto" w:sz="6" w:space="0"/>
            </w:tcBorders>
            <w:vAlign w:val="center"/>
          </w:tcPr>
          <w:p w14:paraId="764F60EB">
            <w:pPr>
              <w:autoSpaceDE w:val="0"/>
              <w:autoSpaceDN w:val="0"/>
              <w:adjustRightInd w:val="0"/>
              <w:snapToGrid w:val="0"/>
              <w:spacing w:line="360" w:lineRule="auto"/>
              <w:jc w:val="center"/>
              <w:rPr>
                <w:rFonts w:hint="eastAsia" w:ascii="宋体" w:hAnsi="宋体" w:cs="宋体"/>
                <w:sz w:val="24"/>
                <w:szCs w:val="24"/>
              </w:rPr>
            </w:pPr>
          </w:p>
        </w:tc>
        <w:tc>
          <w:tcPr>
            <w:tcW w:w="1114" w:type="dxa"/>
            <w:tcBorders>
              <w:top w:val="single" w:color="auto" w:sz="6" w:space="0"/>
              <w:left w:val="single" w:color="auto" w:sz="6" w:space="0"/>
              <w:bottom w:val="single" w:color="auto" w:sz="6" w:space="0"/>
              <w:right w:val="single" w:color="auto" w:sz="6" w:space="0"/>
            </w:tcBorders>
            <w:vAlign w:val="center"/>
          </w:tcPr>
          <w:p w14:paraId="329EEBE0">
            <w:pPr>
              <w:autoSpaceDE w:val="0"/>
              <w:autoSpaceDN w:val="0"/>
              <w:adjustRightInd w:val="0"/>
              <w:snapToGrid w:val="0"/>
              <w:spacing w:line="360" w:lineRule="auto"/>
              <w:jc w:val="center"/>
              <w:rPr>
                <w:rFonts w:hint="eastAsia" w:ascii="宋体" w:hAnsi="宋体" w:cs="宋体"/>
                <w:sz w:val="24"/>
                <w:szCs w:val="24"/>
              </w:rPr>
            </w:pPr>
          </w:p>
        </w:tc>
        <w:tc>
          <w:tcPr>
            <w:tcW w:w="1114" w:type="dxa"/>
            <w:tcBorders>
              <w:top w:val="single" w:color="auto" w:sz="6" w:space="0"/>
              <w:left w:val="single" w:color="auto" w:sz="6" w:space="0"/>
              <w:bottom w:val="single" w:color="auto" w:sz="6" w:space="0"/>
              <w:right w:val="single" w:color="auto" w:sz="6" w:space="0"/>
            </w:tcBorders>
            <w:vAlign w:val="center"/>
          </w:tcPr>
          <w:p w14:paraId="69332CBE">
            <w:pPr>
              <w:autoSpaceDE w:val="0"/>
              <w:autoSpaceDN w:val="0"/>
              <w:adjustRightInd w:val="0"/>
              <w:snapToGrid w:val="0"/>
              <w:spacing w:line="360" w:lineRule="auto"/>
              <w:jc w:val="center"/>
              <w:rPr>
                <w:rFonts w:hint="eastAsia" w:ascii="宋体" w:hAnsi="宋体" w:cs="宋体"/>
                <w:sz w:val="24"/>
                <w:szCs w:val="24"/>
              </w:rPr>
            </w:pPr>
          </w:p>
        </w:tc>
      </w:tr>
    </w:tbl>
    <w:p w14:paraId="56FCCB94">
      <w:pPr>
        <w:adjustRightInd w:val="0"/>
        <w:snapToGrid w:val="0"/>
        <w:spacing w:line="360" w:lineRule="auto"/>
        <w:jc w:val="left"/>
        <w:rPr>
          <w:rFonts w:hint="eastAsia" w:ascii="宋体" w:hAnsi="宋体" w:cs="宋体"/>
          <w:b/>
          <w:sz w:val="24"/>
          <w:szCs w:val="24"/>
        </w:rPr>
      </w:pPr>
    </w:p>
    <w:p w14:paraId="3B1ABF43">
      <w:pPr>
        <w:adjustRightInd w:val="0"/>
        <w:snapToGrid w:val="0"/>
        <w:spacing w:line="360" w:lineRule="auto"/>
        <w:jc w:val="left"/>
        <w:rPr>
          <w:rFonts w:hint="eastAsia" w:ascii="宋体" w:hAnsi="宋体" w:cs="宋体"/>
          <w:b/>
          <w:sz w:val="24"/>
          <w:szCs w:val="24"/>
        </w:rPr>
      </w:pPr>
      <w:r>
        <w:rPr>
          <w:rFonts w:hint="eastAsia" w:ascii="宋体" w:hAnsi="宋体" w:cs="宋体"/>
          <w:b/>
          <w:sz w:val="24"/>
          <w:szCs w:val="24"/>
        </w:rPr>
        <w:t>本页所填写数据须与谈判响应函部分一致，否则以谈判响应函为准。</w:t>
      </w:r>
      <w:r>
        <w:rPr>
          <w:rFonts w:hint="eastAsia" w:ascii="宋体" w:hAnsi="宋体" w:cs="宋体"/>
          <w:sz w:val="24"/>
          <w:szCs w:val="24"/>
        </w:rPr>
        <w:t xml:space="preserve">                                                     </w:t>
      </w:r>
    </w:p>
    <w:p w14:paraId="0C2846A8">
      <w:pPr>
        <w:spacing w:line="360" w:lineRule="auto"/>
        <w:jc w:val="right"/>
        <w:rPr>
          <w:rFonts w:hint="eastAsia" w:ascii="宋体" w:hAnsi="宋体" w:cs="宋体"/>
          <w:sz w:val="24"/>
          <w:szCs w:val="24"/>
        </w:rPr>
      </w:pPr>
    </w:p>
    <w:p w14:paraId="002B624B">
      <w:pPr>
        <w:spacing w:line="360" w:lineRule="auto"/>
        <w:jc w:val="center"/>
        <w:rPr>
          <w:rFonts w:hint="eastAsia" w:ascii="宋体" w:hAnsi="宋体" w:cs="宋体"/>
          <w:sz w:val="24"/>
          <w:szCs w:val="24"/>
          <w:u w:val="single"/>
        </w:rPr>
      </w:pPr>
      <w:r>
        <w:rPr>
          <w:rFonts w:hint="eastAsia" w:ascii="宋体" w:hAnsi="宋体" w:cs="宋体"/>
          <w:sz w:val="24"/>
          <w:szCs w:val="24"/>
        </w:rPr>
        <w:t xml:space="preserve">                        供应商：</w:t>
      </w:r>
      <w:r>
        <w:rPr>
          <w:rFonts w:hint="eastAsia" w:ascii="宋体" w:hAnsi="宋体" w:cs="宋体"/>
          <w:sz w:val="24"/>
          <w:szCs w:val="24"/>
          <w:u w:val="single"/>
        </w:rPr>
        <w:t xml:space="preserve">                               </w:t>
      </w:r>
      <w:r>
        <w:rPr>
          <w:rFonts w:hint="eastAsia" w:ascii="宋体" w:hAnsi="宋体" w:cs="宋体"/>
          <w:sz w:val="24"/>
          <w:szCs w:val="24"/>
        </w:rPr>
        <w:t>（盖单位章）</w:t>
      </w:r>
    </w:p>
    <w:p w14:paraId="1B6680C2">
      <w:pPr>
        <w:spacing w:line="360" w:lineRule="auto"/>
        <w:ind w:firstLine="2640" w:firstLineChars="1100"/>
        <w:rPr>
          <w:rFonts w:hint="eastAsia" w:ascii="宋体" w:hAnsi="宋体" w:cs="宋体"/>
          <w:sz w:val="24"/>
          <w:szCs w:val="24"/>
          <w:u w:val="single"/>
        </w:rPr>
      </w:pPr>
      <w:r>
        <w:rPr>
          <w:rFonts w:hint="eastAsia" w:ascii="宋体" w:hAnsi="宋体" w:cs="宋体"/>
          <w:sz w:val="24"/>
          <w:szCs w:val="24"/>
          <w:lang w:val="zh-CN"/>
        </w:rPr>
        <w:t>法定代表人</w:t>
      </w:r>
      <w:r>
        <w:rPr>
          <w:rFonts w:hint="eastAsia" w:ascii="宋体" w:hAnsi="宋体" w:cs="宋体"/>
          <w:sz w:val="24"/>
          <w:szCs w:val="24"/>
        </w:rPr>
        <w:t>（负责人）</w:t>
      </w:r>
      <w:r>
        <w:rPr>
          <w:rFonts w:hint="eastAsia" w:ascii="宋体" w:hAnsi="宋体" w:cs="宋体"/>
          <w:sz w:val="24"/>
          <w:szCs w:val="24"/>
          <w:lang w:val="zh-CN"/>
        </w:rPr>
        <w:t>或授权代表</w:t>
      </w:r>
      <w:r>
        <w:rPr>
          <w:rFonts w:hint="eastAsia" w:ascii="宋体" w:hAnsi="宋体" w:cs="宋体"/>
          <w:sz w:val="24"/>
          <w:szCs w:val="24"/>
        </w:rPr>
        <w:t>：</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val="zh-CN"/>
        </w:rPr>
        <w:t>签字或盖章</w:t>
      </w:r>
      <w:r>
        <w:rPr>
          <w:rFonts w:hint="eastAsia" w:ascii="宋体" w:hAnsi="宋体" w:cs="宋体"/>
          <w:sz w:val="24"/>
          <w:szCs w:val="24"/>
        </w:rPr>
        <w:t>）</w:t>
      </w:r>
    </w:p>
    <w:p w14:paraId="46665E15">
      <w:pPr>
        <w:spacing w:line="360" w:lineRule="auto"/>
        <w:ind w:firstLine="4800" w:firstLineChars="2000"/>
        <w:rPr>
          <w:rFonts w:hint="eastAsia" w:ascii="宋体" w:hAnsi="宋体" w:cs="宋体"/>
          <w:sz w:val="24"/>
          <w:szCs w:val="24"/>
        </w:rPr>
      </w:pPr>
      <w:r>
        <w:rPr>
          <w:rFonts w:hint="eastAsia" w:ascii="宋体" w:hAnsi="宋体" w:cs="宋体"/>
          <w:sz w:val="24"/>
          <w:szCs w:val="24"/>
        </w:rPr>
        <w:t>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bookmarkEnd w:id="75"/>
    <w:p w14:paraId="6034180E">
      <w:pPr>
        <w:adjustRightInd w:val="0"/>
        <w:snapToGrid w:val="0"/>
        <w:spacing w:line="360" w:lineRule="auto"/>
        <w:jc w:val="center"/>
        <w:rPr>
          <w:rFonts w:hint="eastAsia" w:ascii="宋体" w:hAnsi="宋体" w:cs="宋体"/>
          <w:b/>
          <w:bCs/>
          <w:sz w:val="24"/>
          <w:szCs w:val="24"/>
        </w:rPr>
      </w:pPr>
      <w:r>
        <w:rPr>
          <w:rFonts w:hint="eastAsia" w:ascii="宋体" w:hAnsi="宋体" w:cs="宋体"/>
          <w:b/>
          <w:sz w:val="28"/>
        </w:rPr>
        <w:br w:type="page"/>
      </w:r>
      <w:r>
        <w:rPr>
          <w:rFonts w:hint="eastAsia" w:ascii="宋体" w:hAnsi="宋体" w:cs="宋体"/>
          <w:b/>
          <w:bCs/>
          <w:sz w:val="24"/>
          <w:szCs w:val="24"/>
        </w:rPr>
        <w:t>报价明细</w:t>
      </w:r>
    </w:p>
    <w:p w14:paraId="498BB56A">
      <w:pPr>
        <w:adjustRightInd w:val="0"/>
        <w:snapToGrid w:val="0"/>
        <w:spacing w:line="360" w:lineRule="auto"/>
        <w:ind w:firstLine="720" w:firstLineChars="300"/>
        <w:jc w:val="left"/>
        <w:rPr>
          <w:rFonts w:hint="eastAsia" w:ascii="宋体" w:hAnsi="宋体" w:cs="宋体"/>
          <w:bCs/>
          <w:sz w:val="24"/>
          <w:szCs w:val="24"/>
        </w:rPr>
      </w:pPr>
      <w:r>
        <w:rPr>
          <w:rFonts w:hint="eastAsia" w:ascii="宋体" w:hAnsi="宋体" w:cs="宋体"/>
          <w:bCs/>
          <w:sz w:val="24"/>
          <w:szCs w:val="24"/>
        </w:rPr>
        <w:t>格式自拟</w:t>
      </w:r>
    </w:p>
    <w:p w14:paraId="0FBB85AB">
      <w:pPr>
        <w:spacing w:line="360" w:lineRule="auto"/>
        <w:jc w:val="right"/>
        <w:rPr>
          <w:rFonts w:hint="eastAsia" w:ascii="宋体" w:hAnsi="宋体" w:cs="宋体"/>
          <w:sz w:val="24"/>
          <w:szCs w:val="24"/>
        </w:rPr>
      </w:pPr>
    </w:p>
    <w:p w14:paraId="2803A2A7">
      <w:pPr>
        <w:spacing w:line="360" w:lineRule="auto"/>
        <w:jc w:val="center"/>
        <w:rPr>
          <w:rFonts w:hint="eastAsia" w:ascii="宋体" w:hAnsi="宋体" w:cs="宋体"/>
          <w:sz w:val="24"/>
          <w:szCs w:val="24"/>
          <w:u w:val="single"/>
        </w:rPr>
      </w:pPr>
      <w:r>
        <w:rPr>
          <w:rFonts w:hint="eastAsia" w:ascii="宋体" w:hAnsi="宋体" w:cs="宋体"/>
          <w:sz w:val="24"/>
          <w:szCs w:val="24"/>
        </w:rPr>
        <w:t xml:space="preserve">                        供应商：</w:t>
      </w:r>
      <w:r>
        <w:rPr>
          <w:rFonts w:hint="eastAsia" w:ascii="宋体" w:hAnsi="宋体" w:cs="宋体"/>
          <w:sz w:val="24"/>
          <w:szCs w:val="24"/>
          <w:u w:val="single"/>
        </w:rPr>
        <w:t xml:space="preserve">                               </w:t>
      </w:r>
      <w:r>
        <w:rPr>
          <w:rFonts w:hint="eastAsia" w:ascii="宋体" w:hAnsi="宋体" w:cs="宋体"/>
          <w:sz w:val="24"/>
          <w:szCs w:val="24"/>
        </w:rPr>
        <w:t>（盖单位章）</w:t>
      </w:r>
    </w:p>
    <w:p w14:paraId="2E83969E">
      <w:pPr>
        <w:spacing w:line="360" w:lineRule="auto"/>
        <w:ind w:firstLine="2640" w:firstLineChars="1100"/>
        <w:rPr>
          <w:rFonts w:hint="eastAsia" w:ascii="宋体" w:hAnsi="宋体" w:cs="宋体"/>
          <w:sz w:val="24"/>
          <w:szCs w:val="24"/>
          <w:u w:val="single"/>
        </w:rPr>
      </w:pPr>
      <w:r>
        <w:rPr>
          <w:rFonts w:hint="eastAsia" w:ascii="宋体" w:hAnsi="宋体" w:cs="宋体"/>
          <w:sz w:val="24"/>
          <w:szCs w:val="24"/>
          <w:lang w:val="zh-CN"/>
        </w:rPr>
        <w:t>法定代表人</w:t>
      </w:r>
      <w:r>
        <w:rPr>
          <w:rFonts w:hint="eastAsia" w:ascii="宋体" w:hAnsi="宋体" w:cs="宋体"/>
          <w:sz w:val="24"/>
          <w:szCs w:val="24"/>
        </w:rPr>
        <w:t>（负责人）</w:t>
      </w:r>
      <w:r>
        <w:rPr>
          <w:rFonts w:hint="eastAsia" w:ascii="宋体" w:hAnsi="宋体" w:cs="宋体"/>
          <w:sz w:val="24"/>
          <w:szCs w:val="24"/>
          <w:lang w:val="zh-CN"/>
        </w:rPr>
        <w:t>或授权代表</w:t>
      </w:r>
      <w:r>
        <w:rPr>
          <w:rFonts w:hint="eastAsia" w:ascii="宋体" w:hAnsi="宋体" w:cs="宋体"/>
          <w:sz w:val="24"/>
          <w:szCs w:val="24"/>
        </w:rPr>
        <w:t>：</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val="zh-CN"/>
        </w:rPr>
        <w:t>签字或盖章</w:t>
      </w:r>
      <w:r>
        <w:rPr>
          <w:rFonts w:hint="eastAsia" w:ascii="宋体" w:hAnsi="宋体" w:cs="宋体"/>
          <w:sz w:val="24"/>
          <w:szCs w:val="24"/>
        </w:rPr>
        <w:t>）</w:t>
      </w:r>
    </w:p>
    <w:p w14:paraId="0935FCD9">
      <w:pPr>
        <w:spacing w:line="360" w:lineRule="auto"/>
        <w:ind w:firstLine="4800" w:firstLineChars="2000"/>
        <w:rPr>
          <w:rFonts w:hint="eastAsia" w:ascii="宋体" w:hAnsi="宋体" w:cs="宋体"/>
          <w:sz w:val="24"/>
          <w:szCs w:val="24"/>
        </w:rPr>
      </w:pPr>
      <w:r>
        <w:rPr>
          <w:rFonts w:hint="eastAsia" w:ascii="宋体" w:hAnsi="宋体" w:cs="宋体"/>
          <w:sz w:val="24"/>
          <w:szCs w:val="24"/>
        </w:rPr>
        <w:t>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7731D550">
      <w:pPr>
        <w:widowControl/>
        <w:jc w:val="left"/>
        <w:rPr>
          <w:rFonts w:hint="eastAsia" w:ascii="宋体" w:hAnsi="宋体" w:cs="宋体"/>
          <w:b/>
          <w:sz w:val="28"/>
        </w:rPr>
      </w:pPr>
      <w:r>
        <w:rPr>
          <w:rFonts w:hint="eastAsia" w:ascii="宋体" w:hAnsi="宋体" w:cs="宋体"/>
          <w:b/>
          <w:sz w:val="28"/>
        </w:rPr>
        <w:br w:type="page"/>
      </w:r>
    </w:p>
    <w:p w14:paraId="4DD15F03">
      <w:pPr>
        <w:rPr>
          <w:rFonts w:hint="eastAsia" w:ascii="宋体" w:hAnsi="宋体" w:cs="宋体"/>
          <w:b/>
          <w:sz w:val="28"/>
        </w:rPr>
      </w:pPr>
    </w:p>
    <w:p w14:paraId="7436E727">
      <w:pPr>
        <w:spacing w:line="360" w:lineRule="auto"/>
        <w:jc w:val="center"/>
        <w:outlineLvl w:val="1"/>
        <w:rPr>
          <w:rFonts w:hint="eastAsia" w:ascii="宋体" w:hAnsi="宋体" w:cs="宋体"/>
          <w:b/>
          <w:sz w:val="32"/>
          <w:szCs w:val="32"/>
        </w:rPr>
      </w:pPr>
      <w:r>
        <w:rPr>
          <w:rFonts w:hint="eastAsia" w:ascii="宋体" w:hAnsi="宋体" w:cs="宋体"/>
          <w:b/>
          <w:sz w:val="32"/>
          <w:szCs w:val="32"/>
        </w:rPr>
        <w:t>三、法定代表人（单位负责人）身份证明或</w:t>
      </w:r>
      <w:r>
        <w:rPr>
          <w:rFonts w:hint="eastAsia" w:ascii="宋体" w:hAnsi="宋体" w:cs="宋体"/>
          <w:b/>
          <w:spacing w:val="2"/>
          <w:sz w:val="32"/>
          <w:szCs w:val="32"/>
        </w:rPr>
        <w:t>授权委托书</w:t>
      </w:r>
    </w:p>
    <w:p w14:paraId="794EC70A">
      <w:pPr>
        <w:spacing w:line="360" w:lineRule="auto"/>
        <w:jc w:val="center"/>
        <w:outlineLvl w:val="2"/>
        <w:rPr>
          <w:rFonts w:hint="eastAsia" w:ascii="宋体" w:hAnsi="宋体" w:cs="宋体"/>
          <w:sz w:val="28"/>
          <w:szCs w:val="28"/>
        </w:rPr>
      </w:pPr>
      <w:r>
        <w:rPr>
          <w:rFonts w:hint="eastAsia" w:ascii="宋体" w:hAnsi="宋体" w:cs="宋体"/>
          <w:b/>
          <w:sz w:val="28"/>
          <w:szCs w:val="28"/>
        </w:rPr>
        <w:t>（一）法定代表人（单位负责人）身份证明</w:t>
      </w:r>
    </w:p>
    <w:p w14:paraId="5E36BED8">
      <w:pPr>
        <w:spacing w:line="360" w:lineRule="auto"/>
        <w:rPr>
          <w:rFonts w:hint="eastAsia" w:ascii="宋体" w:hAnsi="宋体" w:cs="宋体"/>
          <w:sz w:val="24"/>
          <w:szCs w:val="24"/>
          <w:u w:val="single"/>
        </w:rPr>
      </w:pPr>
      <w:r>
        <w:rPr>
          <w:rFonts w:hint="eastAsia" w:ascii="宋体" w:hAnsi="宋体" w:cs="宋体"/>
          <w:sz w:val="24"/>
          <w:szCs w:val="24"/>
        </w:rPr>
        <w:t>供应商名称：</w:t>
      </w:r>
      <w:r>
        <w:rPr>
          <w:rFonts w:hint="eastAsia" w:ascii="宋体" w:hAnsi="宋体" w:cs="宋体"/>
          <w:sz w:val="24"/>
          <w:szCs w:val="24"/>
          <w:u w:val="single"/>
        </w:rPr>
        <w:t xml:space="preserve">                           </w:t>
      </w:r>
    </w:p>
    <w:p w14:paraId="75445A2E">
      <w:pPr>
        <w:spacing w:line="360" w:lineRule="auto"/>
        <w:jc w:val="left"/>
        <w:rPr>
          <w:rFonts w:hint="eastAsia" w:ascii="宋体" w:hAnsi="宋体" w:cs="宋体"/>
          <w:spacing w:val="1"/>
          <w:sz w:val="24"/>
          <w:szCs w:val="24"/>
          <w:u w:val="single"/>
        </w:rPr>
      </w:pPr>
      <w:r>
        <w:rPr>
          <w:rFonts w:hint="eastAsia" w:ascii="宋体" w:hAnsi="宋体" w:cs="宋体"/>
          <w:spacing w:val="1"/>
          <w:sz w:val="24"/>
          <w:szCs w:val="24"/>
        </w:rPr>
        <w:t>姓名：</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pacing w:val="1"/>
          <w:sz w:val="24"/>
          <w:szCs w:val="24"/>
        </w:rPr>
        <w:t>性别：</w:t>
      </w:r>
      <w:r>
        <w:rPr>
          <w:rFonts w:hint="eastAsia" w:ascii="宋体" w:hAnsi="宋体" w:cs="宋体"/>
          <w:sz w:val="24"/>
          <w:szCs w:val="24"/>
          <w:u w:val="single"/>
        </w:rPr>
        <w:t xml:space="preserve">      </w:t>
      </w:r>
      <w:r>
        <w:rPr>
          <w:rFonts w:hint="eastAsia" w:ascii="宋体" w:hAnsi="宋体" w:cs="宋体"/>
          <w:sz w:val="24"/>
          <w:szCs w:val="24"/>
        </w:rPr>
        <w:t xml:space="preserve">     年龄：</w:t>
      </w:r>
      <w:r>
        <w:rPr>
          <w:rFonts w:hint="eastAsia" w:ascii="宋体" w:hAnsi="宋体" w:cs="宋体"/>
          <w:sz w:val="24"/>
          <w:szCs w:val="24"/>
          <w:u w:val="single"/>
        </w:rPr>
        <w:t xml:space="preserve">      </w:t>
      </w:r>
      <w:r>
        <w:rPr>
          <w:rFonts w:hint="eastAsia" w:ascii="宋体" w:hAnsi="宋体" w:cs="宋体"/>
          <w:sz w:val="24"/>
          <w:szCs w:val="24"/>
        </w:rPr>
        <w:t xml:space="preserve">    职务：</w:t>
      </w:r>
      <w:r>
        <w:rPr>
          <w:rFonts w:hint="eastAsia" w:ascii="宋体" w:hAnsi="宋体" w:cs="宋体"/>
          <w:sz w:val="24"/>
          <w:szCs w:val="24"/>
          <w:u w:val="single"/>
        </w:rPr>
        <w:t xml:space="preserve">       </w:t>
      </w:r>
    </w:p>
    <w:p w14:paraId="5A447E43">
      <w:pPr>
        <w:spacing w:line="360" w:lineRule="auto"/>
        <w:jc w:val="left"/>
        <w:rPr>
          <w:rFonts w:hint="eastAsia" w:ascii="宋体" w:hAnsi="宋体" w:cs="宋体"/>
          <w:sz w:val="24"/>
          <w:szCs w:val="24"/>
        </w:rPr>
      </w:pPr>
      <w:r>
        <w:rPr>
          <w:rFonts w:hint="eastAsia" w:ascii="宋体" w:hAnsi="宋体" w:cs="宋体"/>
          <w:sz w:val="24"/>
          <w:szCs w:val="24"/>
          <w:u w:val="single"/>
        </w:rPr>
        <w:t>系   （供应商名称）     的法</w:t>
      </w:r>
      <w:r>
        <w:rPr>
          <w:rFonts w:hint="eastAsia" w:ascii="宋体" w:hAnsi="宋体" w:cs="宋体"/>
          <w:spacing w:val="-5"/>
          <w:sz w:val="24"/>
          <w:szCs w:val="24"/>
        </w:rPr>
        <w:t>定代表人（单位负责人）。</w:t>
      </w:r>
    </w:p>
    <w:p w14:paraId="10ACAB62">
      <w:pPr>
        <w:spacing w:line="360" w:lineRule="auto"/>
        <w:jc w:val="left"/>
        <w:rPr>
          <w:rFonts w:hint="eastAsia" w:ascii="宋体" w:hAnsi="宋体" w:cs="宋体"/>
          <w:sz w:val="24"/>
          <w:szCs w:val="24"/>
        </w:rPr>
      </w:pPr>
      <w:r>
        <w:rPr>
          <w:rFonts w:hint="eastAsia" w:ascii="宋体" w:hAnsi="宋体" w:cs="宋体"/>
          <w:spacing w:val="1"/>
          <w:sz w:val="24"/>
          <w:szCs w:val="24"/>
        </w:rPr>
        <w:t>特此证明。</w:t>
      </w:r>
    </w:p>
    <w:p w14:paraId="4B377650">
      <w:pPr>
        <w:spacing w:line="360" w:lineRule="auto"/>
        <w:jc w:val="left"/>
        <w:rPr>
          <w:rFonts w:hint="eastAsia" w:ascii="宋体" w:hAnsi="宋体" w:cs="宋体"/>
          <w:sz w:val="24"/>
          <w:szCs w:val="24"/>
        </w:rPr>
      </w:pPr>
      <w:r>
        <w:rPr>
          <w:rFonts w:hint="eastAsia" w:ascii="宋体" w:hAnsi="宋体" w:cs="宋体"/>
          <w:sz w:val="24"/>
          <w:szCs w:val="24"/>
        </w:rPr>
        <w:t>附：法定代表人（单位负责人）身份证复印件。</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00"/>
      </w:tblGrid>
      <w:tr w14:paraId="2F2F8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jc w:val="center"/>
        </w:trPr>
        <w:tc>
          <w:tcPr>
            <w:tcW w:w="4100" w:type="dxa"/>
          </w:tcPr>
          <w:p w14:paraId="29C2BF3E">
            <w:pPr>
              <w:spacing w:before="657" w:line="360" w:lineRule="auto"/>
              <w:ind w:left="14" w:hanging="14" w:hangingChars="6"/>
              <w:jc w:val="center"/>
              <w:rPr>
                <w:rFonts w:hint="eastAsia" w:ascii="宋体" w:hAnsi="宋体" w:cs="宋体"/>
                <w:sz w:val="24"/>
                <w:szCs w:val="24"/>
              </w:rPr>
            </w:pPr>
            <w:r>
              <w:rPr>
                <w:rFonts w:hint="eastAsia" w:ascii="宋体" w:hAnsi="宋体" w:cs="宋体"/>
                <w:sz w:val="24"/>
                <w:szCs w:val="24"/>
              </w:rPr>
              <w:t>身份证复印件</w:t>
            </w:r>
          </w:p>
        </w:tc>
      </w:tr>
      <w:tr w14:paraId="79D7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3" w:hRule="atLeast"/>
          <w:jc w:val="center"/>
        </w:trPr>
        <w:tc>
          <w:tcPr>
            <w:tcW w:w="4100" w:type="dxa"/>
          </w:tcPr>
          <w:p w14:paraId="4C913628">
            <w:pPr>
              <w:spacing w:before="657" w:line="360" w:lineRule="auto"/>
              <w:ind w:left="14" w:hanging="14" w:hangingChars="6"/>
              <w:jc w:val="center"/>
              <w:rPr>
                <w:rFonts w:hint="eastAsia" w:ascii="宋体" w:hAnsi="宋体" w:cs="宋体"/>
                <w:sz w:val="24"/>
                <w:szCs w:val="24"/>
              </w:rPr>
            </w:pPr>
            <w:r>
              <w:rPr>
                <w:rFonts w:hint="eastAsia" w:ascii="宋体" w:hAnsi="宋体" w:cs="宋体"/>
                <w:sz w:val="24"/>
                <w:szCs w:val="24"/>
              </w:rPr>
              <w:t>身份证复印件</w:t>
            </w:r>
          </w:p>
        </w:tc>
      </w:tr>
    </w:tbl>
    <w:p w14:paraId="5A270935">
      <w:pPr>
        <w:spacing w:before="657" w:line="221" w:lineRule="exact"/>
        <w:jc w:val="left"/>
        <w:rPr>
          <w:rFonts w:hint="eastAsia" w:ascii="宋体" w:hAnsi="宋体" w:cs="宋体"/>
          <w:sz w:val="24"/>
          <w:szCs w:val="24"/>
        </w:rPr>
      </w:pPr>
      <w:r>
        <w:rPr>
          <w:rFonts w:hint="eastAsia" w:ascii="宋体" w:hAnsi="宋体" w:cs="宋体"/>
          <w:sz w:val="24"/>
          <w:szCs w:val="24"/>
        </w:rPr>
        <w:t>注：本身份证明需由供应商加盖单位公章。</w:t>
      </w:r>
    </w:p>
    <w:p w14:paraId="26992407">
      <w:pPr>
        <w:spacing w:line="360" w:lineRule="auto"/>
        <w:jc w:val="right"/>
        <w:rPr>
          <w:rFonts w:hint="eastAsia" w:ascii="宋体" w:hAnsi="宋体" w:cs="宋体"/>
          <w:sz w:val="24"/>
          <w:szCs w:val="24"/>
        </w:rPr>
      </w:pPr>
      <w:r>
        <w:rPr>
          <w:rFonts w:hint="eastAsia" w:ascii="宋体" w:hAnsi="宋体" w:cs="宋体"/>
          <w:sz w:val="24"/>
          <w:szCs w:val="24"/>
        </w:rPr>
        <w:t xml:space="preserve">    </w:t>
      </w:r>
    </w:p>
    <w:p w14:paraId="5C07D7FD">
      <w:pPr>
        <w:spacing w:line="360" w:lineRule="auto"/>
        <w:jc w:val="right"/>
        <w:rPr>
          <w:rFonts w:hint="eastAsia" w:ascii="宋体" w:hAnsi="宋体" w:cs="宋体"/>
          <w:sz w:val="24"/>
          <w:szCs w:val="24"/>
        </w:rPr>
      </w:pPr>
    </w:p>
    <w:p w14:paraId="33F5EEA3">
      <w:pPr>
        <w:spacing w:line="360" w:lineRule="auto"/>
        <w:jc w:val="right"/>
        <w:rPr>
          <w:rFonts w:hint="eastAsia" w:ascii="宋体" w:hAnsi="宋体" w:cs="宋体"/>
          <w:sz w:val="24"/>
          <w:szCs w:val="24"/>
          <w:u w:val="single"/>
        </w:rPr>
      </w:pPr>
      <w:r>
        <w:rPr>
          <w:rFonts w:hint="eastAsia" w:ascii="宋体" w:hAnsi="宋体" w:cs="宋体"/>
          <w:sz w:val="24"/>
          <w:szCs w:val="24"/>
        </w:rPr>
        <w:t xml:space="preserve"> 供应商：</w:t>
      </w:r>
      <w:r>
        <w:rPr>
          <w:rFonts w:hint="eastAsia" w:ascii="宋体" w:hAnsi="宋体" w:cs="宋体"/>
          <w:sz w:val="24"/>
          <w:szCs w:val="24"/>
          <w:u w:val="single"/>
        </w:rPr>
        <w:t xml:space="preserve">                         </w:t>
      </w:r>
      <w:r>
        <w:rPr>
          <w:rFonts w:hint="eastAsia" w:ascii="宋体" w:hAnsi="宋体" w:cs="宋体"/>
          <w:sz w:val="24"/>
          <w:szCs w:val="24"/>
        </w:rPr>
        <w:t>（盖单位章）</w:t>
      </w:r>
    </w:p>
    <w:p w14:paraId="7CD0A200">
      <w:pPr>
        <w:spacing w:line="360" w:lineRule="auto"/>
        <w:ind w:firstLine="2640" w:firstLineChars="1100"/>
        <w:jc w:val="right"/>
        <w:rPr>
          <w:rFonts w:hint="eastAsia" w:ascii="宋体" w:hAnsi="宋体" w:cs="宋体"/>
          <w:sz w:val="24"/>
          <w:szCs w:val="24"/>
          <w:u w:val="single"/>
        </w:rPr>
      </w:pPr>
      <w:r>
        <w:rPr>
          <w:rFonts w:hint="eastAsia" w:ascii="宋体" w:hAnsi="宋体" w:cs="宋体"/>
          <w:sz w:val="24"/>
          <w:szCs w:val="24"/>
          <w:lang w:val="zh-CN"/>
        </w:rPr>
        <w:t>法定代表人</w:t>
      </w:r>
      <w:r>
        <w:rPr>
          <w:rFonts w:hint="eastAsia" w:ascii="宋体" w:hAnsi="宋体" w:cs="宋体"/>
          <w:sz w:val="24"/>
          <w:szCs w:val="24"/>
        </w:rPr>
        <w:t>（负责人）：</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val="zh-CN"/>
        </w:rPr>
        <w:t>签字或盖章</w:t>
      </w:r>
      <w:r>
        <w:rPr>
          <w:rFonts w:hint="eastAsia" w:ascii="宋体" w:hAnsi="宋体" w:cs="宋体"/>
          <w:sz w:val="24"/>
          <w:szCs w:val="24"/>
        </w:rPr>
        <w:t>）</w:t>
      </w:r>
    </w:p>
    <w:p w14:paraId="6AE3E271">
      <w:pPr>
        <w:spacing w:line="360" w:lineRule="auto"/>
        <w:ind w:firstLine="4320" w:firstLineChars="1800"/>
        <w:rPr>
          <w:rFonts w:hint="eastAsia" w:ascii="宋体" w:hAnsi="宋体" w:cs="宋体"/>
          <w:sz w:val="24"/>
          <w:szCs w:val="24"/>
        </w:rPr>
      </w:pPr>
      <w:r>
        <w:rPr>
          <w:rFonts w:hint="eastAsia" w:ascii="宋体" w:hAnsi="宋体" w:cs="宋体"/>
          <w:sz w:val="24"/>
          <w:szCs w:val="24"/>
        </w:rPr>
        <w:t>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43730069">
      <w:pPr>
        <w:rPr>
          <w:rFonts w:hint="eastAsia" w:ascii="宋体" w:hAnsi="宋体" w:cs="宋体"/>
          <w:b/>
          <w:spacing w:val="2"/>
          <w:sz w:val="28"/>
          <w:szCs w:val="28"/>
        </w:rPr>
      </w:pPr>
      <w:r>
        <w:rPr>
          <w:rFonts w:hint="eastAsia" w:ascii="宋体" w:hAnsi="宋体" w:cs="宋体"/>
          <w:b/>
          <w:spacing w:val="2"/>
          <w:sz w:val="28"/>
          <w:szCs w:val="28"/>
        </w:rPr>
        <w:br w:type="page"/>
      </w:r>
    </w:p>
    <w:p w14:paraId="2DE3A39F">
      <w:pPr>
        <w:spacing w:line="360" w:lineRule="auto"/>
        <w:jc w:val="center"/>
        <w:outlineLvl w:val="2"/>
        <w:rPr>
          <w:rFonts w:hint="eastAsia" w:ascii="宋体" w:hAnsi="宋体" w:cs="宋体"/>
          <w:b/>
          <w:spacing w:val="2"/>
          <w:sz w:val="28"/>
          <w:szCs w:val="28"/>
        </w:rPr>
      </w:pPr>
      <w:r>
        <w:rPr>
          <w:rFonts w:hint="eastAsia" w:ascii="宋体" w:hAnsi="宋体" w:cs="宋体"/>
          <w:b/>
          <w:spacing w:val="2"/>
          <w:sz w:val="28"/>
          <w:szCs w:val="28"/>
        </w:rPr>
        <w:t>（二）授权委托书</w:t>
      </w:r>
    </w:p>
    <w:p w14:paraId="1108DEAF">
      <w:pPr>
        <w:spacing w:line="360" w:lineRule="auto"/>
        <w:ind w:firstLine="420" w:firstLineChars="200"/>
        <w:jc w:val="left"/>
        <w:rPr>
          <w:rFonts w:hint="eastAsia" w:ascii="宋体" w:hAnsi="宋体" w:cs="宋体"/>
        </w:rPr>
      </w:pPr>
    </w:p>
    <w:p w14:paraId="1C53A3D6">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本人</w:t>
      </w:r>
      <w:r>
        <w:rPr>
          <w:rFonts w:hint="eastAsia" w:ascii="宋体" w:hAnsi="宋体" w:cs="宋体"/>
          <w:sz w:val="24"/>
          <w:szCs w:val="24"/>
          <w:u w:val="single"/>
        </w:rPr>
        <w:t xml:space="preserve"> （姓名） </w:t>
      </w:r>
      <w:r>
        <w:rPr>
          <w:rFonts w:hint="eastAsia" w:ascii="宋体" w:hAnsi="宋体" w:cs="宋体"/>
          <w:sz w:val="24"/>
          <w:szCs w:val="24"/>
        </w:rPr>
        <w:t>系</w:t>
      </w:r>
      <w:r>
        <w:rPr>
          <w:rFonts w:hint="eastAsia" w:ascii="宋体" w:hAnsi="宋体" w:cs="宋体"/>
          <w:sz w:val="24"/>
          <w:szCs w:val="24"/>
          <w:u w:val="single"/>
        </w:rPr>
        <w:t xml:space="preserve"> （供应商名称） </w:t>
      </w:r>
      <w:r>
        <w:rPr>
          <w:rFonts w:hint="eastAsia" w:ascii="宋体" w:hAnsi="宋体" w:cs="宋体"/>
          <w:sz w:val="24"/>
          <w:szCs w:val="24"/>
        </w:rPr>
        <w:t>的法定代表人（单位负责人），现委托</w:t>
      </w:r>
      <w:r>
        <w:rPr>
          <w:rFonts w:hint="eastAsia" w:ascii="宋体" w:hAnsi="宋体" w:cs="宋体"/>
          <w:sz w:val="24"/>
          <w:szCs w:val="24"/>
          <w:u w:val="single"/>
        </w:rPr>
        <w:t xml:space="preserve"> （姓名）</w:t>
      </w:r>
      <w:r>
        <w:rPr>
          <w:rFonts w:hint="eastAsia" w:ascii="宋体" w:hAnsi="宋体" w:cs="宋体"/>
          <w:sz w:val="24"/>
          <w:szCs w:val="24"/>
        </w:rPr>
        <w:t>为我方代理人。代理人根据授权，以我方名义签署、澄清确认、递交、撤回、修改</w:t>
      </w:r>
      <w:r>
        <w:rPr>
          <w:rFonts w:hint="eastAsia" w:ascii="宋体" w:hAnsi="宋体" w:cs="宋体"/>
          <w:sz w:val="24"/>
          <w:szCs w:val="24"/>
          <w:u w:val="single"/>
        </w:rPr>
        <w:t>（项目名称）、（项目编号）、</w:t>
      </w:r>
      <w:r>
        <w:rPr>
          <w:rFonts w:hint="eastAsia" w:ascii="宋体" w:hAnsi="宋体" w:cs="宋体"/>
          <w:sz w:val="24"/>
          <w:szCs w:val="24"/>
        </w:rPr>
        <w:t>项目响应文件、签订合同和处理有关事宜，其法律后果由我方承担。</w:t>
      </w:r>
    </w:p>
    <w:p w14:paraId="4FC10E6D">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该代理人无转委托权，本授权书自委托之日起生效至竞争性谈判响应文件递交截止时间后90天。特此声明。</w:t>
      </w:r>
    </w:p>
    <w:p w14:paraId="3C534297">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附：法定代表人（单位负责人）身份证复印件及委托代理人身份证复印件</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00"/>
        <w:gridCol w:w="4100"/>
      </w:tblGrid>
      <w:tr w14:paraId="40638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3" w:hRule="atLeast"/>
          <w:jc w:val="center"/>
        </w:trPr>
        <w:tc>
          <w:tcPr>
            <w:tcW w:w="4100" w:type="dxa"/>
          </w:tcPr>
          <w:p w14:paraId="612E7046">
            <w:pPr>
              <w:spacing w:line="360" w:lineRule="auto"/>
              <w:ind w:left="14" w:hanging="14" w:hangingChars="6"/>
              <w:jc w:val="center"/>
              <w:rPr>
                <w:rFonts w:hint="eastAsia" w:ascii="宋体" w:hAnsi="宋体" w:cs="宋体"/>
                <w:sz w:val="24"/>
                <w:szCs w:val="24"/>
              </w:rPr>
            </w:pPr>
            <w:r>
              <w:rPr>
                <w:rFonts w:hint="eastAsia" w:ascii="宋体" w:hAnsi="宋体" w:cs="宋体"/>
                <w:sz w:val="24"/>
                <w:szCs w:val="24"/>
              </w:rPr>
              <w:t>法定代表人（单位负责人）</w:t>
            </w:r>
          </w:p>
          <w:p w14:paraId="4D9609F7">
            <w:pPr>
              <w:spacing w:line="360" w:lineRule="auto"/>
              <w:ind w:left="14" w:hanging="14" w:hangingChars="6"/>
              <w:jc w:val="center"/>
              <w:rPr>
                <w:rFonts w:hint="eastAsia" w:ascii="宋体" w:hAnsi="宋体" w:cs="宋体"/>
                <w:sz w:val="24"/>
                <w:szCs w:val="24"/>
              </w:rPr>
            </w:pPr>
            <w:r>
              <w:rPr>
                <w:rFonts w:hint="eastAsia" w:ascii="宋体" w:hAnsi="宋体" w:cs="宋体"/>
                <w:sz w:val="24"/>
                <w:szCs w:val="24"/>
              </w:rPr>
              <w:t>身份证复印件（正反面）</w:t>
            </w:r>
          </w:p>
        </w:tc>
        <w:tc>
          <w:tcPr>
            <w:tcW w:w="4100" w:type="dxa"/>
          </w:tcPr>
          <w:p w14:paraId="10092F16">
            <w:pPr>
              <w:spacing w:line="360" w:lineRule="auto"/>
              <w:ind w:left="14" w:hanging="14" w:hangingChars="6"/>
              <w:jc w:val="center"/>
              <w:rPr>
                <w:rFonts w:hint="eastAsia" w:ascii="宋体" w:hAnsi="宋体" w:cs="宋体"/>
                <w:sz w:val="24"/>
                <w:szCs w:val="24"/>
              </w:rPr>
            </w:pPr>
            <w:r>
              <w:rPr>
                <w:rFonts w:hint="eastAsia" w:ascii="宋体" w:hAnsi="宋体" w:cs="宋体"/>
                <w:sz w:val="24"/>
                <w:szCs w:val="24"/>
              </w:rPr>
              <w:t>委托代理人</w:t>
            </w:r>
          </w:p>
          <w:p w14:paraId="4B60171D">
            <w:pPr>
              <w:spacing w:line="360" w:lineRule="auto"/>
              <w:ind w:left="14" w:hanging="14" w:hangingChars="6"/>
              <w:jc w:val="center"/>
              <w:rPr>
                <w:rFonts w:hint="eastAsia" w:ascii="宋体" w:hAnsi="宋体" w:cs="宋体"/>
                <w:sz w:val="24"/>
                <w:szCs w:val="24"/>
              </w:rPr>
            </w:pPr>
            <w:r>
              <w:rPr>
                <w:rFonts w:hint="eastAsia" w:ascii="宋体" w:hAnsi="宋体" w:cs="宋体"/>
                <w:sz w:val="24"/>
                <w:szCs w:val="24"/>
              </w:rPr>
              <w:t>身份证复印件（正反面）</w:t>
            </w:r>
          </w:p>
        </w:tc>
      </w:tr>
    </w:tbl>
    <w:p w14:paraId="467B4A50">
      <w:pPr>
        <w:spacing w:line="360" w:lineRule="auto"/>
        <w:ind w:left="14" w:hanging="14" w:hangingChars="6"/>
        <w:jc w:val="left"/>
        <w:rPr>
          <w:rFonts w:hint="eastAsia" w:ascii="宋体" w:hAnsi="宋体" w:cs="宋体"/>
          <w:sz w:val="24"/>
          <w:szCs w:val="24"/>
        </w:rPr>
      </w:pPr>
    </w:p>
    <w:p w14:paraId="02DEC485">
      <w:pPr>
        <w:spacing w:line="360" w:lineRule="auto"/>
        <w:jc w:val="right"/>
        <w:rPr>
          <w:rFonts w:hint="eastAsia" w:ascii="宋体" w:hAnsi="宋体" w:cs="宋体"/>
          <w:sz w:val="24"/>
          <w:szCs w:val="24"/>
          <w:u w:val="single"/>
        </w:rPr>
      </w:pPr>
      <w:r>
        <w:rPr>
          <w:rFonts w:hint="eastAsia" w:ascii="宋体" w:hAnsi="宋体" w:cs="宋体"/>
          <w:sz w:val="24"/>
          <w:szCs w:val="24"/>
        </w:rPr>
        <w:t xml:space="preserve">     供应商：</w:t>
      </w:r>
      <w:r>
        <w:rPr>
          <w:rFonts w:hint="eastAsia" w:ascii="宋体" w:hAnsi="宋体" w:cs="宋体"/>
          <w:sz w:val="24"/>
          <w:szCs w:val="24"/>
          <w:u w:val="single"/>
        </w:rPr>
        <w:t xml:space="preserve">                                </w:t>
      </w:r>
      <w:r>
        <w:rPr>
          <w:rFonts w:hint="eastAsia" w:ascii="宋体" w:hAnsi="宋体" w:cs="宋体"/>
          <w:sz w:val="24"/>
          <w:szCs w:val="24"/>
        </w:rPr>
        <w:t>（盖单位章）</w:t>
      </w:r>
    </w:p>
    <w:p w14:paraId="3725D38C">
      <w:pPr>
        <w:spacing w:line="360" w:lineRule="auto"/>
        <w:jc w:val="right"/>
        <w:rPr>
          <w:rFonts w:hint="eastAsia" w:ascii="宋体" w:hAnsi="宋体" w:cs="宋体"/>
          <w:sz w:val="24"/>
          <w:szCs w:val="24"/>
          <w:u w:val="single"/>
        </w:rPr>
      </w:pPr>
      <w:r>
        <w:rPr>
          <w:rFonts w:hint="eastAsia" w:ascii="宋体" w:hAnsi="宋体" w:cs="宋体"/>
          <w:sz w:val="24"/>
          <w:szCs w:val="24"/>
          <w:lang w:val="zh-CN"/>
        </w:rPr>
        <w:t>法定代表人</w:t>
      </w:r>
      <w:r>
        <w:rPr>
          <w:rFonts w:hint="eastAsia" w:ascii="宋体" w:hAnsi="宋体" w:cs="宋体"/>
          <w:sz w:val="24"/>
          <w:szCs w:val="24"/>
        </w:rPr>
        <w:t>（负责人）</w:t>
      </w:r>
      <w:r>
        <w:rPr>
          <w:rFonts w:hint="eastAsia" w:ascii="宋体" w:hAnsi="宋体" w:cs="宋体"/>
          <w:sz w:val="24"/>
          <w:szCs w:val="24"/>
          <w:lang w:val="zh-CN"/>
        </w:rPr>
        <w:t>或授权代表</w:t>
      </w:r>
      <w:r>
        <w:rPr>
          <w:rFonts w:hint="eastAsia" w:ascii="宋体" w:hAnsi="宋体" w:cs="宋体"/>
          <w:sz w:val="24"/>
          <w:szCs w:val="24"/>
        </w:rPr>
        <w:t>：</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val="zh-CN"/>
        </w:rPr>
        <w:t>签字或盖章</w:t>
      </w:r>
      <w:r>
        <w:rPr>
          <w:rFonts w:hint="eastAsia" w:ascii="宋体" w:hAnsi="宋体" w:cs="宋体"/>
          <w:sz w:val="24"/>
          <w:szCs w:val="24"/>
        </w:rPr>
        <w:t>）</w:t>
      </w:r>
    </w:p>
    <w:p w14:paraId="4131624D">
      <w:pPr>
        <w:spacing w:line="360" w:lineRule="auto"/>
        <w:ind w:firstLine="4320" w:firstLineChars="1800"/>
        <w:rPr>
          <w:rFonts w:hint="eastAsia" w:ascii="宋体" w:hAnsi="宋体" w:cs="宋体"/>
          <w:sz w:val="24"/>
          <w:szCs w:val="24"/>
        </w:rPr>
      </w:pPr>
      <w:r>
        <w:rPr>
          <w:rFonts w:hint="eastAsia" w:ascii="宋体" w:hAnsi="宋体" w:cs="宋体"/>
          <w:sz w:val="24"/>
          <w:szCs w:val="24"/>
        </w:rPr>
        <w:t>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1E94F68C">
      <w:pPr>
        <w:rPr>
          <w:rFonts w:hint="eastAsia" w:ascii="宋体" w:hAnsi="宋体" w:cs="宋体"/>
          <w:b/>
          <w:spacing w:val="2"/>
          <w:sz w:val="28"/>
          <w:szCs w:val="28"/>
        </w:rPr>
      </w:pPr>
      <w:r>
        <w:rPr>
          <w:rFonts w:hint="eastAsia" w:ascii="宋体" w:hAnsi="宋体" w:cs="宋体"/>
          <w:b/>
          <w:spacing w:val="2"/>
          <w:sz w:val="28"/>
          <w:szCs w:val="28"/>
        </w:rPr>
        <w:br w:type="page"/>
      </w:r>
    </w:p>
    <w:p w14:paraId="53C312C7">
      <w:pPr>
        <w:jc w:val="center"/>
        <w:outlineLvl w:val="1"/>
        <w:rPr>
          <w:rFonts w:hint="eastAsia" w:ascii="宋体" w:hAnsi="宋体" w:cs="宋体"/>
          <w:b/>
          <w:spacing w:val="2"/>
          <w:sz w:val="32"/>
          <w:szCs w:val="32"/>
        </w:rPr>
      </w:pPr>
      <w:r>
        <w:rPr>
          <w:rFonts w:hint="eastAsia" w:ascii="宋体" w:hAnsi="宋体" w:cs="宋体"/>
          <w:b/>
          <w:spacing w:val="2"/>
          <w:sz w:val="32"/>
          <w:szCs w:val="32"/>
        </w:rPr>
        <w:t>四、资格审查资料</w:t>
      </w:r>
    </w:p>
    <w:p w14:paraId="7DB445CA">
      <w:pPr>
        <w:jc w:val="center"/>
        <w:rPr>
          <w:rFonts w:hint="eastAsia" w:ascii="宋体" w:hAnsi="宋体" w:cs="宋体"/>
          <w:b/>
          <w:bCs/>
          <w:sz w:val="28"/>
          <w:szCs w:val="28"/>
        </w:rPr>
      </w:pPr>
      <w:r>
        <w:rPr>
          <w:rFonts w:hint="eastAsia" w:ascii="宋体" w:hAnsi="宋体" w:cs="宋体"/>
          <w:b/>
          <w:bCs/>
          <w:sz w:val="28"/>
          <w:szCs w:val="28"/>
        </w:rPr>
        <w:t>（格式自拟，提供资格审查文件）</w:t>
      </w:r>
    </w:p>
    <w:p w14:paraId="07E64D00">
      <w:pPr>
        <w:rPr>
          <w:rFonts w:hint="eastAsia" w:ascii="宋体" w:hAnsi="宋体" w:cs="宋体"/>
          <w:b/>
          <w:bCs/>
          <w:sz w:val="28"/>
          <w:szCs w:val="28"/>
        </w:rPr>
      </w:pPr>
      <w:r>
        <w:rPr>
          <w:rFonts w:hint="eastAsia" w:ascii="宋体" w:hAnsi="宋体" w:cs="宋体"/>
          <w:b/>
          <w:bCs/>
          <w:sz w:val="28"/>
          <w:szCs w:val="28"/>
        </w:rPr>
        <w:br w:type="page"/>
      </w:r>
    </w:p>
    <w:p w14:paraId="29249ACB">
      <w:pPr>
        <w:spacing w:line="360" w:lineRule="auto"/>
        <w:outlineLvl w:val="2"/>
        <w:rPr>
          <w:rFonts w:hint="eastAsia" w:ascii="宋体" w:hAnsi="宋体" w:cs="宋体"/>
          <w:sz w:val="24"/>
          <w:szCs w:val="24"/>
        </w:rPr>
      </w:pPr>
      <w:r>
        <w:rPr>
          <w:rFonts w:hint="eastAsia" w:ascii="宋体" w:hAnsi="宋体" w:cs="宋体"/>
          <w:b/>
          <w:bCs/>
          <w:sz w:val="28"/>
          <w:szCs w:val="28"/>
        </w:rPr>
        <w:t>格式1：落实政府采购政策证明资料</w:t>
      </w:r>
    </w:p>
    <w:p w14:paraId="7C533482">
      <w:pPr>
        <w:autoSpaceDE w:val="0"/>
        <w:autoSpaceDN w:val="0"/>
        <w:adjustRightInd w:val="0"/>
        <w:spacing w:line="360" w:lineRule="auto"/>
        <w:jc w:val="center"/>
        <w:rPr>
          <w:rFonts w:hint="eastAsia" w:ascii="宋体" w:hAnsi="宋体" w:cs="宋体"/>
          <w:b/>
          <w:bCs/>
          <w:kern w:val="0"/>
          <w:sz w:val="24"/>
          <w:szCs w:val="24"/>
        </w:rPr>
      </w:pPr>
      <w:bookmarkStart w:id="76" w:name="_Toc269407896"/>
      <w:bookmarkStart w:id="77" w:name="_Toc269407684"/>
    </w:p>
    <w:p w14:paraId="1F126C78">
      <w:pPr>
        <w:autoSpaceDE w:val="0"/>
        <w:autoSpaceDN w:val="0"/>
        <w:adjustRightInd w:val="0"/>
        <w:spacing w:line="360" w:lineRule="auto"/>
        <w:jc w:val="center"/>
        <w:rPr>
          <w:rFonts w:hint="eastAsia" w:ascii="宋体" w:hAnsi="宋体" w:cs="宋体"/>
          <w:b/>
          <w:bCs/>
          <w:kern w:val="0"/>
          <w:sz w:val="24"/>
          <w:szCs w:val="24"/>
        </w:rPr>
      </w:pPr>
      <w:r>
        <w:rPr>
          <w:rFonts w:hint="eastAsia" w:ascii="宋体" w:hAnsi="宋体" w:cs="宋体"/>
          <w:b/>
          <w:bCs/>
          <w:kern w:val="0"/>
          <w:sz w:val="24"/>
          <w:szCs w:val="24"/>
        </w:rPr>
        <w:t>中小企业声明函(货物)</w:t>
      </w:r>
    </w:p>
    <w:p w14:paraId="20D7FA35">
      <w:pPr>
        <w:autoSpaceDE w:val="0"/>
        <w:autoSpaceDN w:val="0"/>
        <w:adjustRightInd w:val="0"/>
        <w:spacing w:line="360" w:lineRule="auto"/>
        <w:ind w:firstLine="420" w:firstLineChars="200"/>
        <w:rPr>
          <w:rFonts w:hint="eastAsia" w:ascii="宋体" w:hAnsi="宋体" w:cs="宋体"/>
          <w:kern w:val="0"/>
          <w:szCs w:val="21"/>
        </w:rPr>
      </w:pPr>
      <w:bookmarkStart w:id="78" w:name="OLE_LINK119"/>
    </w:p>
    <w:p w14:paraId="18A68917">
      <w:pPr>
        <w:widowControl/>
        <w:spacing w:after="100" w:afterAutospacing="1" w:line="435" w:lineRule="atLeast"/>
        <w:ind w:firstLine="480"/>
        <w:jc w:val="left"/>
        <w:rPr>
          <w:rFonts w:hint="eastAsia" w:ascii="宋体" w:hAnsi="宋体" w:cs="宋体"/>
          <w:sz w:val="24"/>
          <w:szCs w:val="24"/>
        </w:rPr>
      </w:pPr>
      <w:r>
        <w:rPr>
          <w:rFonts w:hint="eastAsia" w:ascii="宋体" w:hAnsi="宋体" w:cs="宋体"/>
          <w:kern w:val="0"/>
          <w:sz w:val="24"/>
          <w:szCs w:val="24"/>
          <w:lang w:bidi="ar"/>
        </w:rPr>
        <w:t>本公司郑重声明，根据《政府采购促进中小企业发展管理办法 财库〔2020〕46号》的规定，本公司参加</w:t>
      </w:r>
      <w:r>
        <w:rPr>
          <w:rFonts w:hint="eastAsia" w:ascii="宋体" w:hAnsi="宋体" w:cs="宋体"/>
          <w:sz w:val="24"/>
          <w:szCs w:val="24"/>
          <w:u w:val="single"/>
        </w:rPr>
        <w:t xml:space="preserve">    </w:t>
      </w:r>
      <w:r>
        <w:rPr>
          <w:rFonts w:hint="eastAsia" w:ascii="宋体" w:hAnsi="宋体" w:cs="宋体"/>
          <w:kern w:val="0"/>
          <w:sz w:val="24"/>
          <w:szCs w:val="24"/>
          <w:u w:val="single"/>
          <w:lang w:bidi="ar"/>
        </w:rPr>
        <w:t>（采购单位名称）</w:t>
      </w:r>
      <w:r>
        <w:rPr>
          <w:rFonts w:hint="eastAsia" w:ascii="宋体" w:hAnsi="宋体" w:cs="宋体"/>
          <w:kern w:val="0"/>
          <w:sz w:val="24"/>
          <w:szCs w:val="24"/>
          <w:lang w:bidi="ar"/>
        </w:rPr>
        <w:t>的</w:t>
      </w:r>
      <w:r>
        <w:rPr>
          <w:rFonts w:hint="eastAsia" w:ascii="宋体" w:hAnsi="宋体" w:cs="宋体"/>
          <w:kern w:val="0"/>
          <w:sz w:val="24"/>
          <w:szCs w:val="24"/>
          <w:u w:val="single"/>
          <w:lang w:bidi="ar"/>
        </w:rPr>
        <w:t xml:space="preserve">      （项目名称）</w:t>
      </w:r>
      <w:r>
        <w:rPr>
          <w:rFonts w:hint="eastAsia" w:ascii="宋体" w:hAnsi="宋体" w:cs="宋体"/>
          <w:kern w:val="0"/>
          <w:sz w:val="24"/>
          <w:szCs w:val="24"/>
          <w:lang w:bidi="ar"/>
        </w:rPr>
        <w:t>采购活动，提供的货物全部由符合政策要求的中小企业制造。相关企业的具体情况如下：</w:t>
      </w:r>
    </w:p>
    <w:p w14:paraId="47E5F5EC">
      <w:pPr>
        <w:pStyle w:val="76"/>
        <w:numPr>
          <w:ilvl w:val="0"/>
          <w:numId w:val="2"/>
        </w:numPr>
        <w:tabs>
          <w:tab w:val="left" w:pos="1540"/>
        </w:tabs>
        <w:autoSpaceDE w:val="0"/>
        <w:autoSpaceDN w:val="0"/>
        <w:spacing w:line="360" w:lineRule="auto"/>
        <w:ind w:firstLine="480"/>
        <w:rPr>
          <w:rFonts w:hint="eastAsia" w:ascii="宋体" w:hAnsi="宋体" w:cs="宋体"/>
          <w:sz w:val="24"/>
          <w:szCs w:val="24"/>
        </w:rPr>
      </w:pPr>
      <w:r>
        <w:rPr>
          <w:rFonts w:hint="eastAsia" w:ascii="宋体" w:hAnsi="宋体" w:cs="宋体"/>
          <w:kern w:val="0"/>
          <w:sz w:val="24"/>
          <w:szCs w:val="24"/>
          <w:u w:val="single"/>
          <w:lang w:bidi="ar"/>
        </w:rPr>
        <w:t xml:space="preserve">      （标的名称）</w:t>
      </w:r>
      <w:r>
        <w:rPr>
          <w:rFonts w:hint="eastAsia" w:ascii="宋体" w:hAnsi="宋体" w:cs="宋体"/>
          <w:kern w:val="0"/>
          <w:sz w:val="24"/>
          <w:szCs w:val="24"/>
          <w:lang w:bidi="ar"/>
        </w:rPr>
        <w:t>，属于</w:t>
      </w:r>
      <w:r>
        <w:rPr>
          <w:rFonts w:hint="eastAsia" w:ascii="宋体" w:hAnsi="宋体" w:cs="宋体"/>
          <w:kern w:val="0"/>
          <w:sz w:val="24"/>
          <w:szCs w:val="24"/>
          <w:u w:val="single"/>
          <w:lang w:bidi="ar"/>
        </w:rPr>
        <w:t xml:space="preserve"> （采购文件中明确的所属行业）</w:t>
      </w:r>
      <w:r>
        <w:rPr>
          <w:rFonts w:hint="eastAsia" w:ascii="宋体" w:hAnsi="宋体" w:cs="宋体"/>
          <w:kern w:val="0"/>
          <w:sz w:val="24"/>
          <w:szCs w:val="24"/>
          <w:lang w:bidi="ar"/>
        </w:rPr>
        <w:t>；制造商为</w:t>
      </w:r>
      <w:r>
        <w:rPr>
          <w:rFonts w:hint="eastAsia" w:ascii="宋体" w:hAnsi="宋体" w:cs="宋体"/>
          <w:kern w:val="0"/>
          <w:sz w:val="24"/>
          <w:szCs w:val="24"/>
          <w:u w:val="single"/>
          <w:lang w:bidi="ar"/>
        </w:rPr>
        <w:t xml:space="preserve">   （企业名称）</w:t>
      </w:r>
      <w:r>
        <w:rPr>
          <w:rFonts w:hint="eastAsia" w:ascii="宋体" w:hAnsi="宋体" w:cs="宋体"/>
          <w:kern w:val="0"/>
          <w:sz w:val="24"/>
          <w:szCs w:val="24"/>
          <w:lang w:bidi="ar"/>
        </w:rPr>
        <w:t>，从业人员</w:t>
      </w:r>
      <w:r>
        <w:rPr>
          <w:rFonts w:hint="eastAsia" w:ascii="宋体" w:hAnsi="宋体" w:cs="宋体"/>
          <w:kern w:val="0"/>
          <w:sz w:val="24"/>
          <w:szCs w:val="24"/>
          <w:u w:val="single"/>
          <w:lang w:bidi="ar"/>
        </w:rPr>
        <w:t xml:space="preserve">    </w:t>
      </w:r>
      <w:r>
        <w:rPr>
          <w:rFonts w:hint="eastAsia" w:ascii="宋体" w:hAnsi="宋体" w:cs="宋体"/>
          <w:kern w:val="0"/>
          <w:sz w:val="24"/>
          <w:szCs w:val="24"/>
          <w:lang w:bidi="ar"/>
        </w:rPr>
        <w:t>人，营业收入为</w:t>
      </w:r>
      <w:r>
        <w:rPr>
          <w:rFonts w:hint="eastAsia" w:ascii="宋体" w:hAnsi="宋体" w:cs="宋体"/>
          <w:kern w:val="0"/>
          <w:sz w:val="24"/>
          <w:szCs w:val="24"/>
          <w:u w:val="single"/>
          <w:lang w:bidi="ar"/>
        </w:rPr>
        <w:t xml:space="preserve">    </w:t>
      </w:r>
      <w:r>
        <w:rPr>
          <w:rFonts w:hint="eastAsia" w:ascii="宋体" w:hAnsi="宋体" w:cs="宋体"/>
          <w:kern w:val="0"/>
          <w:sz w:val="24"/>
          <w:szCs w:val="24"/>
          <w:lang w:bidi="ar"/>
        </w:rPr>
        <w:t>万元，资产总额为</w:t>
      </w:r>
      <w:r>
        <w:rPr>
          <w:rFonts w:hint="eastAsia" w:ascii="宋体" w:hAnsi="宋体" w:cs="宋体"/>
          <w:kern w:val="0"/>
          <w:sz w:val="24"/>
          <w:szCs w:val="24"/>
          <w:u w:val="single"/>
          <w:lang w:bidi="ar"/>
        </w:rPr>
        <w:t xml:space="preserve">   </w:t>
      </w:r>
      <w:r>
        <w:rPr>
          <w:rFonts w:hint="eastAsia" w:ascii="宋体" w:hAnsi="宋体" w:cs="宋体"/>
          <w:kern w:val="0"/>
          <w:sz w:val="24"/>
          <w:szCs w:val="24"/>
          <w:lang w:bidi="ar"/>
        </w:rPr>
        <w:t>万元，属于</w:t>
      </w:r>
      <w:r>
        <w:rPr>
          <w:rFonts w:hint="eastAsia" w:ascii="宋体" w:hAnsi="宋体" w:cs="宋体"/>
          <w:kern w:val="0"/>
          <w:sz w:val="24"/>
          <w:szCs w:val="24"/>
          <w:u w:val="single"/>
          <w:lang w:bidi="ar"/>
        </w:rPr>
        <w:t xml:space="preserve">     （中型企业、小型企业、微型企业）</w:t>
      </w:r>
      <w:r>
        <w:rPr>
          <w:rFonts w:hint="eastAsia" w:ascii="宋体" w:hAnsi="宋体" w:cs="宋体"/>
          <w:sz w:val="24"/>
          <w:szCs w:val="24"/>
        </w:rPr>
        <w:t>；</w:t>
      </w:r>
    </w:p>
    <w:p w14:paraId="5C182BE9">
      <w:pPr>
        <w:pStyle w:val="76"/>
        <w:numPr>
          <w:ilvl w:val="0"/>
          <w:numId w:val="2"/>
        </w:numPr>
        <w:tabs>
          <w:tab w:val="left" w:pos="1540"/>
        </w:tabs>
        <w:autoSpaceDE w:val="0"/>
        <w:autoSpaceDN w:val="0"/>
        <w:spacing w:line="360" w:lineRule="auto"/>
        <w:ind w:firstLine="480"/>
        <w:rPr>
          <w:rFonts w:hint="eastAsia" w:ascii="宋体" w:hAnsi="宋体" w:cs="宋体"/>
          <w:sz w:val="24"/>
          <w:szCs w:val="24"/>
        </w:rPr>
      </w:pPr>
      <w:r>
        <w:rPr>
          <w:rFonts w:hint="eastAsia" w:ascii="宋体" w:hAnsi="宋体" w:cs="宋体"/>
          <w:kern w:val="0"/>
          <w:sz w:val="24"/>
          <w:szCs w:val="24"/>
          <w:u w:val="single"/>
          <w:lang w:bidi="ar"/>
        </w:rPr>
        <w:t xml:space="preserve">      （标的名称）</w:t>
      </w:r>
      <w:r>
        <w:rPr>
          <w:rFonts w:hint="eastAsia" w:ascii="宋体" w:hAnsi="宋体" w:cs="宋体"/>
          <w:kern w:val="0"/>
          <w:sz w:val="24"/>
          <w:szCs w:val="24"/>
          <w:lang w:bidi="ar"/>
        </w:rPr>
        <w:t>，属于</w:t>
      </w:r>
      <w:r>
        <w:rPr>
          <w:rFonts w:hint="eastAsia" w:ascii="宋体" w:hAnsi="宋体" w:cs="宋体"/>
          <w:kern w:val="0"/>
          <w:sz w:val="24"/>
          <w:szCs w:val="24"/>
          <w:u w:val="single"/>
          <w:lang w:bidi="ar"/>
        </w:rPr>
        <w:t xml:space="preserve"> （采购文件中明确的所属行业）</w:t>
      </w:r>
      <w:r>
        <w:rPr>
          <w:rFonts w:hint="eastAsia" w:ascii="宋体" w:hAnsi="宋体" w:cs="宋体"/>
          <w:kern w:val="0"/>
          <w:sz w:val="24"/>
          <w:szCs w:val="24"/>
          <w:lang w:bidi="ar"/>
        </w:rPr>
        <w:t>；制造商为</w:t>
      </w:r>
      <w:r>
        <w:rPr>
          <w:rFonts w:hint="eastAsia" w:ascii="宋体" w:hAnsi="宋体" w:cs="宋体"/>
          <w:kern w:val="0"/>
          <w:sz w:val="24"/>
          <w:szCs w:val="24"/>
          <w:u w:val="single"/>
          <w:lang w:bidi="ar"/>
        </w:rPr>
        <w:t xml:space="preserve">   （企业名称）</w:t>
      </w:r>
      <w:r>
        <w:rPr>
          <w:rFonts w:hint="eastAsia" w:ascii="宋体" w:hAnsi="宋体" w:cs="宋体"/>
          <w:kern w:val="0"/>
          <w:sz w:val="24"/>
          <w:szCs w:val="24"/>
          <w:lang w:bidi="ar"/>
        </w:rPr>
        <w:t>，从业人员</w:t>
      </w:r>
      <w:r>
        <w:rPr>
          <w:rFonts w:hint="eastAsia" w:ascii="宋体" w:hAnsi="宋体" w:cs="宋体"/>
          <w:kern w:val="0"/>
          <w:sz w:val="24"/>
          <w:szCs w:val="24"/>
          <w:u w:val="single"/>
          <w:lang w:bidi="ar"/>
        </w:rPr>
        <w:t xml:space="preserve">    </w:t>
      </w:r>
      <w:r>
        <w:rPr>
          <w:rFonts w:hint="eastAsia" w:ascii="宋体" w:hAnsi="宋体" w:cs="宋体"/>
          <w:kern w:val="0"/>
          <w:sz w:val="24"/>
          <w:szCs w:val="24"/>
          <w:lang w:bidi="ar"/>
        </w:rPr>
        <w:t>人，营业收入为</w:t>
      </w:r>
      <w:r>
        <w:rPr>
          <w:rFonts w:hint="eastAsia" w:ascii="宋体" w:hAnsi="宋体" w:cs="宋体"/>
          <w:kern w:val="0"/>
          <w:sz w:val="24"/>
          <w:szCs w:val="24"/>
          <w:u w:val="single"/>
          <w:lang w:bidi="ar"/>
        </w:rPr>
        <w:t xml:space="preserve">    </w:t>
      </w:r>
      <w:r>
        <w:rPr>
          <w:rFonts w:hint="eastAsia" w:ascii="宋体" w:hAnsi="宋体" w:cs="宋体"/>
          <w:kern w:val="0"/>
          <w:sz w:val="24"/>
          <w:szCs w:val="24"/>
          <w:lang w:bidi="ar"/>
        </w:rPr>
        <w:t>万元，资产总额为</w:t>
      </w:r>
      <w:r>
        <w:rPr>
          <w:rFonts w:hint="eastAsia" w:ascii="宋体" w:hAnsi="宋体" w:cs="宋体"/>
          <w:kern w:val="0"/>
          <w:sz w:val="24"/>
          <w:szCs w:val="24"/>
          <w:u w:val="single"/>
          <w:lang w:bidi="ar"/>
        </w:rPr>
        <w:t xml:space="preserve">   </w:t>
      </w:r>
      <w:r>
        <w:rPr>
          <w:rFonts w:hint="eastAsia" w:ascii="宋体" w:hAnsi="宋体" w:cs="宋体"/>
          <w:kern w:val="0"/>
          <w:sz w:val="24"/>
          <w:szCs w:val="24"/>
          <w:lang w:bidi="ar"/>
        </w:rPr>
        <w:t>万元，属于</w:t>
      </w:r>
      <w:r>
        <w:rPr>
          <w:rFonts w:hint="eastAsia" w:ascii="宋体" w:hAnsi="宋体" w:cs="宋体"/>
          <w:kern w:val="0"/>
          <w:sz w:val="24"/>
          <w:szCs w:val="24"/>
          <w:u w:val="single"/>
          <w:lang w:bidi="ar"/>
        </w:rPr>
        <w:t xml:space="preserve">     （中型企业、小型企业、微型企业）</w:t>
      </w:r>
      <w:r>
        <w:rPr>
          <w:rFonts w:hint="eastAsia" w:ascii="宋体" w:hAnsi="宋体" w:cs="宋体"/>
          <w:sz w:val="24"/>
          <w:szCs w:val="24"/>
        </w:rPr>
        <w:t>；</w:t>
      </w:r>
    </w:p>
    <w:p w14:paraId="265966EF">
      <w:pPr>
        <w:pStyle w:val="76"/>
        <w:numPr>
          <w:ilvl w:val="255"/>
          <w:numId w:val="0"/>
        </w:numPr>
        <w:tabs>
          <w:tab w:val="left" w:pos="1540"/>
        </w:tabs>
        <w:autoSpaceDE w:val="0"/>
        <w:autoSpaceDN w:val="0"/>
        <w:spacing w:line="360" w:lineRule="auto"/>
        <w:rPr>
          <w:rFonts w:hint="eastAsia" w:ascii="宋体" w:hAnsi="宋体" w:cs="宋体"/>
          <w:sz w:val="24"/>
          <w:szCs w:val="24"/>
        </w:rPr>
      </w:pPr>
      <w:r>
        <w:rPr>
          <w:rFonts w:hint="eastAsia" w:ascii="宋体" w:hAnsi="宋体" w:cs="宋体"/>
          <w:sz w:val="24"/>
          <w:szCs w:val="24"/>
        </w:rPr>
        <w:t xml:space="preserve">    </w:t>
      </w:r>
      <w:r>
        <w:rPr>
          <w:rFonts w:ascii="宋体" w:hAnsi="宋体" w:cs="宋体"/>
          <w:sz w:val="24"/>
          <w:szCs w:val="24"/>
        </w:rPr>
        <w:t>……</w:t>
      </w:r>
    </w:p>
    <w:p w14:paraId="4ECE97C5">
      <w:pPr>
        <w:autoSpaceDE w:val="0"/>
        <w:autoSpaceDN w:val="0"/>
        <w:adjustRightInd w:val="0"/>
        <w:spacing w:line="360" w:lineRule="auto"/>
        <w:ind w:firstLine="480" w:firstLineChars="200"/>
        <w:rPr>
          <w:rFonts w:hint="eastAsia" w:ascii="宋体" w:hAnsi="宋体" w:cs="宋体"/>
          <w:kern w:val="0"/>
          <w:sz w:val="24"/>
          <w:szCs w:val="24"/>
          <w:u w:val="single"/>
        </w:rPr>
      </w:pPr>
      <w:r>
        <w:rPr>
          <w:rFonts w:hint="eastAsia" w:ascii="宋体" w:hAnsi="宋体" w:cs="宋体"/>
          <w:kern w:val="0"/>
          <w:sz w:val="24"/>
          <w:szCs w:val="24"/>
        </w:rPr>
        <w:t>以上企业，不属于大企业的分支机构，不存在控股股东为大企业的情形，也不存在与大企业的负责人为同一人的情形。</w:t>
      </w:r>
    </w:p>
    <w:p w14:paraId="66A13C34">
      <w:pPr>
        <w:autoSpaceDE w:val="0"/>
        <w:autoSpaceDN w:val="0"/>
        <w:adjustRightInd w:val="0"/>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本企业对上述声明内容的真实性负责。如有虚假，将依法承担相应责任。</w:t>
      </w:r>
    </w:p>
    <w:p w14:paraId="528F7659">
      <w:pPr>
        <w:autoSpaceDE w:val="0"/>
        <w:autoSpaceDN w:val="0"/>
        <w:adjustRightInd w:val="0"/>
        <w:spacing w:line="360" w:lineRule="auto"/>
        <w:rPr>
          <w:rFonts w:hint="eastAsia" w:ascii="宋体" w:hAnsi="宋体" w:cs="宋体"/>
          <w:kern w:val="0"/>
          <w:sz w:val="24"/>
          <w:szCs w:val="24"/>
          <w:u w:val="single"/>
        </w:rPr>
      </w:pPr>
    </w:p>
    <w:p w14:paraId="64BC1DE7">
      <w:pPr>
        <w:autoSpaceDE w:val="0"/>
        <w:autoSpaceDN w:val="0"/>
        <w:adjustRightInd w:val="0"/>
        <w:spacing w:line="360" w:lineRule="auto"/>
        <w:ind w:firstLine="3600" w:firstLineChars="1500"/>
        <w:rPr>
          <w:rFonts w:hint="eastAsia" w:ascii="宋体" w:hAnsi="宋体" w:cs="宋体"/>
          <w:kern w:val="0"/>
          <w:sz w:val="24"/>
          <w:szCs w:val="24"/>
        </w:rPr>
      </w:pPr>
      <w:r>
        <w:rPr>
          <w:rFonts w:hint="eastAsia" w:ascii="宋体" w:hAnsi="宋体" w:cs="宋体"/>
          <w:kern w:val="0"/>
          <w:sz w:val="24"/>
          <w:szCs w:val="24"/>
        </w:rPr>
        <w:t>企业名称（盖章）：</w:t>
      </w:r>
    </w:p>
    <w:p w14:paraId="1FD42480">
      <w:pPr>
        <w:autoSpaceDE w:val="0"/>
        <w:autoSpaceDN w:val="0"/>
        <w:adjustRightInd w:val="0"/>
        <w:spacing w:line="360" w:lineRule="auto"/>
        <w:ind w:firstLine="3600" w:firstLineChars="1500"/>
        <w:rPr>
          <w:rFonts w:hint="eastAsia" w:ascii="宋体" w:hAnsi="宋体" w:cs="宋体"/>
          <w:kern w:val="0"/>
          <w:sz w:val="24"/>
          <w:szCs w:val="24"/>
        </w:rPr>
      </w:pPr>
      <w:r>
        <w:rPr>
          <w:rFonts w:hint="eastAsia" w:ascii="宋体" w:hAnsi="宋体" w:cs="宋体"/>
          <w:kern w:val="0"/>
          <w:sz w:val="24"/>
          <w:szCs w:val="24"/>
        </w:rPr>
        <w:t>日期：</w:t>
      </w:r>
    </w:p>
    <w:p w14:paraId="28890676">
      <w:pPr>
        <w:spacing w:line="360" w:lineRule="auto"/>
        <w:rPr>
          <w:rFonts w:hint="eastAsia" w:ascii="宋体" w:hAnsi="宋体" w:cs="宋体"/>
          <w:szCs w:val="21"/>
        </w:rPr>
      </w:pPr>
    </w:p>
    <w:p w14:paraId="2BC9AD0B">
      <w:pPr>
        <w:autoSpaceDE w:val="0"/>
        <w:autoSpaceDN w:val="0"/>
        <w:adjustRightInd w:val="0"/>
        <w:spacing w:line="360" w:lineRule="auto"/>
        <w:ind w:firstLine="422" w:firstLineChars="200"/>
        <w:rPr>
          <w:rFonts w:hint="eastAsia" w:ascii="宋体" w:hAnsi="宋体" w:cs="宋体"/>
          <w:b/>
          <w:bCs/>
          <w:kern w:val="0"/>
          <w:szCs w:val="21"/>
        </w:rPr>
      </w:pPr>
      <w:r>
        <w:rPr>
          <w:rFonts w:hint="eastAsia" w:ascii="宋体" w:hAnsi="宋体" w:cs="宋体"/>
          <w:b/>
          <w:bCs/>
          <w:kern w:val="0"/>
          <w:szCs w:val="21"/>
        </w:rPr>
        <w:t>备注：1.从业人员、营业收入、资产总额填报上一年度数据，无上一年度数据的新成立企业可不填报。</w:t>
      </w:r>
    </w:p>
    <w:p w14:paraId="7300401B">
      <w:pPr>
        <w:autoSpaceDE w:val="0"/>
        <w:autoSpaceDN w:val="0"/>
        <w:adjustRightInd w:val="0"/>
        <w:spacing w:line="360" w:lineRule="auto"/>
        <w:ind w:firstLine="422" w:firstLineChars="200"/>
        <w:rPr>
          <w:rFonts w:hint="eastAsia" w:ascii="宋体" w:hAnsi="宋体" w:cs="宋体"/>
          <w:b/>
          <w:bCs/>
          <w:kern w:val="0"/>
          <w:szCs w:val="21"/>
        </w:rPr>
      </w:pPr>
      <w:r>
        <w:rPr>
          <w:rFonts w:hint="eastAsia" w:ascii="宋体" w:hAnsi="宋体" w:cs="宋体"/>
          <w:b/>
          <w:bCs/>
          <w:kern w:val="0"/>
          <w:szCs w:val="21"/>
        </w:rPr>
        <w:t>2.此声明函会在政府采购平台随采购结果一同公示。</w:t>
      </w:r>
    </w:p>
    <w:p w14:paraId="6BA84617">
      <w:pPr>
        <w:pStyle w:val="22"/>
        <w:spacing w:line="360" w:lineRule="auto"/>
        <w:ind w:firstLine="422" w:firstLineChars="200"/>
        <w:jc w:val="both"/>
        <w:rPr>
          <w:rFonts w:hint="eastAsia" w:ascii="宋体" w:hAnsi="宋体" w:eastAsia="宋体"/>
          <w:b/>
          <w:bCs/>
          <w:sz w:val="21"/>
          <w:szCs w:val="21"/>
        </w:rPr>
      </w:pPr>
      <w:r>
        <w:rPr>
          <w:rFonts w:hint="eastAsia" w:ascii="宋体" w:hAnsi="宋体" w:eastAsia="宋体"/>
          <w:b/>
          <w:bCs/>
          <w:sz w:val="21"/>
          <w:szCs w:val="21"/>
        </w:rPr>
        <w:t>3.供应商可登录工业和信息化部中小企业局主办的</w:t>
      </w:r>
      <w:bookmarkStart w:id="79" w:name="OLE_LINK128"/>
      <w:r>
        <w:rPr>
          <w:rFonts w:hint="eastAsia" w:ascii="宋体" w:hAnsi="宋体" w:eastAsia="宋体"/>
          <w:b/>
          <w:bCs/>
          <w:sz w:val="21"/>
          <w:szCs w:val="21"/>
        </w:rPr>
        <w:t>中小企业规模</w:t>
      </w:r>
      <w:bookmarkEnd w:id="79"/>
      <w:r>
        <w:rPr>
          <w:rFonts w:hint="eastAsia" w:ascii="宋体" w:hAnsi="宋体" w:eastAsia="宋体"/>
          <w:b/>
          <w:bCs/>
          <w:sz w:val="21"/>
          <w:szCs w:val="21"/>
        </w:rPr>
        <w:t>类型自测小程序查询本单位企业性质，网址：https://baosong.miit.gov.cn/ScaleTest</w:t>
      </w:r>
    </w:p>
    <w:p w14:paraId="3195CAFB">
      <w:pPr>
        <w:pStyle w:val="22"/>
        <w:spacing w:line="360" w:lineRule="auto"/>
        <w:ind w:left="420"/>
        <w:rPr>
          <w:rFonts w:hint="eastAsia" w:ascii="宋体" w:hAnsi="宋体" w:eastAsia="宋体"/>
          <w:b/>
          <w:bCs/>
          <w:sz w:val="24"/>
          <w:szCs w:val="24"/>
        </w:rPr>
      </w:pPr>
      <w:bookmarkStart w:id="80" w:name="OLE_LINK129"/>
      <w:r>
        <w:rPr>
          <w:rFonts w:hint="eastAsia" w:ascii="宋体" w:hAnsi="宋体" w:eastAsia="宋体"/>
          <w:b/>
          <w:bCs/>
          <w:sz w:val="21"/>
          <w:szCs w:val="21"/>
        </w:rPr>
        <w:t>4.非中小企业可不提供。</w:t>
      </w:r>
      <w:bookmarkEnd w:id="78"/>
    </w:p>
    <w:bookmarkEnd w:id="80"/>
    <w:p w14:paraId="5A98C4F1">
      <w:pPr>
        <w:pStyle w:val="22"/>
        <w:spacing w:line="360" w:lineRule="auto"/>
        <w:ind w:left="420"/>
        <w:rPr>
          <w:rFonts w:hint="eastAsia" w:ascii="宋体" w:hAnsi="宋体" w:eastAsia="宋体"/>
          <w:b/>
          <w:bCs/>
          <w:sz w:val="21"/>
          <w:szCs w:val="21"/>
        </w:rPr>
      </w:pPr>
      <w:r>
        <w:rPr>
          <w:rFonts w:hint="eastAsia" w:ascii="宋体" w:hAnsi="宋体" w:eastAsia="宋体"/>
          <w:b/>
          <w:bCs/>
          <w:sz w:val="21"/>
          <w:szCs w:val="21"/>
        </w:rPr>
        <w:t>5.各行业划型标准为：</w:t>
      </w:r>
      <w:bookmarkStart w:id="81" w:name="OLE_LINK132"/>
      <w:r>
        <w:rPr>
          <w:rFonts w:hint="eastAsia" w:ascii="宋体" w:hAnsi="宋体" w:eastAsia="宋体"/>
          <w:b/>
          <w:bCs/>
          <w:sz w:val="21"/>
          <w:szCs w:val="21"/>
        </w:rPr>
        <w:t xml:space="preserve"> </w:t>
      </w:r>
      <w:bookmarkEnd w:id="81"/>
    </w:p>
    <w:p w14:paraId="31C82F83">
      <w:pPr>
        <w:pStyle w:val="22"/>
        <w:spacing w:line="360" w:lineRule="auto"/>
        <w:ind w:firstLine="420" w:firstLineChars="200"/>
        <w:rPr>
          <w:rFonts w:hint="eastAsia" w:ascii="宋体" w:hAnsi="宋体" w:eastAsia="宋体"/>
          <w:sz w:val="21"/>
          <w:szCs w:val="21"/>
        </w:rPr>
      </w:pPr>
      <w:r>
        <w:rPr>
          <w:rFonts w:hint="eastAsia" w:ascii="宋体" w:hAnsi="宋体" w:eastAsia="宋体"/>
          <w:sz w:val="21"/>
          <w:szCs w:val="21"/>
        </w:rPr>
        <w:t>（一）农、林、牧、渔业。营业收入20000万元以下的为中小微型企业。其中，营业收入500万元及以上的为中型企业，营业收入50万元及以上的为小型企业，营业收入50万元以下的为微型企业。</w:t>
      </w:r>
    </w:p>
    <w:p w14:paraId="67D385E3">
      <w:pPr>
        <w:pStyle w:val="22"/>
        <w:spacing w:line="360" w:lineRule="auto"/>
        <w:ind w:firstLine="420" w:firstLineChars="200"/>
        <w:rPr>
          <w:rFonts w:hint="eastAsia" w:ascii="宋体" w:hAnsi="宋体" w:eastAsia="宋体"/>
          <w:sz w:val="21"/>
          <w:szCs w:val="21"/>
        </w:rPr>
      </w:pPr>
      <w:r>
        <w:rPr>
          <w:rFonts w:hint="eastAsia" w:ascii="宋体" w:hAnsi="宋体" w:eastAsia="宋体"/>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8C43260">
      <w:pPr>
        <w:pStyle w:val="22"/>
        <w:spacing w:line="360" w:lineRule="auto"/>
        <w:ind w:firstLine="420" w:firstLineChars="200"/>
        <w:rPr>
          <w:rFonts w:hint="eastAsia" w:ascii="宋体" w:hAnsi="宋体" w:eastAsia="宋体"/>
          <w:sz w:val="21"/>
          <w:szCs w:val="21"/>
        </w:rPr>
      </w:pPr>
      <w:r>
        <w:rPr>
          <w:rFonts w:hint="eastAsia" w:ascii="宋体" w:hAnsi="宋体" w:eastAsia="宋体"/>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9CD6FB4">
      <w:pPr>
        <w:pStyle w:val="22"/>
        <w:spacing w:line="360" w:lineRule="auto"/>
        <w:ind w:firstLine="420" w:firstLineChars="200"/>
        <w:rPr>
          <w:rFonts w:hint="eastAsia" w:ascii="宋体" w:hAnsi="宋体" w:eastAsia="宋体"/>
          <w:sz w:val="21"/>
          <w:szCs w:val="21"/>
        </w:rPr>
      </w:pPr>
      <w:r>
        <w:rPr>
          <w:rFonts w:hint="eastAsia" w:ascii="宋体" w:hAnsi="宋体" w:eastAsia="宋体"/>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9433CA2">
      <w:pPr>
        <w:pStyle w:val="22"/>
        <w:spacing w:line="360" w:lineRule="auto"/>
        <w:ind w:firstLine="420" w:firstLineChars="200"/>
        <w:rPr>
          <w:rFonts w:hint="eastAsia" w:ascii="宋体" w:hAnsi="宋体" w:eastAsia="宋体"/>
          <w:sz w:val="21"/>
          <w:szCs w:val="21"/>
        </w:rPr>
      </w:pPr>
      <w:r>
        <w:rPr>
          <w:rFonts w:hint="eastAsia" w:ascii="宋体" w:hAnsi="宋体" w:eastAsia="宋体"/>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379F06F">
      <w:pPr>
        <w:pStyle w:val="22"/>
        <w:spacing w:line="360" w:lineRule="auto"/>
        <w:ind w:firstLine="420" w:firstLineChars="200"/>
        <w:rPr>
          <w:rFonts w:hint="eastAsia" w:ascii="宋体" w:hAnsi="宋体" w:eastAsia="宋体"/>
          <w:sz w:val="21"/>
          <w:szCs w:val="21"/>
        </w:rPr>
      </w:pPr>
      <w:r>
        <w:rPr>
          <w:rFonts w:hint="eastAsia" w:ascii="宋体" w:hAnsi="宋体" w:eastAsia="宋体"/>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809CD81">
      <w:pPr>
        <w:pStyle w:val="22"/>
        <w:spacing w:line="360" w:lineRule="auto"/>
        <w:ind w:firstLine="420" w:firstLineChars="200"/>
        <w:rPr>
          <w:rFonts w:hint="eastAsia" w:ascii="宋体" w:hAnsi="宋体" w:eastAsia="宋体"/>
          <w:sz w:val="21"/>
          <w:szCs w:val="21"/>
        </w:rPr>
      </w:pPr>
      <w:r>
        <w:rPr>
          <w:rFonts w:hint="eastAsia" w:ascii="宋体" w:hAnsi="宋体" w:eastAsia="宋体"/>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B1DBF62">
      <w:pPr>
        <w:pStyle w:val="22"/>
        <w:spacing w:line="360" w:lineRule="auto"/>
        <w:ind w:firstLine="420" w:firstLineChars="200"/>
        <w:rPr>
          <w:rFonts w:hint="eastAsia" w:ascii="宋体" w:hAnsi="宋体" w:eastAsia="宋体"/>
          <w:sz w:val="21"/>
          <w:szCs w:val="21"/>
        </w:rPr>
      </w:pPr>
      <w:r>
        <w:rPr>
          <w:rFonts w:hint="eastAsia" w:ascii="宋体" w:hAnsi="宋体" w:eastAsia="宋体"/>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F43CD33">
      <w:pPr>
        <w:pStyle w:val="22"/>
        <w:spacing w:line="360" w:lineRule="auto"/>
        <w:ind w:firstLine="420" w:firstLineChars="200"/>
        <w:rPr>
          <w:rFonts w:hint="eastAsia" w:ascii="宋体" w:hAnsi="宋体" w:eastAsia="宋体"/>
          <w:sz w:val="21"/>
          <w:szCs w:val="21"/>
        </w:rPr>
      </w:pPr>
      <w:r>
        <w:rPr>
          <w:rFonts w:hint="eastAsia" w:ascii="宋体" w:hAnsi="宋体" w:eastAsia="宋体"/>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723D2A7">
      <w:pPr>
        <w:pStyle w:val="22"/>
        <w:spacing w:line="360" w:lineRule="auto"/>
        <w:ind w:firstLine="420" w:firstLineChars="200"/>
        <w:rPr>
          <w:rFonts w:hint="eastAsia" w:ascii="宋体" w:hAnsi="宋体" w:eastAsia="宋体"/>
          <w:sz w:val="21"/>
          <w:szCs w:val="21"/>
        </w:rPr>
      </w:pPr>
      <w:r>
        <w:rPr>
          <w:rFonts w:hint="eastAsia" w:ascii="宋体" w:hAnsi="宋体" w:eastAsia="宋体"/>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4552230">
      <w:pPr>
        <w:pStyle w:val="22"/>
        <w:spacing w:line="360" w:lineRule="auto"/>
        <w:ind w:firstLine="420" w:firstLineChars="200"/>
        <w:rPr>
          <w:rFonts w:hint="eastAsia" w:ascii="宋体" w:hAnsi="宋体" w:eastAsia="宋体"/>
          <w:sz w:val="21"/>
          <w:szCs w:val="21"/>
        </w:rPr>
      </w:pPr>
      <w:r>
        <w:rPr>
          <w:rFonts w:hint="eastAsia" w:ascii="宋体" w:hAnsi="宋体" w:eastAsia="宋体"/>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10D7D42">
      <w:pPr>
        <w:pStyle w:val="22"/>
        <w:spacing w:line="360" w:lineRule="auto"/>
        <w:ind w:firstLine="420" w:firstLineChars="200"/>
        <w:rPr>
          <w:rFonts w:hint="eastAsia" w:ascii="宋体" w:hAnsi="宋体" w:eastAsia="宋体"/>
          <w:sz w:val="21"/>
          <w:szCs w:val="21"/>
        </w:rPr>
      </w:pPr>
      <w:r>
        <w:rPr>
          <w:rFonts w:hint="eastAsia" w:ascii="宋体" w:hAnsi="宋体" w:eastAsia="宋体"/>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D8AFD27">
      <w:pPr>
        <w:pStyle w:val="22"/>
        <w:spacing w:line="360" w:lineRule="auto"/>
        <w:ind w:firstLine="420" w:firstLineChars="200"/>
        <w:rPr>
          <w:rFonts w:hint="eastAsia" w:ascii="宋体" w:hAnsi="宋体" w:eastAsia="宋体"/>
          <w:sz w:val="21"/>
          <w:szCs w:val="21"/>
        </w:rPr>
      </w:pPr>
      <w:r>
        <w:rPr>
          <w:rFonts w:hint="eastAsia" w:ascii="宋体" w:hAnsi="宋体" w:eastAsia="宋体"/>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81EB981">
      <w:pPr>
        <w:pStyle w:val="22"/>
        <w:spacing w:line="360" w:lineRule="auto"/>
        <w:ind w:firstLine="420" w:firstLineChars="200"/>
        <w:rPr>
          <w:rFonts w:hint="eastAsia" w:ascii="宋体" w:hAnsi="宋体" w:eastAsia="宋体"/>
          <w:sz w:val="21"/>
          <w:szCs w:val="21"/>
        </w:rPr>
      </w:pPr>
      <w:r>
        <w:rPr>
          <w:rFonts w:hint="eastAsia" w:ascii="宋体" w:hAnsi="宋体" w:eastAsia="宋体"/>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DBF644E">
      <w:pPr>
        <w:pStyle w:val="22"/>
        <w:spacing w:line="360" w:lineRule="auto"/>
        <w:ind w:firstLine="420" w:firstLineChars="200"/>
        <w:rPr>
          <w:rFonts w:hint="eastAsia" w:ascii="宋体" w:hAnsi="宋体" w:eastAsia="宋体"/>
          <w:sz w:val="21"/>
          <w:szCs w:val="21"/>
        </w:rPr>
      </w:pPr>
      <w:r>
        <w:rPr>
          <w:rFonts w:hint="eastAsia" w:ascii="宋体" w:hAnsi="宋体" w:eastAsia="宋体"/>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277C108">
      <w:pPr>
        <w:pStyle w:val="22"/>
        <w:spacing w:line="360" w:lineRule="auto"/>
        <w:ind w:left="420"/>
        <w:rPr>
          <w:rFonts w:hint="eastAsia" w:ascii="宋体" w:hAnsi="宋体" w:eastAsia="宋体"/>
          <w:b/>
          <w:bCs/>
          <w:sz w:val="24"/>
          <w:szCs w:val="24"/>
        </w:rPr>
      </w:pPr>
      <w:r>
        <w:rPr>
          <w:rFonts w:hint="eastAsia" w:ascii="宋体" w:hAnsi="宋体" w:eastAsia="宋体"/>
          <w:sz w:val="21"/>
          <w:szCs w:val="21"/>
        </w:rPr>
        <w:t>（十六）其他未列明行业。从业人员300人以下的为中小微型企业。其中，从业人员100人及以上的为中型企业；从业人员10人及以上的为小型企业；从业人员10人以下的为微型企业。</w:t>
      </w:r>
    </w:p>
    <w:p w14:paraId="67350853">
      <w:pPr>
        <w:rPr>
          <w:rFonts w:hint="eastAsia" w:ascii="宋体" w:hAnsi="宋体" w:cs="宋体"/>
          <w:sz w:val="24"/>
          <w:szCs w:val="24"/>
        </w:rPr>
      </w:pPr>
      <w:r>
        <w:rPr>
          <w:rFonts w:hint="eastAsia" w:ascii="宋体" w:hAnsi="宋体" w:cs="宋体"/>
          <w:sz w:val="24"/>
          <w:szCs w:val="24"/>
        </w:rPr>
        <w:br w:type="page"/>
      </w:r>
    </w:p>
    <w:bookmarkEnd w:id="76"/>
    <w:bookmarkEnd w:id="77"/>
    <w:p w14:paraId="788D4FBC">
      <w:pPr>
        <w:spacing w:line="400" w:lineRule="exact"/>
        <w:jc w:val="center"/>
        <w:rPr>
          <w:rFonts w:hint="eastAsia" w:ascii="宋体" w:hAnsi="宋体" w:cs="宋体"/>
          <w:b/>
          <w:sz w:val="24"/>
          <w:szCs w:val="24"/>
        </w:rPr>
      </w:pPr>
      <w:r>
        <w:rPr>
          <w:rFonts w:hint="eastAsia" w:ascii="宋体" w:hAnsi="宋体" w:cs="宋体"/>
          <w:b/>
          <w:sz w:val="24"/>
          <w:szCs w:val="24"/>
        </w:rPr>
        <w:t>残疾人福利性单位声明函</w:t>
      </w:r>
    </w:p>
    <w:p w14:paraId="6038DB9A">
      <w:pPr>
        <w:tabs>
          <w:tab w:val="left" w:pos="720"/>
          <w:tab w:val="left" w:pos="8364"/>
        </w:tabs>
        <w:adjustRightInd w:val="0"/>
        <w:snapToGrid w:val="0"/>
        <w:spacing w:line="360" w:lineRule="auto"/>
        <w:ind w:firstLine="420"/>
        <w:rPr>
          <w:rFonts w:hint="eastAsia" w:ascii="宋体" w:hAnsi="宋体" w:cs="宋体"/>
          <w:sz w:val="24"/>
          <w:szCs w:val="24"/>
        </w:rPr>
      </w:pPr>
      <w:r>
        <w:rPr>
          <w:rFonts w:hint="eastAsia" w:ascii="宋体" w:hAnsi="宋体" w:cs="宋体"/>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szCs w:val="24"/>
          <w:u w:val="single"/>
        </w:rPr>
        <w:t>项目名称（项目编号：）</w:t>
      </w:r>
      <w:r>
        <w:rPr>
          <w:rFonts w:hint="eastAsia" w:ascii="宋体" w:hAnsi="宋体" w:cs="宋体"/>
          <w:sz w:val="24"/>
          <w:szCs w:val="24"/>
        </w:rPr>
        <w:t>采购活动提供本单位制造的货物（由本单位承担工程/提供服务），或者提供其他残疾人福利性单位制造的货物（不包括使用非残疾人福利性单位注册商标的货物）。</w:t>
      </w:r>
    </w:p>
    <w:p w14:paraId="004D89FA">
      <w:pPr>
        <w:tabs>
          <w:tab w:val="left" w:pos="720"/>
          <w:tab w:val="left" w:pos="8364"/>
        </w:tabs>
        <w:adjustRightInd w:val="0"/>
        <w:snapToGrid w:val="0"/>
        <w:spacing w:line="360" w:lineRule="auto"/>
        <w:ind w:firstLine="420"/>
        <w:rPr>
          <w:rFonts w:hint="eastAsia" w:ascii="宋体" w:hAnsi="宋体" w:cs="宋体"/>
          <w:sz w:val="24"/>
          <w:szCs w:val="24"/>
        </w:rPr>
      </w:pPr>
      <w:r>
        <w:rPr>
          <w:rFonts w:hint="eastAsia" w:ascii="宋体" w:hAnsi="宋体" w:cs="宋体"/>
          <w:sz w:val="24"/>
          <w:szCs w:val="24"/>
        </w:rPr>
        <w:t>本单位对上述声明的真实性负责。如有虚假，将依法承担相应责任。</w:t>
      </w:r>
    </w:p>
    <w:p w14:paraId="39B2E5EE">
      <w:pPr>
        <w:spacing w:line="360" w:lineRule="auto"/>
        <w:jc w:val="right"/>
        <w:rPr>
          <w:rFonts w:hint="eastAsia" w:ascii="宋体" w:hAnsi="宋体" w:cs="宋体"/>
          <w:sz w:val="24"/>
          <w:szCs w:val="24"/>
          <w:u w:val="single"/>
        </w:rPr>
      </w:pPr>
      <w:r>
        <w:rPr>
          <w:rFonts w:hint="eastAsia" w:ascii="宋体" w:hAnsi="宋体" w:cs="宋体"/>
          <w:sz w:val="24"/>
          <w:szCs w:val="24"/>
        </w:rPr>
        <w:t xml:space="preserve">     供应商：</w:t>
      </w:r>
      <w:r>
        <w:rPr>
          <w:rFonts w:hint="eastAsia" w:ascii="宋体" w:hAnsi="宋体" w:cs="宋体"/>
          <w:sz w:val="24"/>
          <w:szCs w:val="24"/>
          <w:u w:val="single"/>
        </w:rPr>
        <w:t xml:space="preserve">                                </w:t>
      </w:r>
      <w:r>
        <w:rPr>
          <w:rFonts w:hint="eastAsia" w:ascii="宋体" w:hAnsi="宋体" w:cs="宋体"/>
          <w:sz w:val="24"/>
          <w:szCs w:val="24"/>
        </w:rPr>
        <w:t>（盖单位章）</w:t>
      </w:r>
    </w:p>
    <w:p w14:paraId="1F2BB873">
      <w:pPr>
        <w:spacing w:line="360" w:lineRule="auto"/>
        <w:ind w:firstLine="2640" w:firstLineChars="1100"/>
        <w:jc w:val="right"/>
        <w:rPr>
          <w:rFonts w:hint="eastAsia" w:ascii="宋体" w:hAnsi="宋体" w:cs="宋体"/>
          <w:sz w:val="24"/>
          <w:szCs w:val="24"/>
          <w:u w:val="single"/>
        </w:rPr>
      </w:pPr>
      <w:r>
        <w:rPr>
          <w:rFonts w:hint="eastAsia" w:ascii="宋体" w:hAnsi="宋体" w:cs="宋体"/>
          <w:sz w:val="24"/>
          <w:szCs w:val="24"/>
          <w:lang w:val="zh-CN"/>
        </w:rPr>
        <w:t>法定代表人</w:t>
      </w:r>
      <w:r>
        <w:rPr>
          <w:rFonts w:hint="eastAsia" w:ascii="宋体" w:hAnsi="宋体" w:cs="宋体"/>
          <w:sz w:val="24"/>
          <w:szCs w:val="24"/>
        </w:rPr>
        <w:t>（负责人）</w:t>
      </w:r>
      <w:r>
        <w:rPr>
          <w:rFonts w:hint="eastAsia" w:ascii="宋体" w:hAnsi="宋体" w:cs="宋体"/>
          <w:sz w:val="24"/>
          <w:szCs w:val="24"/>
          <w:lang w:val="zh-CN"/>
        </w:rPr>
        <w:t>或授权代表</w:t>
      </w:r>
      <w:r>
        <w:rPr>
          <w:rFonts w:hint="eastAsia" w:ascii="宋体" w:hAnsi="宋体" w:cs="宋体"/>
          <w:sz w:val="24"/>
          <w:szCs w:val="24"/>
        </w:rPr>
        <w:t>：</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val="zh-CN"/>
        </w:rPr>
        <w:t>签字或盖章</w:t>
      </w:r>
      <w:r>
        <w:rPr>
          <w:rFonts w:hint="eastAsia" w:ascii="宋体" w:hAnsi="宋体" w:cs="宋体"/>
          <w:sz w:val="24"/>
          <w:szCs w:val="24"/>
        </w:rPr>
        <w:t>）</w:t>
      </w:r>
    </w:p>
    <w:p w14:paraId="6B4FE599">
      <w:pPr>
        <w:spacing w:line="360" w:lineRule="auto"/>
        <w:ind w:firstLine="4320" w:firstLineChars="1800"/>
        <w:rPr>
          <w:rFonts w:hint="eastAsia" w:ascii="宋体" w:hAnsi="宋体" w:cs="宋体"/>
          <w:sz w:val="24"/>
          <w:szCs w:val="24"/>
        </w:rPr>
      </w:pPr>
      <w:r>
        <w:rPr>
          <w:rFonts w:hint="eastAsia" w:ascii="宋体" w:hAnsi="宋体" w:cs="宋体"/>
          <w:sz w:val="24"/>
          <w:szCs w:val="24"/>
        </w:rPr>
        <w:t>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732805E8">
      <w:pPr>
        <w:tabs>
          <w:tab w:val="left" w:pos="5670"/>
        </w:tabs>
        <w:spacing w:line="360" w:lineRule="auto"/>
        <w:jc w:val="left"/>
        <w:rPr>
          <w:rFonts w:hint="eastAsia" w:ascii="宋体" w:hAnsi="宋体" w:cs="宋体"/>
          <w:sz w:val="24"/>
          <w:szCs w:val="24"/>
        </w:rPr>
      </w:pPr>
      <w:r>
        <w:rPr>
          <w:rFonts w:hint="eastAsia" w:ascii="宋体" w:hAnsi="宋体" w:cs="宋体"/>
          <w:b/>
          <w:bCs/>
          <w:sz w:val="24"/>
          <w:szCs w:val="24"/>
        </w:rPr>
        <w:t>备注：</w:t>
      </w:r>
      <w:r>
        <w:rPr>
          <w:rFonts w:hint="eastAsia" w:ascii="宋体" w:hAnsi="宋体" w:cs="宋体"/>
          <w:sz w:val="24"/>
          <w:szCs w:val="24"/>
        </w:rPr>
        <w:t>根据《财政部 民政部 中国残疾人联合会关于促进残疾人就业政府采购政策的通知》（财库〔2017〕141号）的规定：</w:t>
      </w:r>
    </w:p>
    <w:p w14:paraId="617781B3">
      <w:pPr>
        <w:tabs>
          <w:tab w:val="left" w:pos="5670"/>
        </w:tabs>
        <w:spacing w:line="360" w:lineRule="auto"/>
        <w:jc w:val="left"/>
        <w:rPr>
          <w:rFonts w:hint="eastAsia" w:ascii="宋体" w:hAnsi="宋体" w:cs="宋体"/>
          <w:sz w:val="24"/>
          <w:szCs w:val="24"/>
        </w:rPr>
      </w:pPr>
      <w:r>
        <w:rPr>
          <w:rFonts w:hint="eastAsia" w:ascii="宋体" w:hAnsi="宋体" w:cs="宋体"/>
          <w:sz w:val="24"/>
          <w:szCs w:val="24"/>
        </w:rPr>
        <w:t>一、享受政府采购支持政策的残疾人福利性单位应当同时满足以下条件：</w:t>
      </w:r>
    </w:p>
    <w:p w14:paraId="40B7A9F0">
      <w:pPr>
        <w:tabs>
          <w:tab w:val="left" w:pos="5670"/>
        </w:tabs>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（一）安置的残疾人占本单位在职职工人数的比例不低于25%（含25%），并且安置的残疾人人数不少于10人（含10人）；</w:t>
      </w:r>
    </w:p>
    <w:p w14:paraId="60FF23F8">
      <w:pPr>
        <w:tabs>
          <w:tab w:val="left" w:pos="5670"/>
        </w:tabs>
        <w:spacing w:line="360" w:lineRule="auto"/>
        <w:ind w:firstLine="480" w:firstLineChars="200"/>
        <w:jc w:val="left"/>
        <w:rPr>
          <w:rFonts w:hint="eastAsia" w:ascii="宋体" w:hAnsi="宋体" w:cs="宋体"/>
          <w:sz w:val="24"/>
          <w:szCs w:val="24"/>
        </w:rPr>
      </w:pPr>
      <w:r>
        <w:rPr>
          <w:rFonts w:hint="eastAsia" w:ascii="宋体" w:hAnsi="宋体" w:cs="宋体"/>
          <w:sz w:val="24"/>
          <w:szCs w:val="24"/>
        </w:rPr>
        <w:t>（二）依法与安置的每位残疾人签订了一年以上（含一年）的劳动合同或服务协议；</w:t>
      </w:r>
    </w:p>
    <w:p w14:paraId="3713BB62">
      <w:pPr>
        <w:tabs>
          <w:tab w:val="left" w:pos="5670"/>
        </w:tabs>
        <w:spacing w:line="360" w:lineRule="auto"/>
        <w:ind w:firstLine="480" w:firstLineChars="200"/>
        <w:jc w:val="left"/>
        <w:rPr>
          <w:rFonts w:hint="eastAsia" w:ascii="宋体" w:hAnsi="宋体" w:cs="宋体"/>
          <w:sz w:val="24"/>
          <w:szCs w:val="24"/>
        </w:rPr>
      </w:pPr>
      <w:r>
        <w:rPr>
          <w:rFonts w:hint="eastAsia" w:ascii="宋体" w:hAnsi="宋体" w:cs="宋体"/>
          <w:sz w:val="24"/>
          <w:szCs w:val="24"/>
        </w:rPr>
        <w:t>（三）为安置的每位残疾人按月足额缴纳了基本养老保险、基本医疗保险、失业保险、工伤保险和生育保险等社会保险费；</w:t>
      </w:r>
    </w:p>
    <w:p w14:paraId="0B0873B9">
      <w:pPr>
        <w:tabs>
          <w:tab w:val="left" w:pos="5670"/>
        </w:tabs>
        <w:spacing w:line="360" w:lineRule="auto"/>
        <w:ind w:firstLine="480" w:firstLineChars="200"/>
        <w:jc w:val="left"/>
        <w:rPr>
          <w:rFonts w:hint="eastAsia" w:ascii="宋体" w:hAnsi="宋体" w:cs="宋体"/>
          <w:sz w:val="24"/>
          <w:szCs w:val="24"/>
        </w:rPr>
      </w:pPr>
      <w:r>
        <w:rPr>
          <w:rFonts w:hint="eastAsia" w:ascii="宋体" w:hAnsi="宋体" w:cs="宋体"/>
          <w:sz w:val="24"/>
          <w:szCs w:val="24"/>
        </w:rPr>
        <w:t>（四）通过银行等金融机构向安置的每位残疾人，按月支付了不低于单位所在区县适用的经省级人民政府批准的月最低工资标准的工资；</w:t>
      </w:r>
    </w:p>
    <w:p w14:paraId="5E4C40DE">
      <w:pPr>
        <w:tabs>
          <w:tab w:val="left" w:pos="5670"/>
        </w:tabs>
        <w:spacing w:line="360" w:lineRule="auto"/>
        <w:ind w:firstLine="480" w:firstLineChars="200"/>
        <w:jc w:val="left"/>
        <w:rPr>
          <w:rFonts w:hint="eastAsia" w:ascii="宋体" w:hAnsi="宋体" w:cs="宋体"/>
          <w:sz w:val="24"/>
          <w:szCs w:val="24"/>
        </w:rPr>
      </w:pPr>
      <w:r>
        <w:rPr>
          <w:rFonts w:hint="eastAsia" w:ascii="宋体" w:hAnsi="宋体" w:cs="宋体"/>
          <w:sz w:val="24"/>
          <w:szCs w:val="24"/>
        </w:rPr>
        <w:t>（五）提供本单位制造的货物、承担的工程或者服务（以下简称产品），或者提供其他残疾人福利性单位制造的货物（不包括使用非残疾人福利性单位注册商标的货物）。</w:t>
      </w:r>
    </w:p>
    <w:p w14:paraId="2E617B7C">
      <w:pPr>
        <w:tabs>
          <w:tab w:val="left" w:pos="5670"/>
        </w:tabs>
        <w:spacing w:line="360" w:lineRule="auto"/>
        <w:ind w:firstLine="480" w:firstLineChars="200"/>
        <w:jc w:val="left"/>
        <w:rPr>
          <w:rFonts w:hint="eastAsia" w:ascii="宋体" w:hAnsi="宋体" w:cs="宋体"/>
          <w:sz w:val="24"/>
          <w:szCs w:val="24"/>
        </w:rPr>
      </w:pPr>
      <w:r>
        <w:rPr>
          <w:rFonts w:hint="eastAsia" w:ascii="宋体" w:hAnsi="宋体" w:cs="宋体"/>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CCB2108">
      <w:pPr>
        <w:tabs>
          <w:tab w:val="left" w:pos="720"/>
          <w:tab w:val="left" w:pos="8364"/>
        </w:tabs>
        <w:adjustRightInd w:val="0"/>
        <w:snapToGrid w:val="0"/>
        <w:spacing w:line="360" w:lineRule="auto"/>
        <w:rPr>
          <w:rFonts w:hint="eastAsia" w:ascii="宋体" w:hAnsi="宋体" w:cs="宋体"/>
          <w:sz w:val="24"/>
          <w:szCs w:val="24"/>
        </w:rPr>
      </w:pPr>
      <w:r>
        <w:rPr>
          <w:rFonts w:hint="eastAsia" w:ascii="宋体" w:hAnsi="宋体" w:cs="宋体"/>
          <w:sz w:val="24"/>
          <w:szCs w:val="24"/>
        </w:rPr>
        <w:t>二、成交供应商为残疾人福利性单位的，采购人或者其委托的采购代理机构应当随中标结果同时公告其《残疾人福利性单位声明函》，接受社会监督。</w:t>
      </w:r>
    </w:p>
    <w:p w14:paraId="47BF19B4">
      <w:pPr>
        <w:pStyle w:val="22"/>
        <w:spacing w:line="360" w:lineRule="auto"/>
        <w:ind w:left="420"/>
        <w:rPr>
          <w:rFonts w:hint="eastAsia" w:ascii="宋体" w:hAnsi="宋体" w:eastAsia="宋体"/>
          <w:b/>
          <w:bCs/>
          <w:sz w:val="24"/>
          <w:szCs w:val="24"/>
        </w:rPr>
      </w:pPr>
      <w:r>
        <w:rPr>
          <w:rFonts w:hint="eastAsia" w:ascii="宋体" w:hAnsi="宋体" w:eastAsia="宋体"/>
          <w:b/>
          <w:bCs/>
          <w:sz w:val="24"/>
          <w:szCs w:val="24"/>
        </w:rPr>
        <w:t>备注：非残疾人福利性单位可不提供。</w:t>
      </w:r>
    </w:p>
    <w:p w14:paraId="0949FA84">
      <w:pPr>
        <w:rPr>
          <w:rFonts w:hint="eastAsia" w:ascii="宋体" w:hAnsi="宋体" w:cs="宋体"/>
          <w:sz w:val="24"/>
          <w:szCs w:val="24"/>
        </w:rPr>
      </w:pPr>
      <w:r>
        <w:rPr>
          <w:rFonts w:hint="eastAsia" w:ascii="宋体" w:hAnsi="宋体" w:cs="宋体"/>
          <w:b/>
          <w:sz w:val="24"/>
          <w:szCs w:val="24"/>
          <w:lang w:val="zh-CN"/>
        </w:rPr>
        <w:br w:type="page"/>
      </w:r>
    </w:p>
    <w:p w14:paraId="761C518C">
      <w:pPr>
        <w:jc w:val="center"/>
        <w:rPr>
          <w:rFonts w:hint="eastAsia" w:ascii="宋体" w:hAnsi="宋体" w:cs="宋体"/>
          <w:b/>
          <w:sz w:val="24"/>
          <w:szCs w:val="24"/>
        </w:rPr>
      </w:pPr>
      <w:r>
        <w:rPr>
          <w:rFonts w:hint="eastAsia" w:ascii="宋体" w:hAnsi="宋体" w:cs="宋体"/>
          <w:b/>
          <w:sz w:val="24"/>
          <w:szCs w:val="24"/>
        </w:rPr>
        <w:t>监狱企业声明函</w:t>
      </w:r>
    </w:p>
    <w:p w14:paraId="37715F85">
      <w:pPr>
        <w:spacing w:line="440" w:lineRule="exact"/>
        <w:ind w:firstLine="480" w:firstLineChars="200"/>
        <w:rPr>
          <w:rFonts w:hint="eastAsia" w:ascii="宋体" w:hAnsi="宋体" w:cs="宋体"/>
          <w:sz w:val="24"/>
          <w:szCs w:val="24"/>
        </w:rPr>
      </w:pPr>
    </w:p>
    <w:p w14:paraId="136A4E4E">
      <w:pPr>
        <w:spacing w:line="440" w:lineRule="exact"/>
        <w:ind w:firstLine="480" w:firstLineChars="200"/>
        <w:rPr>
          <w:rFonts w:hint="eastAsia" w:ascii="宋体" w:hAnsi="宋体" w:cs="宋体"/>
          <w:sz w:val="24"/>
          <w:szCs w:val="24"/>
        </w:rPr>
      </w:pPr>
      <w:r>
        <w:rPr>
          <w:rFonts w:hint="eastAsia" w:ascii="宋体" w:hAnsi="宋体" w:cs="宋体"/>
          <w:sz w:val="24"/>
          <w:szCs w:val="24"/>
        </w:rPr>
        <w:t>本单位郑重声明，根据《财政部、司法部关于政府采购支持监狱企业发展有关问题的通知》（财库〔2014〕68号）的规定。因本单位</w:t>
      </w:r>
      <w:r>
        <w:rPr>
          <w:rFonts w:hint="eastAsia" w:ascii="宋体" w:hAnsi="宋体" w:cs="宋体"/>
          <w:bCs/>
          <w:sz w:val="24"/>
          <w:szCs w:val="24"/>
          <w:u w:val="single"/>
        </w:rPr>
        <w:t>（符合）</w:t>
      </w:r>
      <w:r>
        <w:rPr>
          <w:rFonts w:hint="eastAsia" w:ascii="宋体" w:hAnsi="宋体" w:cs="宋体"/>
          <w:bCs/>
          <w:sz w:val="24"/>
          <w:szCs w:val="24"/>
        </w:rPr>
        <w:t>条件，故本单位为</w:t>
      </w:r>
      <w:r>
        <w:rPr>
          <w:rFonts w:hint="eastAsia" w:ascii="宋体" w:hAnsi="宋体" w:cs="宋体"/>
          <w:bCs/>
          <w:sz w:val="24"/>
          <w:szCs w:val="24"/>
          <w:u w:val="single"/>
        </w:rPr>
        <w:t>（监狱）</w:t>
      </w:r>
      <w:r>
        <w:rPr>
          <w:rFonts w:hint="eastAsia" w:ascii="宋体" w:hAnsi="宋体" w:cs="宋体"/>
          <w:bCs/>
          <w:sz w:val="24"/>
          <w:szCs w:val="24"/>
        </w:rPr>
        <w:t>企业。</w:t>
      </w:r>
      <w:r>
        <w:rPr>
          <w:rFonts w:hint="eastAsia" w:ascii="宋体" w:hAnsi="宋体" w:cs="宋体"/>
          <w:sz w:val="24"/>
          <w:szCs w:val="24"/>
        </w:rPr>
        <w:t xml:space="preserve"> </w:t>
      </w:r>
    </w:p>
    <w:p w14:paraId="704AC9C5">
      <w:pPr>
        <w:spacing w:line="440" w:lineRule="exact"/>
        <w:ind w:firstLine="600" w:firstLineChars="250"/>
        <w:rPr>
          <w:rFonts w:hint="eastAsia" w:ascii="宋体" w:hAnsi="宋体" w:cs="宋体"/>
          <w:sz w:val="24"/>
          <w:szCs w:val="24"/>
        </w:rPr>
      </w:pPr>
      <w:r>
        <w:rPr>
          <w:rFonts w:hint="eastAsia" w:ascii="宋体" w:hAnsi="宋体" w:cs="宋体"/>
          <w:sz w:val="24"/>
          <w:szCs w:val="24"/>
        </w:rPr>
        <w:t>本单位对上述声明的真实性负责。如有虚假，将依法承担相应责任。</w:t>
      </w:r>
    </w:p>
    <w:p w14:paraId="002B76B1">
      <w:pPr>
        <w:spacing w:line="440" w:lineRule="exact"/>
        <w:ind w:firstLine="602" w:firstLineChars="250"/>
        <w:rPr>
          <w:rFonts w:hint="eastAsia" w:ascii="宋体" w:hAnsi="宋体" w:cs="宋体"/>
          <w:sz w:val="24"/>
          <w:szCs w:val="24"/>
        </w:rPr>
      </w:pPr>
      <w:r>
        <w:rPr>
          <w:rFonts w:hint="eastAsia" w:ascii="宋体" w:hAnsi="宋体" w:cs="宋体"/>
          <w:b/>
          <w:sz w:val="24"/>
          <w:szCs w:val="24"/>
        </w:rPr>
        <w:t>注：非监狱企业可不提供。</w:t>
      </w:r>
    </w:p>
    <w:p w14:paraId="1E751BFA">
      <w:pPr>
        <w:spacing w:line="440" w:lineRule="exact"/>
        <w:jc w:val="center"/>
        <w:rPr>
          <w:rFonts w:hint="eastAsia" w:ascii="宋体" w:hAnsi="宋体" w:cs="宋体"/>
          <w:sz w:val="24"/>
          <w:szCs w:val="24"/>
        </w:rPr>
      </w:pPr>
    </w:p>
    <w:p w14:paraId="0DBEF7BA">
      <w:pPr>
        <w:autoSpaceDE w:val="0"/>
        <w:autoSpaceDN w:val="0"/>
        <w:adjustRightInd w:val="0"/>
        <w:snapToGrid w:val="0"/>
        <w:spacing w:line="360" w:lineRule="auto"/>
        <w:ind w:firstLine="630"/>
        <w:rPr>
          <w:rFonts w:hint="eastAsia" w:ascii="宋体" w:hAnsi="宋体" w:cs="宋体"/>
          <w:sz w:val="24"/>
          <w:szCs w:val="24"/>
        </w:rPr>
      </w:pPr>
      <w:r>
        <w:rPr>
          <w:rFonts w:hint="eastAsia" w:ascii="宋体" w:hAnsi="宋体" w:cs="宋体"/>
          <w:sz w:val="24"/>
          <w:szCs w:val="24"/>
        </w:rPr>
        <w:t xml:space="preserve">                            </w:t>
      </w:r>
    </w:p>
    <w:p w14:paraId="72325B61">
      <w:pPr>
        <w:spacing w:line="360" w:lineRule="auto"/>
        <w:jc w:val="right"/>
        <w:rPr>
          <w:rFonts w:hint="eastAsia" w:ascii="宋体" w:hAnsi="宋体" w:cs="宋体"/>
          <w:sz w:val="24"/>
          <w:szCs w:val="24"/>
          <w:u w:val="single"/>
        </w:rPr>
      </w:pPr>
      <w:r>
        <w:rPr>
          <w:rFonts w:hint="eastAsia" w:ascii="宋体" w:hAnsi="宋体" w:cs="宋体"/>
          <w:sz w:val="24"/>
          <w:szCs w:val="24"/>
        </w:rPr>
        <w:t xml:space="preserve">     供应商：</w:t>
      </w:r>
      <w:r>
        <w:rPr>
          <w:rFonts w:hint="eastAsia" w:ascii="宋体" w:hAnsi="宋体" w:cs="宋体"/>
          <w:sz w:val="24"/>
          <w:szCs w:val="24"/>
          <w:u w:val="single"/>
        </w:rPr>
        <w:t xml:space="preserve">                                </w:t>
      </w:r>
      <w:r>
        <w:rPr>
          <w:rFonts w:hint="eastAsia" w:ascii="宋体" w:hAnsi="宋体" w:cs="宋体"/>
          <w:sz w:val="24"/>
          <w:szCs w:val="24"/>
        </w:rPr>
        <w:t>（盖单位章）</w:t>
      </w:r>
    </w:p>
    <w:p w14:paraId="10E89D04">
      <w:pPr>
        <w:spacing w:line="360" w:lineRule="auto"/>
        <w:ind w:firstLine="2640" w:firstLineChars="1100"/>
        <w:jc w:val="right"/>
        <w:rPr>
          <w:rFonts w:hint="eastAsia" w:ascii="宋体" w:hAnsi="宋体" w:cs="宋体"/>
          <w:sz w:val="24"/>
          <w:szCs w:val="24"/>
          <w:u w:val="single"/>
        </w:rPr>
      </w:pPr>
      <w:r>
        <w:rPr>
          <w:rFonts w:hint="eastAsia" w:ascii="宋体" w:hAnsi="宋体" w:cs="宋体"/>
          <w:sz w:val="24"/>
          <w:szCs w:val="24"/>
          <w:lang w:val="zh-CN"/>
        </w:rPr>
        <w:t>法定代表人</w:t>
      </w:r>
      <w:r>
        <w:rPr>
          <w:rFonts w:hint="eastAsia" w:ascii="宋体" w:hAnsi="宋体" w:cs="宋体"/>
          <w:sz w:val="24"/>
          <w:szCs w:val="24"/>
        </w:rPr>
        <w:t>（负责人）</w:t>
      </w:r>
      <w:r>
        <w:rPr>
          <w:rFonts w:hint="eastAsia" w:ascii="宋体" w:hAnsi="宋体" w:cs="宋体"/>
          <w:sz w:val="24"/>
          <w:szCs w:val="24"/>
          <w:lang w:val="zh-CN"/>
        </w:rPr>
        <w:t>或授权代表</w:t>
      </w:r>
      <w:r>
        <w:rPr>
          <w:rFonts w:hint="eastAsia" w:ascii="宋体" w:hAnsi="宋体" w:cs="宋体"/>
          <w:sz w:val="24"/>
          <w:szCs w:val="24"/>
        </w:rPr>
        <w:t>：</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val="zh-CN"/>
        </w:rPr>
        <w:t>签字或盖章</w:t>
      </w:r>
      <w:r>
        <w:rPr>
          <w:rFonts w:hint="eastAsia" w:ascii="宋体" w:hAnsi="宋体" w:cs="宋体"/>
          <w:sz w:val="24"/>
          <w:szCs w:val="24"/>
        </w:rPr>
        <w:t>）</w:t>
      </w:r>
    </w:p>
    <w:p w14:paraId="46DC50D5">
      <w:pPr>
        <w:spacing w:line="360" w:lineRule="auto"/>
        <w:ind w:firstLine="4320" w:firstLineChars="1800"/>
        <w:rPr>
          <w:rFonts w:hint="eastAsia" w:ascii="宋体" w:hAnsi="宋体" w:cs="宋体"/>
          <w:sz w:val="24"/>
          <w:szCs w:val="24"/>
        </w:rPr>
      </w:pPr>
      <w:r>
        <w:rPr>
          <w:rFonts w:hint="eastAsia" w:ascii="宋体" w:hAnsi="宋体" w:cs="宋体"/>
          <w:sz w:val="24"/>
          <w:szCs w:val="24"/>
        </w:rPr>
        <w:t>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0D15E5EE">
      <w:pPr>
        <w:spacing w:line="360" w:lineRule="auto"/>
        <w:rPr>
          <w:rFonts w:hint="eastAsia" w:ascii="宋体" w:hAnsi="宋体" w:cs="宋体"/>
          <w:b/>
          <w:bCs/>
          <w:spacing w:val="6"/>
          <w:sz w:val="24"/>
          <w:szCs w:val="24"/>
        </w:rPr>
      </w:pPr>
    </w:p>
    <w:p w14:paraId="1C229A2E">
      <w:pPr>
        <w:spacing w:line="360" w:lineRule="auto"/>
        <w:ind w:firstLine="506" w:firstLineChars="200"/>
        <w:rPr>
          <w:rFonts w:hint="eastAsia" w:ascii="宋体" w:hAnsi="宋体" w:cs="宋体"/>
          <w:b/>
          <w:bCs/>
          <w:spacing w:val="6"/>
          <w:sz w:val="24"/>
          <w:szCs w:val="24"/>
        </w:rPr>
      </w:pPr>
    </w:p>
    <w:p w14:paraId="76818B75">
      <w:pPr>
        <w:pStyle w:val="22"/>
        <w:spacing w:line="360" w:lineRule="auto"/>
        <w:ind w:firstLine="482" w:firstLineChars="200"/>
        <w:rPr>
          <w:rFonts w:hint="eastAsia" w:ascii="宋体" w:hAnsi="宋体" w:eastAsia="宋体"/>
          <w:b/>
          <w:sz w:val="24"/>
          <w:szCs w:val="24"/>
        </w:rPr>
      </w:pPr>
      <w:r>
        <w:rPr>
          <w:rFonts w:hint="eastAsia" w:ascii="宋体" w:hAnsi="宋体" w:eastAsia="宋体"/>
          <w:b/>
          <w:bCs/>
          <w:sz w:val="24"/>
          <w:szCs w:val="24"/>
        </w:rPr>
        <w:t>备注：1.</w:t>
      </w:r>
      <w:r>
        <w:rPr>
          <w:rFonts w:hint="eastAsia" w:ascii="宋体" w:hAnsi="宋体" w:eastAsia="宋体"/>
          <w:b/>
          <w:sz w:val="24"/>
          <w:szCs w:val="24"/>
        </w:rPr>
        <w:t>监狱企业参加政府采购活动时，应当提供由省级以上监狱管理局、戒毒管理局（含新疆生产建设兵团）出具的属于监狱企业的证明文件。</w:t>
      </w:r>
    </w:p>
    <w:p w14:paraId="62D002E9">
      <w:pPr>
        <w:pStyle w:val="22"/>
        <w:spacing w:line="360" w:lineRule="auto"/>
        <w:ind w:firstLine="482" w:firstLineChars="200"/>
        <w:rPr>
          <w:rFonts w:hint="eastAsia" w:ascii="宋体" w:hAnsi="宋体" w:eastAsia="宋体"/>
          <w:b/>
          <w:bCs/>
          <w:sz w:val="24"/>
          <w:szCs w:val="24"/>
        </w:rPr>
      </w:pPr>
      <w:r>
        <w:rPr>
          <w:rFonts w:hint="eastAsia" w:ascii="宋体" w:hAnsi="宋体" w:eastAsia="宋体"/>
          <w:b/>
          <w:sz w:val="24"/>
          <w:szCs w:val="24"/>
        </w:rPr>
        <w:t>2.</w:t>
      </w:r>
      <w:r>
        <w:rPr>
          <w:rFonts w:hint="eastAsia" w:ascii="宋体" w:hAnsi="宋体" w:eastAsia="宋体"/>
          <w:b/>
          <w:bCs/>
          <w:sz w:val="24"/>
          <w:szCs w:val="24"/>
        </w:rPr>
        <w:t>非监狱企业可不提供。</w:t>
      </w:r>
    </w:p>
    <w:p w14:paraId="610C84C7">
      <w:pPr>
        <w:spacing w:line="360" w:lineRule="auto"/>
        <w:rPr>
          <w:rFonts w:hint="eastAsia" w:ascii="宋体" w:hAnsi="宋体" w:cs="宋体"/>
          <w:b/>
          <w:spacing w:val="4"/>
          <w:sz w:val="24"/>
          <w:szCs w:val="24"/>
        </w:rPr>
      </w:pPr>
    </w:p>
    <w:p w14:paraId="384EA1DB">
      <w:pPr>
        <w:spacing w:line="360" w:lineRule="auto"/>
        <w:outlineLvl w:val="2"/>
        <w:rPr>
          <w:rFonts w:hint="eastAsia" w:ascii="宋体" w:hAnsi="宋体" w:cs="宋体"/>
          <w:sz w:val="24"/>
          <w:szCs w:val="24"/>
        </w:rPr>
      </w:pPr>
      <w:r>
        <w:rPr>
          <w:rFonts w:hint="eastAsia" w:ascii="宋体" w:hAnsi="宋体" w:cs="宋体"/>
          <w:b/>
          <w:bCs/>
          <w:sz w:val="24"/>
          <w:szCs w:val="24"/>
        </w:rPr>
        <w:br w:type="page"/>
      </w:r>
      <w:r>
        <w:rPr>
          <w:rFonts w:hint="eastAsia" w:ascii="宋体" w:hAnsi="宋体" w:cs="宋体"/>
          <w:b/>
          <w:bCs/>
          <w:sz w:val="28"/>
          <w:szCs w:val="28"/>
        </w:rPr>
        <w:t>格式2：拒绝政府采购领域商业贿赂承诺书</w:t>
      </w:r>
    </w:p>
    <w:p w14:paraId="3BA4270D">
      <w:pPr>
        <w:keepNext/>
        <w:keepLines/>
        <w:spacing w:line="360" w:lineRule="auto"/>
        <w:jc w:val="center"/>
        <w:rPr>
          <w:rFonts w:hint="eastAsia" w:ascii="宋体" w:hAnsi="宋体" w:cs="宋体"/>
          <w:b/>
          <w:bCs/>
          <w:sz w:val="24"/>
          <w:szCs w:val="24"/>
        </w:rPr>
      </w:pPr>
    </w:p>
    <w:p w14:paraId="237AE50E">
      <w:pPr>
        <w:keepNext/>
        <w:keepLines/>
        <w:spacing w:line="360" w:lineRule="auto"/>
        <w:jc w:val="center"/>
        <w:rPr>
          <w:rFonts w:hint="eastAsia" w:ascii="宋体" w:hAnsi="宋体" w:cs="宋体"/>
          <w:sz w:val="24"/>
          <w:szCs w:val="24"/>
        </w:rPr>
      </w:pPr>
      <w:r>
        <w:rPr>
          <w:rFonts w:hint="eastAsia" w:ascii="宋体" w:hAnsi="宋体" w:cs="宋体"/>
          <w:b/>
          <w:bCs/>
          <w:sz w:val="24"/>
          <w:szCs w:val="24"/>
        </w:rPr>
        <w:t>拒绝政府采购领域商业贿赂承诺书</w:t>
      </w:r>
    </w:p>
    <w:p w14:paraId="3CB220EE">
      <w:pPr>
        <w:tabs>
          <w:tab w:val="left" w:pos="720"/>
          <w:tab w:val="left" w:pos="8364"/>
        </w:tabs>
        <w:adjustRightInd w:val="0"/>
        <w:snapToGrid w:val="0"/>
        <w:spacing w:line="360" w:lineRule="auto"/>
        <w:ind w:firstLine="420"/>
        <w:rPr>
          <w:rFonts w:hint="eastAsia" w:ascii="宋体" w:hAnsi="宋体" w:cs="宋体"/>
          <w:sz w:val="24"/>
          <w:szCs w:val="24"/>
        </w:rPr>
      </w:pPr>
      <w:r>
        <w:rPr>
          <w:rFonts w:hint="eastAsia" w:ascii="宋体" w:hAnsi="宋体" w:cs="宋体"/>
          <w:sz w:val="24"/>
          <w:szCs w:val="24"/>
        </w:rPr>
        <w:t>为响应党中央、国务院关于治理政府采购领域商业贿赂行为的号召，我公司在此承诺：</w:t>
      </w:r>
    </w:p>
    <w:p w14:paraId="18A611F2">
      <w:pPr>
        <w:tabs>
          <w:tab w:val="left" w:pos="720"/>
          <w:tab w:val="left" w:pos="8364"/>
        </w:tabs>
        <w:adjustRightInd w:val="0"/>
        <w:snapToGrid w:val="0"/>
        <w:spacing w:line="360" w:lineRule="auto"/>
        <w:ind w:firstLine="420"/>
        <w:rPr>
          <w:rFonts w:hint="eastAsia" w:ascii="宋体" w:hAnsi="宋体" w:cs="宋体"/>
          <w:sz w:val="24"/>
          <w:szCs w:val="24"/>
        </w:rPr>
      </w:pPr>
      <w:r>
        <w:rPr>
          <w:rFonts w:hint="eastAsia" w:ascii="宋体" w:hAnsi="宋体" w:cs="宋体"/>
          <w:sz w:val="24"/>
          <w:szCs w:val="24"/>
        </w:rPr>
        <w:t>1、在参与政府采购活动中遵纪守法、诚信经营、公平竞标。</w:t>
      </w:r>
    </w:p>
    <w:p w14:paraId="360B2F55">
      <w:pPr>
        <w:tabs>
          <w:tab w:val="left" w:pos="720"/>
          <w:tab w:val="left" w:pos="8364"/>
        </w:tabs>
        <w:adjustRightInd w:val="0"/>
        <w:snapToGrid w:val="0"/>
        <w:spacing w:line="360" w:lineRule="auto"/>
        <w:ind w:firstLine="420"/>
        <w:rPr>
          <w:rFonts w:hint="eastAsia" w:ascii="宋体" w:hAnsi="宋体" w:cs="宋体"/>
          <w:sz w:val="24"/>
          <w:szCs w:val="24"/>
        </w:rPr>
      </w:pPr>
      <w:r>
        <w:rPr>
          <w:rFonts w:hint="eastAsia" w:ascii="宋体" w:hAnsi="宋体" w:cs="宋体"/>
          <w:sz w:val="24"/>
          <w:szCs w:val="24"/>
        </w:rPr>
        <w:t>2、不向政府采购人、采购代理机构和政府采购评审专家进行任何形式的商业贿赂以谋取交易机会。</w:t>
      </w:r>
    </w:p>
    <w:p w14:paraId="66238F1E">
      <w:pPr>
        <w:tabs>
          <w:tab w:val="left" w:pos="720"/>
          <w:tab w:val="left" w:pos="8364"/>
        </w:tabs>
        <w:adjustRightInd w:val="0"/>
        <w:snapToGrid w:val="0"/>
        <w:spacing w:line="360" w:lineRule="auto"/>
        <w:ind w:firstLine="420"/>
        <w:rPr>
          <w:rFonts w:hint="eastAsia" w:ascii="宋体" w:hAnsi="宋体" w:cs="宋体"/>
          <w:sz w:val="24"/>
          <w:szCs w:val="24"/>
        </w:rPr>
      </w:pPr>
      <w:r>
        <w:rPr>
          <w:rFonts w:hint="eastAsia" w:ascii="宋体" w:hAnsi="宋体" w:cs="宋体"/>
          <w:sz w:val="24"/>
          <w:szCs w:val="24"/>
        </w:rPr>
        <w:t>3、不向政府采购代理机构和采购人提供虚假资质文件或采用虚假应标方式参与政府采购市场竞争并谋取中标、成交。</w:t>
      </w:r>
    </w:p>
    <w:p w14:paraId="7D36576C">
      <w:pPr>
        <w:tabs>
          <w:tab w:val="left" w:pos="720"/>
          <w:tab w:val="left" w:pos="8364"/>
        </w:tabs>
        <w:adjustRightInd w:val="0"/>
        <w:snapToGrid w:val="0"/>
        <w:spacing w:line="360" w:lineRule="auto"/>
        <w:ind w:firstLine="420"/>
        <w:rPr>
          <w:rFonts w:hint="eastAsia" w:ascii="宋体" w:hAnsi="宋体" w:cs="宋体"/>
          <w:sz w:val="24"/>
          <w:szCs w:val="24"/>
        </w:rPr>
      </w:pPr>
      <w:r>
        <w:rPr>
          <w:rFonts w:hint="eastAsia" w:ascii="宋体" w:hAnsi="宋体" w:cs="宋体"/>
          <w:sz w:val="24"/>
          <w:szCs w:val="24"/>
        </w:rPr>
        <w:t>4、不采取“围标、陪标”等商业欺诈手段获得政府采购定单。</w:t>
      </w:r>
    </w:p>
    <w:p w14:paraId="28C4CF29">
      <w:pPr>
        <w:tabs>
          <w:tab w:val="left" w:pos="720"/>
          <w:tab w:val="left" w:pos="8364"/>
        </w:tabs>
        <w:adjustRightInd w:val="0"/>
        <w:snapToGrid w:val="0"/>
        <w:spacing w:line="360" w:lineRule="auto"/>
        <w:ind w:firstLine="420"/>
        <w:rPr>
          <w:rFonts w:hint="eastAsia" w:ascii="宋体" w:hAnsi="宋体" w:cs="宋体"/>
          <w:sz w:val="24"/>
          <w:szCs w:val="24"/>
        </w:rPr>
      </w:pPr>
      <w:r>
        <w:rPr>
          <w:rFonts w:hint="eastAsia" w:ascii="宋体" w:hAnsi="宋体" w:cs="宋体"/>
          <w:sz w:val="24"/>
          <w:szCs w:val="24"/>
        </w:rPr>
        <w:t>5、不采取不正当手段诋毁、排挤其他供应商。</w:t>
      </w:r>
    </w:p>
    <w:p w14:paraId="214C145D">
      <w:pPr>
        <w:tabs>
          <w:tab w:val="left" w:pos="720"/>
          <w:tab w:val="left" w:pos="8364"/>
        </w:tabs>
        <w:adjustRightInd w:val="0"/>
        <w:snapToGrid w:val="0"/>
        <w:spacing w:line="360" w:lineRule="auto"/>
        <w:ind w:firstLine="420"/>
        <w:rPr>
          <w:rFonts w:hint="eastAsia" w:ascii="宋体" w:hAnsi="宋体" w:cs="宋体"/>
          <w:sz w:val="24"/>
          <w:szCs w:val="24"/>
        </w:rPr>
      </w:pPr>
      <w:r>
        <w:rPr>
          <w:rFonts w:hint="eastAsia" w:ascii="宋体" w:hAnsi="宋体" w:cs="宋体"/>
          <w:sz w:val="24"/>
          <w:szCs w:val="24"/>
        </w:rPr>
        <w:t>6、不在提供商品和服务时“偷梁换柱、以次充好”损害采购人的合法权益。</w:t>
      </w:r>
    </w:p>
    <w:p w14:paraId="7EB5FDA9">
      <w:pPr>
        <w:tabs>
          <w:tab w:val="left" w:pos="720"/>
          <w:tab w:val="left" w:pos="8364"/>
        </w:tabs>
        <w:adjustRightInd w:val="0"/>
        <w:snapToGrid w:val="0"/>
        <w:spacing w:line="360" w:lineRule="auto"/>
        <w:ind w:firstLine="420"/>
        <w:rPr>
          <w:rFonts w:hint="eastAsia" w:ascii="宋体" w:hAnsi="宋体" w:cs="宋体"/>
          <w:sz w:val="24"/>
          <w:szCs w:val="24"/>
        </w:rPr>
      </w:pPr>
      <w:r>
        <w:rPr>
          <w:rFonts w:hint="eastAsia" w:ascii="宋体" w:hAnsi="宋体" w:cs="宋体"/>
          <w:sz w:val="24"/>
          <w:szCs w:val="24"/>
        </w:rPr>
        <w:t>7、不与采购人、采购代理机构政府采购评审专家或其它供应商恶意串通，进行质疑和投诉，维护政府采购市场秩序。</w:t>
      </w:r>
    </w:p>
    <w:p w14:paraId="26D14058">
      <w:pPr>
        <w:tabs>
          <w:tab w:val="left" w:pos="720"/>
          <w:tab w:val="left" w:pos="8364"/>
        </w:tabs>
        <w:adjustRightInd w:val="0"/>
        <w:snapToGrid w:val="0"/>
        <w:spacing w:line="360" w:lineRule="auto"/>
        <w:ind w:firstLine="420"/>
        <w:rPr>
          <w:rFonts w:hint="eastAsia" w:ascii="宋体" w:hAnsi="宋体" w:cs="宋体"/>
          <w:sz w:val="24"/>
          <w:szCs w:val="24"/>
        </w:rPr>
      </w:pPr>
      <w:r>
        <w:rPr>
          <w:rFonts w:hint="eastAsia" w:ascii="宋体" w:hAnsi="宋体" w:cs="宋体"/>
          <w:sz w:val="24"/>
          <w:szCs w:val="24"/>
        </w:rPr>
        <w:t>8、尊重和接受政府采购监督管理部门的监督和政府采购代理机构招标采购要求，承担因违约行为给采购人造成的损失。</w:t>
      </w:r>
    </w:p>
    <w:p w14:paraId="449E44DD">
      <w:pPr>
        <w:tabs>
          <w:tab w:val="left" w:pos="720"/>
          <w:tab w:val="left" w:pos="8364"/>
        </w:tabs>
        <w:adjustRightInd w:val="0"/>
        <w:snapToGrid w:val="0"/>
        <w:spacing w:line="360" w:lineRule="auto"/>
        <w:ind w:firstLine="420"/>
        <w:rPr>
          <w:rFonts w:hint="eastAsia" w:ascii="宋体" w:hAnsi="宋体" w:cs="宋体"/>
          <w:sz w:val="24"/>
          <w:szCs w:val="24"/>
        </w:rPr>
      </w:pPr>
      <w:r>
        <w:rPr>
          <w:rFonts w:hint="eastAsia" w:ascii="宋体" w:hAnsi="宋体" w:cs="宋体"/>
          <w:sz w:val="24"/>
          <w:szCs w:val="24"/>
        </w:rPr>
        <w:t>9、不发生其他有悖于政府采购公开、公平、公正和诚信原则的行为。</w:t>
      </w:r>
    </w:p>
    <w:p w14:paraId="06C4A469">
      <w:pPr>
        <w:tabs>
          <w:tab w:val="left" w:pos="720"/>
          <w:tab w:val="left" w:pos="8364"/>
        </w:tabs>
        <w:adjustRightInd w:val="0"/>
        <w:snapToGrid w:val="0"/>
        <w:spacing w:line="360" w:lineRule="auto"/>
        <w:ind w:firstLine="420"/>
        <w:rPr>
          <w:rFonts w:hint="eastAsia" w:ascii="宋体" w:hAnsi="宋体" w:cs="宋体"/>
          <w:sz w:val="24"/>
          <w:szCs w:val="24"/>
        </w:rPr>
      </w:pPr>
    </w:p>
    <w:p w14:paraId="40E4069E">
      <w:pPr>
        <w:tabs>
          <w:tab w:val="left" w:pos="720"/>
          <w:tab w:val="left" w:pos="8364"/>
        </w:tabs>
        <w:adjustRightInd w:val="0"/>
        <w:snapToGrid w:val="0"/>
        <w:spacing w:line="360" w:lineRule="auto"/>
        <w:ind w:firstLine="420"/>
        <w:rPr>
          <w:rFonts w:hint="eastAsia" w:ascii="宋体" w:hAnsi="宋体" w:cs="宋体"/>
          <w:sz w:val="24"/>
          <w:szCs w:val="24"/>
        </w:rPr>
      </w:pPr>
    </w:p>
    <w:p w14:paraId="06DEB744">
      <w:pPr>
        <w:tabs>
          <w:tab w:val="left" w:pos="720"/>
          <w:tab w:val="left" w:pos="8364"/>
        </w:tabs>
        <w:adjustRightInd w:val="0"/>
        <w:snapToGrid w:val="0"/>
        <w:spacing w:line="360" w:lineRule="auto"/>
        <w:ind w:firstLine="420"/>
        <w:rPr>
          <w:rFonts w:hint="eastAsia" w:ascii="宋体" w:hAnsi="宋体" w:cs="宋体"/>
          <w:sz w:val="24"/>
          <w:szCs w:val="24"/>
        </w:rPr>
      </w:pPr>
    </w:p>
    <w:p w14:paraId="29295358">
      <w:pPr>
        <w:tabs>
          <w:tab w:val="left" w:pos="720"/>
          <w:tab w:val="left" w:pos="8364"/>
        </w:tabs>
        <w:adjustRightInd w:val="0"/>
        <w:snapToGrid w:val="0"/>
        <w:spacing w:line="360" w:lineRule="auto"/>
        <w:ind w:firstLine="420"/>
        <w:rPr>
          <w:rFonts w:hint="eastAsia" w:ascii="宋体" w:hAnsi="宋体" w:cs="宋体"/>
          <w:sz w:val="24"/>
          <w:szCs w:val="24"/>
        </w:rPr>
      </w:pPr>
      <w:r>
        <w:rPr>
          <w:rFonts w:hint="eastAsia" w:ascii="宋体" w:hAnsi="宋体" w:cs="宋体"/>
          <w:sz w:val="24"/>
          <w:szCs w:val="24"/>
        </w:rPr>
        <w:t xml:space="preserve">  承诺单位（盖章）</w:t>
      </w:r>
    </w:p>
    <w:p w14:paraId="316F0DD1">
      <w:pPr>
        <w:tabs>
          <w:tab w:val="left" w:pos="720"/>
          <w:tab w:val="left" w:pos="8364"/>
        </w:tabs>
        <w:adjustRightInd w:val="0"/>
        <w:snapToGrid w:val="0"/>
        <w:spacing w:line="360" w:lineRule="auto"/>
        <w:ind w:firstLine="420"/>
        <w:rPr>
          <w:rFonts w:hint="eastAsia" w:ascii="宋体" w:hAnsi="宋体" w:cs="宋体"/>
          <w:sz w:val="24"/>
          <w:szCs w:val="24"/>
        </w:rPr>
      </w:pPr>
      <w:r>
        <w:rPr>
          <w:rFonts w:hint="eastAsia" w:ascii="宋体" w:hAnsi="宋体" w:cs="宋体"/>
          <w:sz w:val="24"/>
          <w:szCs w:val="24"/>
        </w:rPr>
        <w:t xml:space="preserve">  全权代表（签字或盖章）：</w:t>
      </w:r>
    </w:p>
    <w:p w14:paraId="0C71E345">
      <w:pPr>
        <w:tabs>
          <w:tab w:val="left" w:pos="720"/>
          <w:tab w:val="left" w:pos="8364"/>
        </w:tabs>
        <w:adjustRightInd w:val="0"/>
        <w:snapToGrid w:val="0"/>
        <w:spacing w:line="360" w:lineRule="auto"/>
        <w:ind w:firstLine="420"/>
        <w:rPr>
          <w:rFonts w:hint="eastAsia" w:ascii="宋体" w:hAnsi="宋体" w:cs="宋体"/>
          <w:sz w:val="24"/>
          <w:szCs w:val="24"/>
        </w:rPr>
      </w:pPr>
      <w:r>
        <w:rPr>
          <w:rFonts w:hint="eastAsia" w:ascii="宋体" w:hAnsi="宋体" w:cs="宋体"/>
          <w:sz w:val="24"/>
          <w:szCs w:val="24"/>
        </w:rPr>
        <w:t xml:space="preserve">  地    址：                           </w:t>
      </w:r>
    </w:p>
    <w:p w14:paraId="08288777">
      <w:pPr>
        <w:tabs>
          <w:tab w:val="left" w:pos="720"/>
          <w:tab w:val="left" w:pos="8364"/>
        </w:tabs>
        <w:adjustRightInd w:val="0"/>
        <w:snapToGrid w:val="0"/>
        <w:spacing w:line="360" w:lineRule="auto"/>
        <w:ind w:firstLine="420"/>
        <w:rPr>
          <w:rFonts w:hint="eastAsia" w:ascii="宋体" w:hAnsi="宋体" w:cs="宋体"/>
          <w:sz w:val="24"/>
          <w:szCs w:val="24"/>
        </w:rPr>
      </w:pPr>
      <w:r>
        <w:rPr>
          <w:rFonts w:hint="eastAsia" w:ascii="宋体" w:hAnsi="宋体" w:cs="宋体"/>
          <w:sz w:val="24"/>
          <w:szCs w:val="24"/>
        </w:rPr>
        <w:t xml:space="preserve">  电    话：</w:t>
      </w:r>
    </w:p>
    <w:p w14:paraId="15E198F4">
      <w:pPr>
        <w:tabs>
          <w:tab w:val="left" w:pos="7920"/>
        </w:tabs>
        <w:spacing w:line="360" w:lineRule="auto"/>
        <w:jc w:val="right"/>
        <w:rPr>
          <w:rFonts w:hint="eastAsia" w:ascii="宋体" w:hAnsi="宋体" w:cs="宋体"/>
          <w:sz w:val="24"/>
          <w:szCs w:val="24"/>
        </w:rPr>
      </w:pPr>
      <w:r>
        <w:rPr>
          <w:rFonts w:hint="eastAsia" w:ascii="宋体" w:hAnsi="宋体" w:cs="宋体"/>
          <w:sz w:val="24"/>
          <w:szCs w:val="24"/>
        </w:rPr>
        <w:t>年   月   日</w:t>
      </w:r>
    </w:p>
    <w:p w14:paraId="0AB58F60">
      <w:r>
        <w:rPr>
          <w:rFonts w:hint="eastAsia"/>
        </w:rPr>
        <w:br w:type="page"/>
      </w:r>
    </w:p>
    <w:p w14:paraId="724A1B55">
      <w:pPr>
        <w:spacing w:line="360" w:lineRule="auto"/>
        <w:outlineLvl w:val="2"/>
        <w:rPr>
          <w:rFonts w:hint="eastAsia" w:ascii="宋体" w:hAnsi="宋体" w:cs="宋体"/>
          <w:b/>
          <w:bCs/>
          <w:sz w:val="24"/>
          <w:szCs w:val="24"/>
        </w:rPr>
      </w:pPr>
      <w:r>
        <w:rPr>
          <w:rFonts w:hint="eastAsia" w:ascii="宋体" w:hAnsi="宋体" w:cs="宋体"/>
          <w:b/>
          <w:bCs/>
          <w:sz w:val="28"/>
          <w:szCs w:val="28"/>
        </w:rPr>
        <w:t>格式3：非联合体声明</w:t>
      </w:r>
    </w:p>
    <w:p w14:paraId="20077455">
      <w:pPr>
        <w:rPr>
          <w:rFonts w:hint="eastAsia" w:ascii="宋体" w:hAnsi="宋体" w:cs="宋体"/>
          <w:bCs/>
          <w:szCs w:val="21"/>
        </w:rPr>
      </w:pPr>
    </w:p>
    <w:p w14:paraId="59069C72">
      <w:pPr>
        <w:jc w:val="center"/>
        <w:rPr>
          <w:rFonts w:hint="eastAsia" w:ascii="宋体" w:hAnsi="宋体" w:cs="宋体"/>
          <w:b/>
          <w:bCs/>
          <w:sz w:val="24"/>
          <w:szCs w:val="24"/>
        </w:rPr>
      </w:pPr>
      <w:r>
        <w:rPr>
          <w:rFonts w:hint="eastAsia" w:ascii="宋体" w:hAnsi="宋体" w:cs="宋体"/>
          <w:b/>
          <w:bCs/>
          <w:sz w:val="24"/>
          <w:szCs w:val="24"/>
        </w:rPr>
        <w:t>非联合体谈判的声明</w:t>
      </w:r>
    </w:p>
    <w:p w14:paraId="6DACAAC3">
      <w:pPr>
        <w:autoSpaceDE w:val="0"/>
        <w:autoSpaceDN w:val="0"/>
        <w:adjustRightInd w:val="0"/>
        <w:spacing w:line="360" w:lineRule="auto"/>
        <w:jc w:val="center"/>
        <w:rPr>
          <w:rFonts w:hint="eastAsia" w:ascii="宋体" w:hAnsi="宋体" w:cs="宋体"/>
          <w:b/>
          <w:sz w:val="24"/>
          <w:szCs w:val="24"/>
        </w:rPr>
      </w:pPr>
    </w:p>
    <w:p w14:paraId="141FE385"/>
    <w:p w14:paraId="26680F5A">
      <w:pPr>
        <w:autoSpaceDE w:val="0"/>
        <w:autoSpaceDN w:val="0"/>
        <w:adjustRightInd w:val="0"/>
        <w:spacing w:line="360" w:lineRule="auto"/>
        <w:rPr>
          <w:rFonts w:hint="eastAsia" w:ascii="宋体" w:hAnsi="宋体" w:cs="宋体"/>
          <w:b/>
          <w:sz w:val="24"/>
          <w:szCs w:val="24"/>
          <w:u w:val="single"/>
        </w:rPr>
      </w:pPr>
      <w:r>
        <w:rPr>
          <w:rFonts w:hint="eastAsia" w:ascii="宋体" w:hAnsi="宋体" w:cs="宋体"/>
          <w:b/>
          <w:sz w:val="24"/>
          <w:szCs w:val="24"/>
        </w:rPr>
        <w:t>致</w:t>
      </w:r>
      <w:r>
        <w:rPr>
          <w:rFonts w:hint="eastAsia" w:ascii="宋体" w:hAnsi="宋体" w:cs="宋体"/>
          <w:b/>
          <w:sz w:val="24"/>
          <w:szCs w:val="24"/>
          <w:u w:val="single"/>
        </w:rPr>
        <w:t xml:space="preserve">：采购人名称 </w:t>
      </w:r>
    </w:p>
    <w:p w14:paraId="0121C5B8">
      <w:pPr>
        <w:autoSpaceDE w:val="0"/>
        <w:autoSpaceDN w:val="0"/>
        <w:adjustRightInd w:val="0"/>
        <w:spacing w:line="360" w:lineRule="auto"/>
        <w:ind w:firstLine="480" w:firstLineChars="200"/>
        <w:rPr>
          <w:rFonts w:hint="eastAsia" w:ascii="宋体" w:hAnsi="宋体" w:cs="宋体"/>
          <w:bCs/>
          <w:sz w:val="24"/>
          <w:szCs w:val="24"/>
        </w:rPr>
      </w:pPr>
    </w:p>
    <w:p w14:paraId="07AAC50A">
      <w:pPr>
        <w:autoSpaceDE w:val="0"/>
        <w:autoSpaceDN w:val="0"/>
        <w:adjustRightInd w:val="0"/>
        <w:spacing w:line="360" w:lineRule="auto"/>
        <w:ind w:firstLine="480" w:firstLineChars="200"/>
        <w:rPr>
          <w:rFonts w:hint="eastAsia" w:ascii="宋体" w:hAnsi="宋体" w:cs="宋体"/>
          <w:bCs/>
          <w:sz w:val="24"/>
          <w:szCs w:val="24"/>
        </w:rPr>
      </w:pPr>
      <w:r>
        <w:rPr>
          <w:rFonts w:hint="eastAsia" w:ascii="宋体" w:hAnsi="宋体" w:cs="宋体"/>
          <w:bCs/>
          <w:sz w:val="24"/>
          <w:szCs w:val="24"/>
        </w:rPr>
        <w:t>我公司独立参加此次</w:t>
      </w:r>
      <w:r>
        <w:rPr>
          <w:rFonts w:hint="eastAsia" w:ascii="宋体" w:hAnsi="宋体" w:cs="宋体"/>
          <w:sz w:val="24"/>
          <w:szCs w:val="24"/>
          <w:u w:val="single"/>
        </w:rPr>
        <w:t xml:space="preserve"> (项目名称) </w:t>
      </w:r>
      <w:r>
        <w:rPr>
          <w:rFonts w:hint="eastAsia" w:ascii="宋体" w:hAnsi="宋体" w:cs="宋体"/>
          <w:bCs/>
          <w:sz w:val="24"/>
          <w:szCs w:val="24"/>
        </w:rPr>
        <w:t>谈判，未与其他单位组成联合体。</w:t>
      </w:r>
    </w:p>
    <w:p w14:paraId="3D55D605">
      <w:pPr>
        <w:autoSpaceDE w:val="0"/>
        <w:autoSpaceDN w:val="0"/>
        <w:adjustRightInd w:val="0"/>
        <w:spacing w:line="360" w:lineRule="auto"/>
        <w:ind w:firstLine="480" w:firstLineChars="200"/>
        <w:rPr>
          <w:rFonts w:hint="eastAsia" w:ascii="宋体" w:hAnsi="宋体" w:cs="宋体"/>
          <w:bCs/>
          <w:sz w:val="24"/>
          <w:szCs w:val="24"/>
        </w:rPr>
      </w:pPr>
      <w:r>
        <w:rPr>
          <w:rFonts w:hint="eastAsia" w:ascii="宋体" w:hAnsi="宋体" w:cs="宋体"/>
          <w:bCs/>
          <w:sz w:val="24"/>
          <w:szCs w:val="24"/>
        </w:rPr>
        <w:t>特此声明。</w:t>
      </w:r>
    </w:p>
    <w:p w14:paraId="21004470">
      <w:pPr>
        <w:autoSpaceDE w:val="0"/>
        <w:autoSpaceDN w:val="0"/>
        <w:adjustRightInd w:val="0"/>
        <w:spacing w:line="360" w:lineRule="auto"/>
        <w:jc w:val="center"/>
        <w:rPr>
          <w:rFonts w:hint="eastAsia" w:ascii="宋体" w:hAnsi="宋体" w:cs="宋体"/>
          <w:b/>
          <w:sz w:val="24"/>
          <w:szCs w:val="24"/>
        </w:rPr>
      </w:pPr>
    </w:p>
    <w:p w14:paraId="224E4AEA">
      <w:pPr>
        <w:spacing w:line="360" w:lineRule="auto"/>
        <w:jc w:val="right"/>
        <w:rPr>
          <w:rFonts w:hint="eastAsia" w:ascii="宋体" w:hAnsi="宋体" w:cs="宋体"/>
          <w:sz w:val="24"/>
          <w:szCs w:val="24"/>
          <w:u w:val="single"/>
        </w:rPr>
      </w:pPr>
      <w:r>
        <w:rPr>
          <w:rFonts w:hint="eastAsia" w:ascii="宋体" w:hAnsi="宋体" w:cs="宋体"/>
          <w:sz w:val="24"/>
          <w:szCs w:val="24"/>
        </w:rPr>
        <w:t xml:space="preserve"> 供应商：</w:t>
      </w:r>
      <w:r>
        <w:rPr>
          <w:rFonts w:hint="eastAsia" w:ascii="宋体" w:hAnsi="宋体" w:cs="宋体"/>
          <w:sz w:val="24"/>
          <w:szCs w:val="24"/>
          <w:u w:val="single"/>
        </w:rPr>
        <w:t xml:space="preserve">                                </w:t>
      </w:r>
      <w:r>
        <w:rPr>
          <w:rFonts w:hint="eastAsia" w:ascii="宋体" w:hAnsi="宋体" w:cs="宋体"/>
          <w:sz w:val="24"/>
          <w:szCs w:val="24"/>
        </w:rPr>
        <w:t>（盖单位章）</w:t>
      </w:r>
    </w:p>
    <w:p w14:paraId="309CBEC3">
      <w:pPr>
        <w:spacing w:line="360" w:lineRule="auto"/>
        <w:ind w:firstLine="2640" w:firstLineChars="1100"/>
        <w:jc w:val="right"/>
        <w:rPr>
          <w:rFonts w:hint="eastAsia" w:ascii="宋体" w:hAnsi="宋体" w:cs="宋体"/>
          <w:sz w:val="24"/>
          <w:szCs w:val="24"/>
          <w:u w:val="single"/>
        </w:rPr>
      </w:pPr>
      <w:r>
        <w:rPr>
          <w:rFonts w:hint="eastAsia" w:ascii="宋体" w:hAnsi="宋体" w:cs="宋体"/>
          <w:sz w:val="24"/>
          <w:szCs w:val="24"/>
          <w:lang w:val="zh-CN"/>
        </w:rPr>
        <w:t>法定代表人</w:t>
      </w:r>
      <w:r>
        <w:rPr>
          <w:rFonts w:hint="eastAsia" w:ascii="宋体" w:hAnsi="宋体" w:cs="宋体"/>
          <w:sz w:val="24"/>
          <w:szCs w:val="24"/>
        </w:rPr>
        <w:t>（负责人）</w:t>
      </w:r>
      <w:r>
        <w:rPr>
          <w:rFonts w:hint="eastAsia" w:ascii="宋体" w:hAnsi="宋体" w:cs="宋体"/>
          <w:sz w:val="24"/>
          <w:szCs w:val="24"/>
          <w:lang w:val="zh-CN"/>
        </w:rPr>
        <w:t>或授权代表</w:t>
      </w:r>
      <w:r>
        <w:rPr>
          <w:rFonts w:hint="eastAsia" w:ascii="宋体" w:hAnsi="宋体" w:cs="宋体"/>
          <w:sz w:val="24"/>
          <w:szCs w:val="24"/>
        </w:rPr>
        <w:t>：</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val="zh-CN"/>
        </w:rPr>
        <w:t>签字或盖章</w:t>
      </w:r>
      <w:r>
        <w:rPr>
          <w:rFonts w:hint="eastAsia" w:ascii="宋体" w:hAnsi="宋体" w:cs="宋体"/>
          <w:sz w:val="24"/>
          <w:szCs w:val="24"/>
        </w:rPr>
        <w:t>）</w:t>
      </w:r>
    </w:p>
    <w:p w14:paraId="084F0AD2">
      <w:pPr>
        <w:spacing w:line="360" w:lineRule="auto"/>
        <w:ind w:firstLine="4320" w:firstLineChars="1800"/>
        <w:rPr>
          <w:rFonts w:hint="eastAsia" w:ascii="宋体" w:hAnsi="宋体" w:cs="宋体"/>
          <w:sz w:val="24"/>
          <w:szCs w:val="24"/>
        </w:rPr>
      </w:pPr>
      <w:r>
        <w:rPr>
          <w:rFonts w:hint="eastAsia" w:ascii="宋体" w:hAnsi="宋体" w:cs="宋体"/>
          <w:sz w:val="24"/>
          <w:szCs w:val="24"/>
        </w:rPr>
        <w:t>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5B5ED4CF">
      <w:pPr>
        <w:rPr>
          <w:rFonts w:hint="eastAsia" w:ascii="宋体" w:hAnsi="宋体" w:cs="宋体"/>
          <w:b/>
          <w:sz w:val="28"/>
          <w:szCs w:val="22"/>
          <w:lang w:val="zh-CN"/>
        </w:rPr>
      </w:pPr>
    </w:p>
    <w:bookmarkEnd w:id="74"/>
    <w:p w14:paraId="6016DDB7">
      <w:pPr>
        <w:rPr>
          <w:rFonts w:hint="eastAsia" w:ascii="宋体" w:hAnsi="宋体" w:cs="宋体"/>
          <w:b/>
        </w:rPr>
      </w:pPr>
      <w:bookmarkStart w:id="82" w:name="_Toc6048"/>
      <w:bookmarkStart w:id="83" w:name="_Toc23574"/>
      <w:bookmarkStart w:id="84" w:name="_Toc23656"/>
      <w:bookmarkStart w:id="85" w:name="_Toc15943"/>
      <w:bookmarkStart w:id="86" w:name="_Toc1626"/>
      <w:bookmarkStart w:id="87" w:name="_Toc520468914"/>
      <w:r>
        <w:rPr>
          <w:rFonts w:hint="eastAsia" w:ascii="宋体" w:hAnsi="宋体" w:cs="宋体"/>
          <w:b/>
        </w:rPr>
        <w:br w:type="page"/>
      </w:r>
    </w:p>
    <w:bookmarkEnd w:id="82"/>
    <w:bookmarkEnd w:id="83"/>
    <w:bookmarkEnd w:id="84"/>
    <w:bookmarkEnd w:id="85"/>
    <w:bookmarkEnd w:id="86"/>
    <w:bookmarkEnd w:id="87"/>
    <w:p w14:paraId="6844B17C">
      <w:pPr>
        <w:pStyle w:val="2"/>
        <w:rPr>
          <w:rFonts w:hint="eastAsia"/>
          <w:lang w:val="en-US"/>
        </w:rPr>
      </w:pPr>
      <w:bookmarkStart w:id="88" w:name="_Toc11269"/>
      <w:bookmarkStart w:id="89" w:name="_Toc26970"/>
      <w:bookmarkStart w:id="90" w:name="_Toc22826"/>
      <w:bookmarkStart w:id="91" w:name="_Toc4921"/>
      <w:bookmarkStart w:id="92" w:name="_Toc613"/>
      <w:r>
        <w:rPr>
          <w:rFonts w:hint="eastAsia"/>
          <w:lang w:val="en-US"/>
        </w:rPr>
        <w:t>五、商务偏离表</w:t>
      </w:r>
    </w:p>
    <w:tbl>
      <w:tblPr>
        <w:tblStyle w:val="28"/>
        <w:tblW w:w="917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95"/>
        <w:gridCol w:w="2713"/>
        <w:gridCol w:w="2691"/>
        <w:gridCol w:w="1008"/>
        <w:gridCol w:w="1763"/>
      </w:tblGrid>
      <w:tr w14:paraId="0EB642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995" w:type="dxa"/>
            <w:vAlign w:val="center"/>
          </w:tcPr>
          <w:p w14:paraId="2E59D37D">
            <w:pPr>
              <w:spacing w:line="400" w:lineRule="exact"/>
              <w:jc w:val="center"/>
              <w:rPr>
                <w:rFonts w:hint="eastAsia" w:ascii="宋体" w:hAnsi="宋体" w:cs="宋体"/>
                <w:sz w:val="24"/>
                <w:szCs w:val="24"/>
              </w:rPr>
            </w:pPr>
            <w:r>
              <w:rPr>
                <w:rFonts w:hint="eastAsia" w:ascii="宋体" w:hAnsi="宋体" w:cs="宋体"/>
                <w:sz w:val="24"/>
                <w:szCs w:val="24"/>
              </w:rPr>
              <w:t>序号</w:t>
            </w:r>
          </w:p>
        </w:tc>
        <w:tc>
          <w:tcPr>
            <w:tcW w:w="2713" w:type="dxa"/>
            <w:vAlign w:val="center"/>
          </w:tcPr>
          <w:p w14:paraId="47133C66">
            <w:pPr>
              <w:spacing w:line="400" w:lineRule="exact"/>
              <w:jc w:val="center"/>
              <w:rPr>
                <w:rFonts w:hint="eastAsia" w:ascii="宋体" w:hAnsi="宋体" w:cs="宋体"/>
                <w:sz w:val="24"/>
                <w:szCs w:val="24"/>
              </w:rPr>
            </w:pPr>
            <w:r>
              <w:rPr>
                <w:rFonts w:hint="eastAsia" w:ascii="宋体" w:hAnsi="宋体" w:cs="宋体"/>
                <w:sz w:val="24"/>
                <w:szCs w:val="24"/>
              </w:rPr>
              <w:t>采购商务要求</w:t>
            </w:r>
          </w:p>
        </w:tc>
        <w:tc>
          <w:tcPr>
            <w:tcW w:w="2691" w:type="dxa"/>
            <w:vAlign w:val="center"/>
          </w:tcPr>
          <w:p w14:paraId="4800F4AA">
            <w:pPr>
              <w:spacing w:line="400" w:lineRule="exact"/>
              <w:jc w:val="center"/>
              <w:rPr>
                <w:rFonts w:hint="eastAsia" w:ascii="宋体" w:hAnsi="宋体" w:cs="宋体"/>
                <w:sz w:val="24"/>
                <w:szCs w:val="24"/>
              </w:rPr>
            </w:pPr>
            <w:r>
              <w:rPr>
                <w:rFonts w:hint="eastAsia" w:ascii="宋体" w:hAnsi="宋体" w:cs="宋体"/>
                <w:sz w:val="24"/>
                <w:szCs w:val="24"/>
              </w:rPr>
              <w:t>投标文件商务响应</w:t>
            </w:r>
          </w:p>
        </w:tc>
        <w:tc>
          <w:tcPr>
            <w:tcW w:w="1008" w:type="dxa"/>
            <w:vAlign w:val="center"/>
          </w:tcPr>
          <w:p w14:paraId="67B6EEE7">
            <w:pPr>
              <w:spacing w:line="400" w:lineRule="exact"/>
              <w:jc w:val="center"/>
              <w:rPr>
                <w:rFonts w:hint="eastAsia" w:ascii="宋体" w:hAnsi="宋体" w:cs="宋体"/>
                <w:sz w:val="24"/>
                <w:szCs w:val="24"/>
              </w:rPr>
            </w:pPr>
            <w:r>
              <w:rPr>
                <w:rFonts w:hint="eastAsia" w:ascii="宋体" w:hAnsi="宋体" w:cs="宋体"/>
                <w:sz w:val="24"/>
                <w:szCs w:val="24"/>
              </w:rPr>
              <w:t>偏离</w:t>
            </w:r>
          </w:p>
        </w:tc>
        <w:tc>
          <w:tcPr>
            <w:tcW w:w="1763" w:type="dxa"/>
            <w:vAlign w:val="center"/>
          </w:tcPr>
          <w:p w14:paraId="6FF80941">
            <w:pPr>
              <w:spacing w:line="400" w:lineRule="exact"/>
              <w:jc w:val="center"/>
              <w:rPr>
                <w:rFonts w:hint="eastAsia" w:ascii="宋体" w:hAnsi="宋体" w:cs="宋体"/>
                <w:sz w:val="24"/>
                <w:szCs w:val="24"/>
              </w:rPr>
            </w:pPr>
            <w:r>
              <w:rPr>
                <w:rFonts w:hint="eastAsia" w:ascii="宋体" w:hAnsi="宋体" w:cs="宋体"/>
                <w:sz w:val="24"/>
                <w:szCs w:val="24"/>
              </w:rPr>
              <w:t>偏离</w:t>
            </w:r>
          </w:p>
          <w:p w14:paraId="1987EDB0">
            <w:pPr>
              <w:spacing w:line="400" w:lineRule="exact"/>
              <w:jc w:val="center"/>
              <w:rPr>
                <w:rFonts w:hint="eastAsia" w:ascii="宋体" w:hAnsi="宋体" w:cs="宋体"/>
                <w:sz w:val="24"/>
                <w:szCs w:val="24"/>
              </w:rPr>
            </w:pPr>
            <w:r>
              <w:rPr>
                <w:rFonts w:hint="eastAsia" w:ascii="宋体" w:hAnsi="宋体" w:cs="宋体"/>
                <w:sz w:val="24"/>
                <w:szCs w:val="24"/>
              </w:rPr>
              <w:t>及其影响</w:t>
            </w:r>
          </w:p>
        </w:tc>
      </w:tr>
      <w:tr w14:paraId="340EA1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4" w:hRule="exact"/>
          <w:jc w:val="center"/>
        </w:trPr>
        <w:tc>
          <w:tcPr>
            <w:tcW w:w="995" w:type="dxa"/>
            <w:vAlign w:val="center"/>
          </w:tcPr>
          <w:p w14:paraId="01144AAE">
            <w:pPr>
              <w:spacing w:line="400" w:lineRule="exact"/>
              <w:jc w:val="center"/>
              <w:rPr>
                <w:rFonts w:hint="eastAsia" w:ascii="宋体" w:hAnsi="宋体" w:cs="宋体"/>
                <w:sz w:val="24"/>
                <w:szCs w:val="24"/>
              </w:rPr>
            </w:pPr>
          </w:p>
        </w:tc>
        <w:tc>
          <w:tcPr>
            <w:tcW w:w="2713" w:type="dxa"/>
            <w:vAlign w:val="center"/>
          </w:tcPr>
          <w:p w14:paraId="0281A266">
            <w:pPr>
              <w:spacing w:line="400" w:lineRule="exact"/>
              <w:jc w:val="center"/>
              <w:rPr>
                <w:rFonts w:hint="eastAsia" w:ascii="宋体" w:hAnsi="宋体" w:cs="宋体"/>
                <w:sz w:val="24"/>
                <w:szCs w:val="24"/>
              </w:rPr>
            </w:pPr>
          </w:p>
        </w:tc>
        <w:tc>
          <w:tcPr>
            <w:tcW w:w="2691" w:type="dxa"/>
            <w:vAlign w:val="center"/>
          </w:tcPr>
          <w:p w14:paraId="423FC479">
            <w:pPr>
              <w:spacing w:line="400" w:lineRule="exact"/>
              <w:jc w:val="center"/>
              <w:rPr>
                <w:rFonts w:hint="eastAsia" w:ascii="宋体" w:hAnsi="宋体" w:cs="宋体"/>
                <w:sz w:val="24"/>
                <w:szCs w:val="24"/>
              </w:rPr>
            </w:pPr>
          </w:p>
        </w:tc>
        <w:tc>
          <w:tcPr>
            <w:tcW w:w="1008" w:type="dxa"/>
            <w:vAlign w:val="center"/>
          </w:tcPr>
          <w:p w14:paraId="23613BBF">
            <w:pPr>
              <w:spacing w:line="400" w:lineRule="exact"/>
              <w:jc w:val="center"/>
              <w:rPr>
                <w:rFonts w:hint="eastAsia" w:ascii="宋体" w:hAnsi="宋体" w:cs="宋体"/>
                <w:sz w:val="24"/>
                <w:szCs w:val="24"/>
              </w:rPr>
            </w:pPr>
          </w:p>
        </w:tc>
        <w:tc>
          <w:tcPr>
            <w:tcW w:w="1763" w:type="dxa"/>
            <w:vAlign w:val="center"/>
          </w:tcPr>
          <w:p w14:paraId="643DDB30">
            <w:pPr>
              <w:spacing w:line="400" w:lineRule="exact"/>
              <w:jc w:val="center"/>
              <w:rPr>
                <w:rFonts w:hint="eastAsia" w:ascii="宋体" w:hAnsi="宋体" w:cs="宋体"/>
                <w:sz w:val="24"/>
                <w:szCs w:val="24"/>
              </w:rPr>
            </w:pPr>
          </w:p>
        </w:tc>
      </w:tr>
      <w:tr w14:paraId="100697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4" w:hRule="exact"/>
          <w:jc w:val="center"/>
        </w:trPr>
        <w:tc>
          <w:tcPr>
            <w:tcW w:w="995" w:type="dxa"/>
            <w:vAlign w:val="center"/>
          </w:tcPr>
          <w:p w14:paraId="304CBB70">
            <w:pPr>
              <w:spacing w:line="400" w:lineRule="exact"/>
              <w:jc w:val="center"/>
              <w:rPr>
                <w:rFonts w:hint="eastAsia" w:ascii="宋体" w:hAnsi="宋体" w:cs="宋体"/>
                <w:sz w:val="24"/>
                <w:szCs w:val="24"/>
              </w:rPr>
            </w:pPr>
          </w:p>
        </w:tc>
        <w:tc>
          <w:tcPr>
            <w:tcW w:w="2713" w:type="dxa"/>
            <w:vAlign w:val="center"/>
          </w:tcPr>
          <w:p w14:paraId="0ABF9175">
            <w:pPr>
              <w:spacing w:line="400" w:lineRule="exact"/>
              <w:jc w:val="center"/>
              <w:rPr>
                <w:rFonts w:hint="eastAsia" w:ascii="宋体" w:hAnsi="宋体" w:cs="宋体"/>
                <w:sz w:val="24"/>
                <w:szCs w:val="24"/>
              </w:rPr>
            </w:pPr>
          </w:p>
        </w:tc>
        <w:tc>
          <w:tcPr>
            <w:tcW w:w="2691" w:type="dxa"/>
            <w:vAlign w:val="center"/>
          </w:tcPr>
          <w:p w14:paraId="723BD9D7">
            <w:pPr>
              <w:spacing w:line="400" w:lineRule="exact"/>
              <w:jc w:val="center"/>
              <w:rPr>
                <w:rFonts w:hint="eastAsia" w:ascii="宋体" w:hAnsi="宋体" w:cs="宋体"/>
                <w:sz w:val="24"/>
                <w:szCs w:val="24"/>
              </w:rPr>
            </w:pPr>
          </w:p>
        </w:tc>
        <w:tc>
          <w:tcPr>
            <w:tcW w:w="1008" w:type="dxa"/>
            <w:vAlign w:val="center"/>
          </w:tcPr>
          <w:p w14:paraId="7D2110FA">
            <w:pPr>
              <w:spacing w:line="400" w:lineRule="exact"/>
              <w:jc w:val="center"/>
              <w:rPr>
                <w:rFonts w:hint="eastAsia" w:ascii="宋体" w:hAnsi="宋体" w:cs="宋体"/>
                <w:sz w:val="24"/>
                <w:szCs w:val="24"/>
              </w:rPr>
            </w:pPr>
          </w:p>
        </w:tc>
        <w:tc>
          <w:tcPr>
            <w:tcW w:w="1763" w:type="dxa"/>
            <w:vAlign w:val="center"/>
          </w:tcPr>
          <w:p w14:paraId="78953B08">
            <w:pPr>
              <w:spacing w:line="400" w:lineRule="exact"/>
              <w:jc w:val="center"/>
              <w:rPr>
                <w:rFonts w:hint="eastAsia" w:ascii="宋体" w:hAnsi="宋体" w:cs="宋体"/>
                <w:sz w:val="24"/>
                <w:szCs w:val="24"/>
              </w:rPr>
            </w:pPr>
          </w:p>
        </w:tc>
      </w:tr>
      <w:tr w14:paraId="238096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4" w:hRule="exact"/>
          <w:jc w:val="center"/>
        </w:trPr>
        <w:tc>
          <w:tcPr>
            <w:tcW w:w="995" w:type="dxa"/>
            <w:vAlign w:val="center"/>
          </w:tcPr>
          <w:p w14:paraId="67F37006">
            <w:pPr>
              <w:spacing w:line="400" w:lineRule="exact"/>
              <w:jc w:val="center"/>
              <w:rPr>
                <w:rFonts w:hint="eastAsia" w:ascii="宋体" w:hAnsi="宋体" w:cs="宋体"/>
                <w:sz w:val="24"/>
                <w:szCs w:val="24"/>
              </w:rPr>
            </w:pPr>
          </w:p>
        </w:tc>
        <w:tc>
          <w:tcPr>
            <w:tcW w:w="2713" w:type="dxa"/>
            <w:vAlign w:val="center"/>
          </w:tcPr>
          <w:p w14:paraId="011D780A">
            <w:pPr>
              <w:spacing w:line="400" w:lineRule="exact"/>
              <w:jc w:val="center"/>
              <w:rPr>
                <w:rFonts w:hint="eastAsia" w:ascii="宋体" w:hAnsi="宋体" w:cs="宋体"/>
                <w:sz w:val="24"/>
                <w:szCs w:val="24"/>
              </w:rPr>
            </w:pPr>
          </w:p>
        </w:tc>
        <w:tc>
          <w:tcPr>
            <w:tcW w:w="2691" w:type="dxa"/>
            <w:vAlign w:val="center"/>
          </w:tcPr>
          <w:p w14:paraId="6292D3A6">
            <w:pPr>
              <w:spacing w:line="400" w:lineRule="exact"/>
              <w:jc w:val="center"/>
              <w:rPr>
                <w:rFonts w:hint="eastAsia" w:ascii="宋体" w:hAnsi="宋体" w:cs="宋体"/>
                <w:sz w:val="24"/>
                <w:szCs w:val="24"/>
              </w:rPr>
            </w:pPr>
          </w:p>
        </w:tc>
        <w:tc>
          <w:tcPr>
            <w:tcW w:w="1008" w:type="dxa"/>
            <w:vAlign w:val="center"/>
          </w:tcPr>
          <w:p w14:paraId="35CE741A">
            <w:pPr>
              <w:spacing w:line="400" w:lineRule="exact"/>
              <w:jc w:val="center"/>
              <w:rPr>
                <w:rFonts w:hint="eastAsia" w:ascii="宋体" w:hAnsi="宋体" w:cs="宋体"/>
                <w:sz w:val="24"/>
                <w:szCs w:val="24"/>
              </w:rPr>
            </w:pPr>
          </w:p>
        </w:tc>
        <w:tc>
          <w:tcPr>
            <w:tcW w:w="1763" w:type="dxa"/>
            <w:vAlign w:val="center"/>
          </w:tcPr>
          <w:p w14:paraId="4C48E4DB">
            <w:pPr>
              <w:spacing w:line="400" w:lineRule="exact"/>
              <w:jc w:val="center"/>
              <w:rPr>
                <w:rFonts w:hint="eastAsia" w:ascii="宋体" w:hAnsi="宋体" w:cs="宋体"/>
                <w:sz w:val="24"/>
                <w:szCs w:val="24"/>
              </w:rPr>
            </w:pPr>
          </w:p>
        </w:tc>
      </w:tr>
      <w:tr w14:paraId="17D788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4" w:hRule="exact"/>
          <w:jc w:val="center"/>
        </w:trPr>
        <w:tc>
          <w:tcPr>
            <w:tcW w:w="995" w:type="dxa"/>
            <w:vAlign w:val="center"/>
          </w:tcPr>
          <w:p w14:paraId="171995E6">
            <w:pPr>
              <w:spacing w:line="400" w:lineRule="exact"/>
              <w:jc w:val="center"/>
              <w:rPr>
                <w:rFonts w:hint="eastAsia" w:ascii="宋体" w:hAnsi="宋体" w:cs="宋体"/>
                <w:sz w:val="24"/>
                <w:szCs w:val="24"/>
              </w:rPr>
            </w:pPr>
          </w:p>
        </w:tc>
        <w:tc>
          <w:tcPr>
            <w:tcW w:w="2713" w:type="dxa"/>
            <w:vAlign w:val="center"/>
          </w:tcPr>
          <w:p w14:paraId="4B984849">
            <w:pPr>
              <w:spacing w:line="400" w:lineRule="exact"/>
              <w:jc w:val="center"/>
              <w:rPr>
                <w:rFonts w:hint="eastAsia" w:ascii="宋体" w:hAnsi="宋体" w:cs="宋体"/>
                <w:sz w:val="24"/>
                <w:szCs w:val="24"/>
              </w:rPr>
            </w:pPr>
          </w:p>
        </w:tc>
        <w:tc>
          <w:tcPr>
            <w:tcW w:w="2691" w:type="dxa"/>
            <w:vAlign w:val="center"/>
          </w:tcPr>
          <w:p w14:paraId="2C19E70C">
            <w:pPr>
              <w:spacing w:line="400" w:lineRule="exact"/>
              <w:jc w:val="center"/>
              <w:rPr>
                <w:rFonts w:hint="eastAsia" w:ascii="宋体" w:hAnsi="宋体" w:cs="宋体"/>
                <w:sz w:val="24"/>
                <w:szCs w:val="24"/>
              </w:rPr>
            </w:pPr>
          </w:p>
        </w:tc>
        <w:tc>
          <w:tcPr>
            <w:tcW w:w="1008" w:type="dxa"/>
            <w:vAlign w:val="center"/>
          </w:tcPr>
          <w:p w14:paraId="78C1789E">
            <w:pPr>
              <w:spacing w:line="400" w:lineRule="exact"/>
              <w:jc w:val="center"/>
              <w:rPr>
                <w:rFonts w:hint="eastAsia" w:ascii="宋体" w:hAnsi="宋体" w:cs="宋体"/>
                <w:sz w:val="24"/>
                <w:szCs w:val="24"/>
              </w:rPr>
            </w:pPr>
          </w:p>
        </w:tc>
        <w:tc>
          <w:tcPr>
            <w:tcW w:w="1763" w:type="dxa"/>
            <w:vAlign w:val="center"/>
          </w:tcPr>
          <w:p w14:paraId="313D4D9F">
            <w:pPr>
              <w:spacing w:line="400" w:lineRule="exact"/>
              <w:jc w:val="center"/>
              <w:rPr>
                <w:rFonts w:hint="eastAsia" w:ascii="宋体" w:hAnsi="宋体" w:cs="宋体"/>
                <w:sz w:val="24"/>
                <w:szCs w:val="24"/>
              </w:rPr>
            </w:pPr>
          </w:p>
        </w:tc>
      </w:tr>
      <w:tr w14:paraId="192830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64" w:hRule="exact"/>
          <w:jc w:val="center"/>
        </w:trPr>
        <w:tc>
          <w:tcPr>
            <w:tcW w:w="995" w:type="dxa"/>
            <w:vAlign w:val="center"/>
          </w:tcPr>
          <w:p w14:paraId="42ACE6D5">
            <w:pPr>
              <w:spacing w:line="400" w:lineRule="exact"/>
              <w:jc w:val="center"/>
              <w:rPr>
                <w:rFonts w:hint="eastAsia" w:ascii="宋体" w:hAnsi="宋体" w:cs="宋体"/>
                <w:sz w:val="24"/>
                <w:szCs w:val="24"/>
              </w:rPr>
            </w:pPr>
          </w:p>
        </w:tc>
        <w:tc>
          <w:tcPr>
            <w:tcW w:w="2713" w:type="dxa"/>
            <w:vAlign w:val="center"/>
          </w:tcPr>
          <w:p w14:paraId="7E204115">
            <w:pPr>
              <w:spacing w:line="400" w:lineRule="exact"/>
              <w:jc w:val="center"/>
              <w:rPr>
                <w:rFonts w:hint="eastAsia" w:ascii="宋体" w:hAnsi="宋体" w:cs="宋体"/>
                <w:sz w:val="24"/>
                <w:szCs w:val="24"/>
              </w:rPr>
            </w:pPr>
          </w:p>
        </w:tc>
        <w:tc>
          <w:tcPr>
            <w:tcW w:w="2691" w:type="dxa"/>
            <w:vAlign w:val="center"/>
          </w:tcPr>
          <w:p w14:paraId="366DBC50">
            <w:pPr>
              <w:spacing w:line="400" w:lineRule="exact"/>
              <w:jc w:val="center"/>
              <w:rPr>
                <w:rFonts w:hint="eastAsia" w:ascii="宋体" w:hAnsi="宋体" w:cs="宋体"/>
                <w:sz w:val="24"/>
                <w:szCs w:val="24"/>
              </w:rPr>
            </w:pPr>
          </w:p>
        </w:tc>
        <w:tc>
          <w:tcPr>
            <w:tcW w:w="1008" w:type="dxa"/>
            <w:vAlign w:val="center"/>
          </w:tcPr>
          <w:p w14:paraId="2ADE224E">
            <w:pPr>
              <w:spacing w:line="400" w:lineRule="exact"/>
              <w:jc w:val="center"/>
              <w:rPr>
                <w:rFonts w:hint="eastAsia" w:ascii="宋体" w:hAnsi="宋体" w:cs="宋体"/>
                <w:sz w:val="24"/>
                <w:szCs w:val="24"/>
              </w:rPr>
            </w:pPr>
          </w:p>
        </w:tc>
        <w:tc>
          <w:tcPr>
            <w:tcW w:w="1763" w:type="dxa"/>
            <w:vAlign w:val="center"/>
          </w:tcPr>
          <w:p w14:paraId="26D6CAA0">
            <w:pPr>
              <w:spacing w:line="400" w:lineRule="exact"/>
              <w:jc w:val="center"/>
              <w:rPr>
                <w:rFonts w:hint="eastAsia" w:ascii="宋体" w:hAnsi="宋体" w:cs="宋体"/>
                <w:sz w:val="24"/>
                <w:szCs w:val="24"/>
              </w:rPr>
            </w:pPr>
          </w:p>
        </w:tc>
      </w:tr>
      <w:tr w14:paraId="299971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64" w:hRule="exact"/>
          <w:jc w:val="center"/>
        </w:trPr>
        <w:tc>
          <w:tcPr>
            <w:tcW w:w="995" w:type="dxa"/>
            <w:vAlign w:val="center"/>
          </w:tcPr>
          <w:p w14:paraId="35CAE07E">
            <w:pPr>
              <w:spacing w:line="400" w:lineRule="exact"/>
              <w:jc w:val="center"/>
              <w:rPr>
                <w:rFonts w:hint="eastAsia" w:ascii="宋体" w:hAnsi="宋体" w:cs="宋体"/>
                <w:sz w:val="24"/>
                <w:szCs w:val="24"/>
              </w:rPr>
            </w:pPr>
          </w:p>
        </w:tc>
        <w:tc>
          <w:tcPr>
            <w:tcW w:w="2713" w:type="dxa"/>
            <w:vAlign w:val="center"/>
          </w:tcPr>
          <w:p w14:paraId="43130356">
            <w:pPr>
              <w:spacing w:line="400" w:lineRule="exact"/>
              <w:jc w:val="center"/>
              <w:rPr>
                <w:rFonts w:hint="eastAsia" w:ascii="宋体" w:hAnsi="宋体" w:cs="宋体"/>
                <w:sz w:val="24"/>
                <w:szCs w:val="24"/>
              </w:rPr>
            </w:pPr>
          </w:p>
        </w:tc>
        <w:tc>
          <w:tcPr>
            <w:tcW w:w="2691" w:type="dxa"/>
            <w:vAlign w:val="center"/>
          </w:tcPr>
          <w:p w14:paraId="4B73D19C">
            <w:pPr>
              <w:spacing w:line="400" w:lineRule="exact"/>
              <w:jc w:val="center"/>
              <w:rPr>
                <w:rFonts w:hint="eastAsia" w:ascii="宋体" w:hAnsi="宋体" w:cs="宋体"/>
                <w:sz w:val="24"/>
                <w:szCs w:val="24"/>
              </w:rPr>
            </w:pPr>
          </w:p>
        </w:tc>
        <w:tc>
          <w:tcPr>
            <w:tcW w:w="1008" w:type="dxa"/>
            <w:vAlign w:val="center"/>
          </w:tcPr>
          <w:p w14:paraId="353D1F92">
            <w:pPr>
              <w:spacing w:line="400" w:lineRule="exact"/>
              <w:jc w:val="center"/>
              <w:rPr>
                <w:rFonts w:hint="eastAsia" w:ascii="宋体" w:hAnsi="宋体" w:cs="宋体"/>
                <w:sz w:val="24"/>
                <w:szCs w:val="24"/>
              </w:rPr>
            </w:pPr>
          </w:p>
        </w:tc>
        <w:tc>
          <w:tcPr>
            <w:tcW w:w="1763" w:type="dxa"/>
            <w:vAlign w:val="center"/>
          </w:tcPr>
          <w:p w14:paraId="04F0EBF9">
            <w:pPr>
              <w:spacing w:line="400" w:lineRule="exact"/>
              <w:jc w:val="center"/>
              <w:rPr>
                <w:rFonts w:hint="eastAsia" w:ascii="宋体" w:hAnsi="宋体" w:cs="宋体"/>
                <w:sz w:val="24"/>
                <w:szCs w:val="24"/>
              </w:rPr>
            </w:pPr>
          </w:p>
        </w:tc>
      </w:tr>
    </w:tbl>
    <w:p w14:paraId="7E9D23A9">
      <w:pPr>
        <w:spacing w:line="360" w:lineRule="auto"/>
        <w:rPr>
          <w:rFonts w:hint="eastAsia" w:ascii="宋体" w:hAnsi="宋体" w:cs="宋体"/>
          <w:sz w:val="24"/>
          <w:szCs w:val="24"/>
        </w:rPr>
      </w:pPr>
      <w:r>
        <w:rPr>
          <w:rFonts w:hint="eastAsia" w:ascii="宋体" w:hAnsi="宋体" w:cs="宋体"/>
          <w:sz w:val="24"/>
          <w:szCs w:val="24"/>
        </w:rPr>
        <w:t>说明：</w:t>
      </w:r>
    </w:p>
    <w:p w14:paraId="6D6E1888">
      <w:pPr>
        <w:spacing w:line="360" w:lineRule="auto"/>
        <w:rPr>
          <w:rFonts w:hint="eastAsia" w:ascii="宋体" w:hAnsi="宋体" w:cs="宋体"/>
          <w:sz w:val="24"/>
          <w:szCs w:val="21"/>
        </w:rPr>
      </w:pPr>
      <w:r>
        <w:rPr>
          <w:rFonts w:hint="eastAsia" w:ascii="宋体" w:hAnsi="宋体" w:cs="宋体"/>
          <w:sz w:val="24"/>
          <w:szCs w:val="21"/>
        </w:rPr>
        <w:t>1.根据谈判文件“第四章 采购内容及要求 第三条”填写。</w:t>
      </w:r>
    </w:p>
    <w:p w14:paraId="33B00946">
      <w:pPr>
        <w:spacing w:line="360" w:lineRule="auto"/>
        <w:rPr>
          <w:rFonts w:hint="eastAsia" w:ascii="宋体" w:hAnsi="宋体" w:cs="宋体"/>
          <w:sz w:val="24"/>
          <w:szCs w:val="21"/>
        </w:rPr>
      </w:pPr>
      <w:r>
        <w:rPr>
          <w:rFonts w:hint="eastAsia" w:ascii="宋体" w:hAnsi="宋体" w:cs="宋体"/>
          <w:sz w:val="24"/>
          <w:szCs w:val="21"/>
        </w:rPr>
        <w:t>2.如提供空白表，则视为完全响应，但该表需签字盖章齐全。</w:t>
      </w:r>
    </w:p>
    <w:p w14:paraId="0360A39E">
      <w:pPr>
        <w:spacing w:line="360" w:lineRule="auto"/>
        <w:rPr>
          <w:rFonts w:hint="eastAsia" w:ascii="宋体" w:hAnsi="宋体" w:cs="宋体"/>
          <w:sz w:val="24"/>
          <w:szCs w:val="21"/>
        </w:rPr>
      </w:pPr>
    </w:p>
    <w:p w14:paraId="2D718811">
      <w:pPr>
        <w:spacing w:line="400" w:lineRule="exact"/>
        <w:ind w:firstLine="3240" w:firstLineChars="1350"/>
        <w:rPr>
          <w:rFonts w:hint="eastAsia" w:ascii="宋体" w:hAnsi="宋体" w:cs="宋体"/>
          <w:sz w:val="24"/>
          <w:szCs w:val="24"/>
        </w:rPr>
      </w:pPr>
      <w:r>
        <w:rPr>
          <w:rFonts w:hint="eastAsia" w:ascii="宋体" w:hAnsi="宋体" w:cs="宋体"/>
          <w:sz w:val="24"/>
          <w:szCs w:val="24"/>
        </w:rPr>
        <w:t xml:space="preserve">供应商： </w:t>
      </w:r>
      <w:r>
        <w:rPr>
          <w:rFonts w:hint="eastAsia" w:ascii="宋体" w:hAnsi="宋体" w:cs="宋体"/>
          <w:sz w:val="24"/>
          <w:szCs w:val="24"/>
          <w:u w:val="single"/>
        </w:rPr>
        <w:t xml:space="preserve">                </w:t>
      </w:r>
      <w:r>
        <w:rPr>
          <w:rFonts w:hint="eastAsia" w:ascii="宋体" w:hAnsi="宋体" w:cs="宋体"/>
          <w:sz w:val="24"/>
          <w:szCs w:val="24"/>
        </w:rPr>
        <w:t>（盖单位章）：</w:t>
      </w:r>
    </w:p>
    <w:p w14:paraId="777DB955">
      <w:pPr>
        <w:spacing w:line="400" w:lineRule="exact"/>
        <w:ind w:firstLine="3240" w:firstLineChars="1350"/>
        <w:rPr>
          <w:rFonts w:hint="eastAsia" w:ascii="宋体" w:hAnsi="宋体" w:cs="宋体"/>
          <w:sz w:val="24"/>
          <w:szCs w:val="24"/>
          <w:u w:val="single"/>
        </w:rPr>
      </w:pPr>
      <w:r>
        <w:rPr>
          <w:rFonts w:hint="eastAsia" w:ascii="宋体" w:hAnsi="宋体" w:cs="宋体"/>
          <w:sz w:val="24"/>
          <w:szCs w:val="24"/>
        </w:rPr>
        <w:t>法定代表人或授权代表（签字或盖章）：</w:t>
      </w:r>
    </w:p>
    <w:p w14:paraId="2D3BE4D2">
      <w:pPr>
        <w:spacing w:line="400" w:lineRule="exact"/>
        <w:ind w:firstLine="3240" w:firstLineChars="1350"/>
        <w:rPr>
          <w:rFonts w:hint="eastAsia" w:ascii="宋体" w:hAnsi="宋体" w:cs="宋体"/>
          <w:sz w:val="24"/>
          <w:szCs w:val="24"/>
          <w:u w:val="single"/>
        </w:rPr>
      </w:pPr>
      <w:r>
        <w:rPr>
          <w:rFonts w:hint="eastAsia" w:ascii="宋体" w:hAnsi="宋体" w:cs="宋体"/>
          <w:sz w:val="24"/>
          <w:szCs w:val="24"/>
        </w:rPr>
        <w:t>日    期：</w:t>
      </w:r>
    </w:p>
    <w:p w14:paraId="6DC61857">
      <w:pPr>
        <w:rPr>
          <w:rFonts w:hint="eastAsia" w:ascii="宋体" w:hAnsi="宋体" w:cs="宋体"/>
          <w:b/>
          <w:sz w:val="32"/>
          <w:szCs w:val="32"/>
        </w:rPr>
      </w:pPr>
    </w:p>
    <w:p w14:paraId="63A0A974">
      <w:pPr>
        <w:rPr>
          <w:rFonts w:hint="eastAsia" w:ascii="宋体" w:hAnsi="宋体" w:cs="宋体"/>
          <w:b/>
          <w:sz w:val="32"/>
          <w:szCs w:val="32"/>
        </w:rPr>
      </w:pPr>
      <w:r>
        <w:rPr>
          <w:rFonts w:hint="eastAsia" w:ascii="宋体" w:hAnsi="宋体" w:cs="宋体"/>
          <w:b/>
          <w:sz w:val="32"/>
          <w:szCs w:val="32"/>
        </w:rPr>
        <w:br w:type="page"/>
      </w:r>
    </w:p>
    <w:p w14:paraId="2591BE0E">
      <w:pPr>
        <w:pStyle w:val="2"/>
        <w:rPr>
          <w:rFonts w:hint="eastAsia" w:ascii="宋体" w:hAnsi="宋体" w:cs="宋体"/>
          <w:lang w:val="en-US"/>
        </w:rPr>
      </w:pPr>
      <w:r>
        <w:rPr>
          <w:rFonts w:hint="eastAsia" w:ascii="宋体" w:hAnsi="宋体" w:cs="宋体"/>
          <w:lang w:val="en-US"/>
        </w:rPr>
        <w:t>六、产品技术偏离表</w:t>
      </w:r>
    </w:p>
    <w:tbl>
      <w:tblPr>
        <w:tblStyle w:val="29"/>
        <w:tblpPr w:leftFromText="180" w:rightFromText="180" w:vertAnchor="text" w:horzAnchor="page" w:tblpX="1216" w:tblpY="409"/>
        <w:tblOverlap w:val="never"/>
        <w:tblW w:w="92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3"/>
        <w:gridCol w:w="1814"/>
        <w:gridCol w:w="1814"/>
        <w:gridCol w:w="1814"/>
        <w:gridCol w:w="2006"/>
      </w:tblGrid>
      <w:tr w14:paraId="5BB1E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3" w:type="dxa"/>
          </w:tcPr>
          <w:p w14:paraId="6334DCAD">
            <w:pPr>
              <w:pStyle w:val="2"/>
              <w:rPr>
                <w:rFonts w:hint="eastAsia" w:ascii="宋体" w:hAnsi="宋体" w:eastAsia="宋体" w:cs="宋体"/>
                <w:sz w:val="24"/>
                <w:szCs w:val="24"/>
                <w:lang w:val="en-US"/>
              </w:rPr>
            </w:pPr>
            <w:r>
              <w:rPr>
                <w:rFonts w:hint="eastAsia" w:ascii="宋体" w:hAnsi="宋体" w:eastAsia="宋体" w:cs="宋体"/>
                <w:sz w:val="24"/>
                <w:szCs w:val="24"/>
                <w:lang w:val="en-US"/>
              </w:rPr>
              <w:t>序号</w:t>
            </w:r>
          </w:p>
        </w:tc>
        <w:tc>
          <w:tcPr>
            <w:tcW w:w="1814" w:type="dxa"/>
          </w:tcPr>
          <w:p w14:paraId="7E02BE86">
            <w:pPr>
              <w:pStyle w:val="2"/>
              <w:rPr>
                <w:rFonts w:hint="eastAsia" w:ascii="宋体" w:hAnsi="宋体" w:eastAsia="宋体" w:cs="宋体"/>
                <w:sz w:val="24"/>
                <w:szCs w:val="24"/>
                <w:lang w:val="en-US"/>
              </w:rPr>
            </w:pPr>
            <w:r>
              <w:rPr>
                <w:rFonts w:hint="eastAsia" w:ascii="宋体" w:hAnsi="宋体" w:eastAsia="宋体" w:cs="宋体"/>
                <w:sz w:val="24"/>
                <w:szCs w:val="24"/>
                <w:lang w:val="en-US"/>
              </w:rPr>
              <w:t>谈判文件要求</w:t>
            </w:r>
          </w:p>
        </w:tc>
        <w:tc>
          <w:tcPr>
            <w:tcW w:w="1814" w:type="dxa"/>
          </w:tcPr>
          <w:p w14:paraId="4A54072D">
            <w:pPr>
              <w:pStyle w:val="2"/>
              <w:rPr>
                <w:rFonts w:hint="eastAsia" w:ascii="宋体" w:hAnsi="宋体" w:eastAsia="宋体" w:cs="宋体"/>
                <w:sz w:val="24"/>
                <w:szCs w:val="24"/>
                <w:lang w:val="en-US"/>
              </w:rPr>
            </w:pPr>
            <w:r>
              <w:rPr>
                <w:rFonts w:hint="eastAsia" w:ascii="宋体" w:hAnsi="宋体" w:eastAsia="宋体" w:cs="宋体"/>
                <w:sz w:val="24"/>
                <w:szCs w:val="24"/>
                <w:lang w:val="en-US"/>
              </w:rPr>
              <w:t>技术参数响应</w:t>
            </w:r>
          </w:p>
        </w:tc>
        <w:tc>
          <w:tcPr>
            <w:tcW w:w="1814" w:type="dxa"/>
          </w:tcPr>
          <w:p w14:paraId="14A423CA">
            <w:pPr>
              <w:pStyle w:val="2"/>
              <w:rPr>
                <w:rFonts w:hint="eastAsia" w:ascii="宋体" w:hAnsi="宋体" w:eastAsia="宋体" w:cs="宋体"/>
                <w:sz w:val="24"/>
                <w:szCs w:val="24"/>
                <w:lang w:val="en-US"/>
              </w:rPr>
            </w:pPr>
            <w:r>
              <w:rPr>
                <w:rFonts w:hint="eastAsia" w:ascii="宋体" w:hAnsi="宋体" w:eastAsia="宋体" w:cs="宋体"/>
                <w:sz w:val="24"/>
                <w:szCs w:val="24"/>
                <w:lang w:val="en-US"/>
              </w:rPr>
              <w:t>偏离度</w:t>
            </w:r>
          </w:p>
        </w:tc>
        <w:tc>
          <w:tcPr>
            <w:tcW w:w="2006" w:type="dxa"/>
          </w:tcPr>
          <w:p w14:paraId="77FDB912">
            <w:pPr>
              <w:pStyle w:val="2"/>
              <w:rPr>
                <w:rFonts w:hint="eastAsia" w:ascii="宋体" w:hAnsi="宋体" w:eastAsia="宋体" w:cs="宋体"/>
                <w:sz w:val="24"/>
                <w:szCs w:val="24"/>
                <w:lang w:val="en-US"/>
              </w:rPr>
            </w:pPr>
            <w:r>
              <w:rPr>
                <w:rFonts w:hint="eastAsia"/>
                <w:sz w:val="24"/>
                <w:szCs w:val="24"/>
              </w:rPr>
              <w:t>文件名称∕页码</w:t>
            </w:r>
          </w:p>
        </w:tc>
      </w:tr>
      <w:tr w14:paraId="7DF2D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3" w:type="dxa"/>
          </w:tcPr>
          <w:p w14:paraId="53D1ED3C">
            <w:pPr>
              <w:pStyle w:val="2"/>
              <w:rPr>
                <w:rFonts w:hint="eastAsia" w:ascii="宋体" w:hAnsi="宋体" w:eastAsia="宋体" w:cs="宋体"/>
                <w:sz w:val="24"/>
                <w:szCs w:val="24"/>
                <w:lang w:val="en-US"/>
              </w:rPr>
            </w:pPr>
          </w:p>
        </w:tc>
        <w:tc>
          <w:tcPr>
            <w:tcW w:w="1814" w:type="dxa"/>
          </w:tcPr>
          <w:p w14:paraId="3786F3B5">
            <w:pPr>
              <w:pStyle w:val="2"/>
              <w:rPr>
                <w:rFonts w:hint="eastAsia" w:ascii="宋体" w:hAnsi="宋体" w:eastAsia="宋体" w:cs="宋体"/>
                <w:sz w:val="24"/>
                <w:szCs w:val="24"/>
                <w:lang w:val="en-US"/>
              </w:rPr>
            </w:pPr>
          </w:p>
        </w:tc>
        <w:tc>
          <w:tcPr>
            <w:tcW w:w="1814" w:type="dxa"/>
          </w:tcPr>
          <w:p w14:paraId="4F404995">
            <w:pPr>
              <w:pStyle w:val="2"/>
              <w:rPr>
                <w:rFonts w:hint="eastAsia" w:ascii="宋体" w:hAnsi="宋体" w:eastAsia="宋体" w:cs="宋体"/>
                <w:sz w:val="24"/>
                <w:szCs w:val="24"/>
                <w:lang w:val="en-US"/>
              </w:rPr>
            </w:pPr>
          </w:p>
        </w:tc>
        <w:tc>
          <w:tcPr>
            <w:tcW w:w="1814" w:type="dxa"/>
          </w:tcPr>
          <w:p w14:paraId="7053C95E">
            <w:pPr>
              <w:pStyle w:val="2"/>
              <w:rPr>
                <w:rFonts w:hint="eastAsia" w:ascii="宋体" w:hAnsi="宋体" w:eastAsia="宋体" w:cs="宋体"/>
                <w:sz w:val="24"/>
                <w:szCs w:val="24"/>
                <w:lang w:val="en-US"/>
              </w:rPr>
            </w:pPr>
          </w:p>
        </w:tc>
        <w:tc>
          <w:tcPr>
            <w:tcW w:w="2006" w:type="dxa"/>
          </w:tcPr>
          <w:p w14:paraId="59611F19">
            <w:pPr>
              <w:pStyle w:val="2"/>
              <w:rPr>
                <w:rFonts w:hint="eastAsia" w:ascii="宋体" w:hAnsi="宋体" w:eastAsia="宋体" w:cs="宋体"/>
                <w:sz w:val="24"/>
                <w:szCs w:val="24"/>
                <w:lang w:val="en-US"/>
              </w:rPr>
            </w:pPr>
          </w:p>
        </w:tc>
      </w:tr>
      <w:tr w14:paraId="617CC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3" w:type="dxa"/>
          </w:tcPr>
          <w:p w14:paraId="682E06F1">
            <w:pPr>
              <w:pStyle w:val="2"/>
              <w:rPr>
                <w:rFonts w:hint="eastAsia" w:ascii="宋体" w:hAnsi="宋体" w:eastAsia="宋体" w:cs="宋体"/>
                <w:sz w:val="24"/>
                <w:szCs w:val="24"/>
                <w:lang w:val="en-US"/>
              </w:rPr>
            </w:pPr>
          </w:p>
        </w:tc>
        <w:tc>
          <w:tcPr>
            <w:tcW w:w="1814" w:type="dxa"/>
          </w:tcPr>
          <w:p w14:paraId="48CD2863">
            <w:pPr>
              <w:pStyle w:val="2"/>
              <w:rPr>
                <w:rFonts w:hint="eastAsia" w:ascii="宋体" w:hAnsi="宋体" w:eastAsia="宋体" w:cs="宋体"/>
                <w:sz w:val="24"/>
                <w:szCs w:val="24"/>
                <w:lang w:val="en-US"/>
              </w:rPr>
            </w:pPr>
          </w:p>
        </w:tc>
        <w:tc>
          <w:tcPr>
            <w:tcW w:w="1814" w:type="dxa"/>
          </w:tcPr>
          <w:p w14:paraId="019339D5">
            <w:pPr>
              <w:pStyle w:val="2"/>
              <w:rPr>
                <w:rFonts w:hint="eastAsia" w:ascii="宋体" w:hAnsi="宋体" w:eastAsia="宋体" w:cs="宋体"/>
                <w:sz w:val="24"/>
                <w:szCs w:val="24"/>
                <w:lang w:val="en-US"/>
              </w:rPr>
            </w:pPr>
          </w:p>
        </w:tc>
        <w:tc>
          <w:tcPr>
            <w:tcW w:w="1814" w:type="dxa"/>
          </w:tcPr>
          <w:p w14:paraId="081E4805">
            <w:pPr>
              <w:pStyle w:val="2"/>
              <w:rPr>
                <w:rFonts w:hint="eastAsia" w:ascii="宋体" w:hAnsi="宋体" w:eastAsia="宋体" w:cs="宋体"/>
                <w:sz w:val="24"/>
                <w:szCs w:val="24"/>
                <w:lang w:val="en-US"/>
              </w:rPr>
            </w:pPr>
          </w:p>
        </w:tc>
        <w:tc>
          <w:tcPr>
            <w:tcW w:w="2006" w:type="dxa"/>
          </w:tcPr>
          <w:p w14:paraId="0CBD9EAB">
            <w:pPr>
              <w:pStyle w:val="2"/>
              <w:rPr>
                <w:rFonts w:hint="eastAsia" w:ascii="宋体" w:hAnsi="宋体" w:eastAsia="宋体" w:cs="宋体"/>
                <w:sz w:val="24"/>
                <w:szCs w:val="24"/>
                <w:lang w:val="en-US"/>
              </w:rPr>
            </w:pPr>
          </w:p>
        </w:tc>
      </w:tr>
      <w:tr w14:paraId="7A92A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3" w:type="dxa"/>
          </w:tcPr>
          <w:p w14:paraId="0A68B2FE">
            <w:pPr>
              <w:pStyle w:val="2"/>
              <w:rPr>
                <w:rFonts w:hint="eastAsia" w:ascii="宋体" w:hAnsi="宋体" w:eastAsia="宋体" w:cs="宋体"/>
                <w:sz w:val="24"/>
                <w:szCs w:val="24"/>
                <w:lang w:val="en-US"/>
              </w:rPr>
            </w:pPr>
          </w:p>
        </w:tc>
        <w:tc>
          <w:tcPr>
            <w:tcW w:w="1814" w:type="dxa"/>
          </w:tcPr>
          <w:p w14:paraId="6DA7735E">
            <w:pPr>
              <w:pStyle w:val="2"/>
              <w:rPr>
                <w:rFonts w:hint="eastAsia" w:ascii="宋体" w:hAnsi="宋体" w:eastAsia="宋体" w:cs="宋体"/>
                <w:sz w:val="24"/>
                <w:szCs w:val="24"/>
                <w:lang w:val="en-US"/>
              </w:rPr>
            </w:pPr>
          </w:p>
        </w:tc>
        <w:tc>
          <w:tcPr>
            <w:tcW w:w="1814" w:type="dxa"/>
          </w:tcPr>
          <w:p w14:paraId="4C01C6B9">
            <w:pPr>
              <w:pStyle w:val="2"/>
              <w:rPr>
                <w:rFonts w:hint="eastAsia" w:ascii="宋体" w:hAnsi="宋体" w:eastAsia="宋体" w:cs="宋体"/>
                <w:sz w:val="24"/>
                <w:szCs w:val="24"/>
                <w:lang w:val="en-US"/>
              </w:rPr>
            </w:pPr>
          </w:p>
        </w:tc>
        <w:tc>
          <w:tcPr>
            <w:tcW w:w="1814" w:type="dxa"/>
          </w:tcPr>
          <w:p w14:paraId="7B317E7F">
            <w:pPr>
              <w:pStyle w:val="2"/>
              <w:rPr>
                <w:rFonts w:hint="eastAsia" w:ascii="宋体" w:hAnsi="宋体" w:eastAsia="宋体" w:cs="宋体"/>
                <w:sz w:val="24"/>
                <w:szCs w:val="24"/>
                <w:lang w:val="en-US"/>
              </w:rPr>
            </w:pPr>
          </w:p>
        </w:tc>
        <w:tc>
          <w:tcPr>
            <w:tcW w:w="2006" w:type="dxa"/>
          </w:tcPr>
          <w:p w14:paraId="34CEBF6E">
            <w:pPr>
              <w:pStyle w:val="2"/>
              <w:rPr>
                <w:rFonts w:hint="eastAsia" w:ascii="宋体" w:hAnsi="宋体" w:eastAsia="宋体" w:cs="宋体"/>
                <w:sz w:val="24"/>
                <w:szCs w:val="24"/>
                <w:lang w:val="en-US"/>
              </w:rPr>
            </w:pPr>
          </w:p>
        </w:tc>
      </w:tr>
      <w:tr w14:paraId="4F263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3" w:type="dxa"/>
          </w:tcPr>
          <w:p w14:paraId="67B779F0">
            <w:pPr>
              <w:pStyle w:val="2"/>
              <w:rPr>
                <w:rFonts w:hint="eastAsia" w:ascii="宋体" w:hAnsi="宋体" w:eastAsia="宋体" w:cs="宋体"/>
                <w:sz w:val="24"/>
                <w:szCs w:val="24"/>
                <w:lang w:val="en-US"/>
              </w:rPr>
            </w:pPr>
          </w:p>
        </w:tc>
        <w:tc>
          <w:tcPr>
            <w:tcW w:w="1814" w:type="dxa"/>
          </w:tcPr>
          <w:p w14:paraId="04CDE31A">
            <w:pPr>
              <w:pStyle w:val="2"/>
              <w:rPr>
                <w:rFonts w:hint="eastAsia" w:ascii="宋体" w:hAnsi="宋体" w:eastAsia="宋体" w:cs="宋体"/>
                <w:sz w:val="24"/>
                <w:szCs w:val="24"/>
                <w:lang w:val="en-US"/>
              </w:rPr>
            </w:pPr>
          </w:p>
        </w:tc>
        <w:tc>
          <w:tcPr>
            <w:tcW w:w="1814" w:type="dxa"/>
          </w:tcPr>
          <w:p w14:paraId="698E1A09">
            <w:pPr>
              <w:pStyle w:val="2"/>
              <w:rPr>
                <w:rFonts w:hint="eastAsia" w:ascii="宋体" w:hAnsi="宋体" w:eastAsia="宋体" w:cs="宋体"/>
                <w:sz w:val="24"/>
                <w:szCs w:val="24"/>
                <w:lang w:val="en-US"/>
              </w:rPr>
            </w:pPr>
          </w:p>
        </w:tc>
        <w:tc>
          <w:tcPr>
            <w:tcW w:w="1814" w:type="dxa"/>
          </w:tcPr>
          <w:p w14:paraId="0B89B0F3">
            <w:pPr>
              <w:pStyle w:val="2"/>
              <w:rPr>
                <w:rFonts w:hint="eastAsia" w:ascii="宋体" w:hAnsi="宋体" w:eastAsia="宋体" w:cs="宋体"/>
                <w:sz w:val="24"/>
                <w:szCs w:val="24"/>
                <w:lang w:val="en-US"/>
              </w:rPr>
            </w:pPr>
          </w:p>
        </w:tc>
        <w:tc>
          <w:tcPr>
            <w:tcW w:w="2006" w:type="dxa"/>
          </w:tcPr>
          <w:p w14:paraId="3C562069">
            <w:pPr>
              <w:pStyle w:val="2"/>
              <w:rPr>
                <w:rFonts w:hint="eastAsia" w:ascii="宋体" w:hAnsi="宋体" w:eastAsia="宋体" w:cs="宋体"/>
                <w:sz w:val="24"/>
                <w:szCs w:val="24"/>
                <w:lang w:val="en-US"/>
              </w:rPr>
            </w:pPr>
          </w:p>
        </w:tc>
      </w:tr>
      <w:tr w14:paraId="26FD0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3" w:type="dxa"/>
          </w:tcPr>
          <w:p w14:paraId="0808D530">
            <w:pPr>
              <w:pStyle w:val="2"/>
              <w:rPr>
                <w:rFonts w:hint="eastAsia" w:ascii="宋体" w:hAnsi="宋体" w:eastAsia="宋体" w:cs="宋体"/>
                <w:sz w:val="24"/>
                <w:szCs w:val="24"/>
                <w:lang w:val="en-US"/>
              </w:rPr>
            </w:pPr>
          </w:p>
        </w:tc>
        <w:tc>
          <w:tcPr>
            <w:tcW w:w="1814" w:type="dxa"/>
          </w:tcPr>
          <w:p w14:paraId="55E74ADC">
            <w:pPr>
              <w:pStyle w:val="2"/>
              <w:rPr>
                <w:rFonts w:hint="eastAsia" w:ascii="宋体" w:hAnsi="宋体" w:eastAsia="宋体" w:cs="宋体"/>
                <w:sz w:val="24"/>
                <w:szCs w:val="24"/>
                <w:lang w:val="en-US"/>
              </w:rPr>
            </w:pPr>
          </w:p>
        </w:tc>
        <w:tc>
          <w:tcPr>
            <w:tcW w:w="1814" w:type="dxa"/>
          </w:tcPr>
          <w:p w14:paraId="252FAB25">
            <w:pPr>
              <w:pStyle w:val="2"/>
              <w:rPr>
                <w:rFonts w:hint="eastAsia" w:ascii="宋体" w:hAnsi="宋体" w:eastAsia="宋体" w:cs="宋体"/>
                <w:sz w:val="24"/>
                <w:szCs w:val="24"/>
                <w:lang w:val="en-US"/>
              </w:rPr>
            </w:pPr>
          </w:p>
        </w:tc>
        <w:tc>
          <w:tcPr>
            <w:tcW w:w="1814" w:type="dxa"/>
          </w:tcPr>
          <w:p w14:paraId="30C58063">
            <w:pPr>
              <w:pStyle w:val="2"/>
              <w:rPr>
                <w:rFonts w:hint="eastAsia" w:ascii="宋体" w:hAnsi="宋体" w:eastAsia="宋体" w:cs="宋体"/>
                <w:sz w:val="24"/>
                <w:szCs w:val="24"/>
                <w:lang w:val="en-US"/>
              </w:rPr>
            </w:pPr>
          </w:p>
        </w:tc>
        <w:tc>
          <w:tcPr>
            <w:tcW w:w="2006" w:type="dxa"/>
          </w:tcPr>
          <w:p w14:paraId="23DB168E">
            <w:pPr>
              <w:pStyle w:val="2"/>
              <w:rPr>
                <w:rFonts w:hint="eastAsia" w:ascii="宋体" w:hAnsi="宋体" w:eastAsia="宋体" w:cs="宋体"/>
                <w:sz w:val="24"/>
                <w:szCs w:val="24"/>
                <w:lang w:val="en-US"/>
              </w:rPr>
            </w:pPr>
          </w:p>
        </w:tc>
      </w:tr>
    </w:tbl>
    <w:p w14:paraId="5538C676">
      <w:pPr>
        <w:spacing w:line="360" w:lineRule="auto"/>
        <w:rPr>
          <w:rFonts w:hint="eastAsia" w:ascii="宋体" w:hAnsi="宋体" w:cs="宋体"/>
          <w:sz w:val="24"/>
          <w:szCs w:val="24"/>
        </w:rPr>
      </w:pPr>
    </w:p>
    <w:p w14:paraId="7E22864A">
      <w:pPr>
        <w:spacing w:line="360" w:lineRule="auto"/>
        <w:rPr>
          <w:rFonts w:hint="eastAsia" w:ascii="宋体" w:hAnsi="宋体" w:cs="宋体"/>
          <w:sz w:val="24"/>
          <w:szCs w:val="24"/>
        </w:rPr>
      </w:pPr>
      <w:r>
        <w:rPr>
          <w:rFonts w:hint="eastAsia" w:ascii="宋体" w:hAnsi="宋体" w:cs="宋体"/>
          <w:sz w:val="24"/>
          <w:szCs w:val="24"/>
        </w:rPr>
        <w:t>说明：</w:t>
      </w:r>
    </w:p>
    <w:p w14:paraId="0D86B488">
      <w:pPr>
        <w:spacing w:line="360" w:lineRule="auto"/>
        <w:rPr>
          <w:rFonts w:hint="eastAsia" w:ascii="宋体" w:hAnsi="宋体" w:cs="宋体"/>
          <w:sz w:val="24"/>
          <w:szCs w:val="21"/>
        </w:rPr>
      </w:pPr>
      <w:r>
        <w:rPr>
          <w:rFonts w:hint="eastAsia" w:ascii="宋体" w:hAnsi="宋体" w:cs="宋体"/>
          <w:sz w:val="24"/>
          <w:szCs w:val="21"/>
        </w:rPr>
        <w:t>1.根据谈判文件“第四章 采购内容及要求 第二条”填写。</w:t>
      </w:r>
    </w:p>
    <w:p w14:paraId="03C86B66">
      <w:pPr>
        <w:spacing w:line="400" w:lineRule="exact"/>
        <w:rPr>
          <w:rFonts w:hint="eastAsia" w:ascii="宋体" w:hAnsi="宋体" w:cs="宋体"/>
          <w:sz w:val="24"/>
          <w:szCs w:val="24"/>
        </w:rPr>
      </w:pPr>
      <w:r>
        <w:rPr>
          <w:rFonts w:hint="eastAsia" w:ascii="宋体" w:hAnsi="宋体" w:cs="宋体"/>
          <w:sz w:val="24"/>
          <w:szCs w:val="24"/>
        </w:rPr>
        <w:t>2.</w:t>
      </w:r>
      <w:r>
        <w:rPr>
          <w:rFonts w:hint="eastAsia" w:ascii="宋体" w:hAnsi="宋体" w:cs="宋体"/>
          <w:sz w:val="24"/>
        </w:rPr>
        <w:sym w:font="Wingdings" w:char="F0AB"/>
      </w:r>
      <w:r>
        <w:rPr>
          <w:rFonts w:hint="eastAsia" w:ascii="宋体" w:hAnsi="宋体" w:cs="宋体"/>
          <w:sz w:val="24"/>
        </w:rPr>
        <w:t>必须提供证明材料，否则按无效处理。</w:t>
      </w:r>
    </w:p>
    <w:p w14:paraId="3ACCDF0D">
      <w:pPr>
        <w:spacing w:line="400" w:lineRule="exact"/>
        <w:rPr>
          <w:rFonts w:hint="eastAsia" w:ascii="宋体" w:hAnsi="宋体" w:cs="宋体"/>
          <w:sz w:val="24"/>
          <w:szCs w:val="24"/>
        </w:rPr>
      </w:pPr>
    </w:p>
    <w:p w14:paraId="6095DC00">
      <w:pPr>
        <w:spacing w:line="400" w:lineRule="exact"/>
        <w:ind w:firstLine="3240" w:firstLineChars="1350"/>
        <w:rPr>
          <w:rFonts w:hint="eastAsia" w:ascii="宋体" w:hAnsi="宋体" w:cs="宋体"/>
          <w:sz w:val="24"/>
          <w:szCs w:val="24"/>
        </w:rPr>
      </w:pPr>
    </w:p>
    <w:p w14:paraId="7025C383">
      <w:pPr>
        <w:spacing w:line="400" w:lineRule="exact"/>
        <w:ind w:firstLine="3240" w:firstLineChars="1350"/>
        <w:rPr>
          <w:rFonts w:hint="eastAsia" w:ascii="宋体" w:hAnsi="宋体" w:cs="宋体"/>
          <w:sz w:val="24"/>
          <w:szCs w:val="24"/>
        </w:rPr>
      </w:pPr>
    </w:p>
    <w:p w14:paraId="73CA7EC9">
      <w:pPr>
        <w:spacing w:line="400" w:lineRule="exact"/>
        <w:ind w:firstLine="3240" w:firstLineChars="1350"/>
        <w:rPr>
          <w:rFonts w:hint="eastAsia" w:ascii="宋体" w:hAnsi="宋体" w:cs="宋体"/>
          <w:sz w:val="24"/>
          <w:szCs w:val="24"/>
        </w:rPr>
      </w:pPr>
      <w:r>
        <w:rPr>
          <w:rFonts w:hint="eastAsia" w:ascii="宋体" w:hAnsi="宋体" w:cs="宋体"/>
          <w:sz w:val="24"/>
          <w:szCs w:val="24"/>
        </w:rPr>
        <w:t xml:space="preserve">供应商： </w:t>
      </w:r>
      <w:r>
        <w:rPr>
          <w:rFonts w:hint="eastAsia" w:ascii="宋体" w:hAnsi="宋体" w:cs="宋体"/>
          <w:sz w:val="24"/>
          <w:szCs w:val="24"/>
          <w:u w:val="single"/>
        </w:rPr>
        <w:t xml:space="preserve">                </w:t>
      </w:r>
      <w:r>
        <w:rPr>
          <w:rFonts w:hint="eastAsia" w:ascii="宋体" w:hAnsi="宋体" w:cs="宋体"/>
          <w:sz w:val="24"/>
          <w:szCs w:val="24"/>
        </w:rPr>
        <w:t>（盖单位章）：</w:t>
      </w:r>
    </w:p>
    <w:p w14:paraId="3A6ECB26">
      <w:pPr>
        <w:spacing w:line="400" w:lineRule="exact"/>
        <w:ind w:firstLine="3240" w:firstLineChars="1350"/>
        <w:rPr>
          <w:rFonts w:hint="eastAsia" w:ascii="宋体" w:hAnsi="宋体" w:cs="宋体"/>
          <w:sz w:val="24"/>
          <w:szCs w:val="24"/>
          <w:u w:val="single"/>
        </w:rPr>
      </w:pPr>
      <w:r>
        <w:rPr>
          <w:rFonts w:hint="eastAsia" w:ascii="宋体" w:hAnsi="宋体" w:cs="宋体"/>
          <w:sz w:val="24"/>
          <w:szCs w:val="24"/>
        </w:rPr>
        <w:t>法定代表人或授权代表（签字或盖章）：</w:t>
      </w:r>
    </w:p>
    <w:p w14:paraId="47743A76">
      <w:pPr>
        <w:spacing w:line="400" w:lineRule="exact"/>
        <w:ind w:firstLine="3240" w:firstLineChars="1350"/>
        <w:rPr>
          <w:rFonts w:hint="eastAsia" w:ascii="宋体" w:hAnsi="宋体" w:cs="宋体"/>
          <w:sz w:val="24"/>
          <w:szCs w:val="24"/>
          <w:u w:val="single"/>
        </w:rPr>
      </w:pPr>
      <w:r>
        <w:rPr>
          <w:rFonts w:hint="eastAsia" w:ascii="宋体" w:hAnsi="宋体" w:cs="宋体"/>
          <w:sz w:val="24"/>
          <w:szCs w:val="24"/>
        </w:rPr>
        <w:t>日    期：</w:t>
      </w:r>
    </w:p>
    <w:p w14:paraId="50F3898C">
      <w:pPr>
        <w:rPr>
          <w:rFonts w:hint="eastAsia" w:ascii="宋体" w:hAnsi="宋体" w:cs="宋体"/>
          <w:b/>
          <w:sz w:val="32"/>
          <w:szCs w:val="32"/>
        </w:rPr>
      </w:pPr>
      <w:r>
        <w:rPr>
          <w:rFonts w:hint="eastAsia" w:ascii="宋体" w:hAnsi="宋体" w:cs="宋体"/>
          <w:b/>
          <w:sz w:val="32"/>
          <w:szCs w:val="32"/>
        </w:rPr>
        <w:br w:type="page"/>
      </w:r>
    </w:p>
    <w:p w14:paraId="29F0A10B">
      <w:pPr>
        <w:jc w:val="center"/>
        <w:rPr>
          <w:rFonts w:hint="eastAsia" w:ascii="宋体" w:hAnsi="宋体" w:cs="宋体"/>
          <w:b/>
          <w:sz w:val="32"/>
          <w:szCs w:val="32"/>
        </w:rPr>
      </w:pPr>
      <w:r>
        <w:rPr>
          <w:rFonts w:hint="eastAsia" w:ascii="宋体" w:hAnsi="宋体" w:cs="宋体"/>
          <w:b/>
          <w:sz w:val="32"/>
          <w:szCs w:val="32"/>
        </w:rPr>
        <w:t>七、保证金缴纳凭证</w:t>
      </w:r>
    </w:p>
    <w:p w14:paraId="0F5EED07">
      <w:pPr>
        <w:rPr>
          <w:rFonts w:hint="eastAsia" w:ascii="宋体" w:hAnsi="宋体" w:cs="宋体"/>
          <w:b/>
          <w:sz w:val="32"/>
          <w:szCs w:val="32"/>
        </w:rPr>
      </w:pPr>
    </w:p>
    <w:p w14:paraId="47B7EAB4">
      <w:pPr>
        <w:rPr>
          <w:rFonts w:hint="eastAsia" w:ascii="宋体" w:hAnsi="宋体" w:cs="宋体"/>
          <w:b/>
          <w:sz w:val="32"/>
          <w:szCs w:val="32"/>
        </w:rPr>
      </w:pPr>
      <w:r>
        <w:rPr>
          <w:rFonts w:hint="eastAsia" w:ascii="宋体" w:hAnsi="宋体" w:cs="宋体"/>
          <w:b/>
          <w:sz w:val="32"/>
          <w:szCs w:val="32"/>
        </w:rPr>
        <w:br w:type="page"/>
      </w:r>
    </w:p>
    <w:p w14:paraId="75B3C7F7">
      <w:pPr>
        <w:jc w:val="center"/>
        <w:rPr>
          <w:rFonts w:hint="eastAsia" w:ascii="宋体" w:hAnsi="宋体" w:cs="宋体"/>
          <w:b/>
          <w:spacing w:val="2"/>
          <w:sz w:val="32"/>
          <w:szCs w:val="22"/>
        </w:rPr>
      </w:pPr>
      <w:r>
        <w:rPr>
          <w:rFonts w:hint="eastAsia" w:ascii="宋体" w:hAnsi="宋体" w:cs="宋体"/>
          <w:b/>
          <w:sz w:val="32"/>
          <w:szCs w:val="32"/>
        </w:rPr>
        <w:t>八、</w:t>
      </w:r>
      <w:bookmarkEnd w:id="88"/>
      <w:bookmarkEnd w:id="89"/>
      <w:bookmarkEnd w:id="90"/>
      <w:bookmarkEnd w:id="91"/>
      <w:bookmarkEnd w:id="92"/>
      <w:r>
        <w:rPr>
          <w:rFonts w:hint="eastAsia" w:ascii="宋体" w:hAnsi="宋体" w:cs="宋体"/>
          <w:b/>
          <w:spacing w:val="2"/>
          <w:sz w:val="32"/>
          <w:szCs w:val="22"/>
        </w:rPr>
        <w:t>供应商认为需要提供的其他资料</w:t>
      </w:r>
    </w:p>
    <w:p w14:paraId="0D0B4100">
      <w:pPr>
        <w:spacing w:line="360" w:lineRule="auto"/>
        <w:jc w:val="center"/>
        <w:rPr>
          <w:rFonts w:hint="eastAsia" w:ascii="宋体" w:hAnsi="宋体" w:cs="宋体"/>
          <w:sz w:val="24"/>
          <w:szCs w:val="24"/>
        </w:rPr>
      </w:pPr>
      <w:r>
        <w:rPr>
          <w:rFonts w:hint="eastAsia" w:ascii="宋体" w:hAnsi="宋体" w:cs="宋体"/>
          <w:sz w:val="24"/>
          <w:szCs w:val="24"/>
        </w:rPr>
        <w:t>（供应商须知前附表规定的其他资料及供应商认为有必要说明的其它内容或资料）</w:t>
      </w:r>
    </w:p>
    <w:p w14:paraId="03C950A1">
      <w:pPr>
        <w:rPr>
          <w:rFonts w:hint="eastAsia" w:ascii="宋体" w:hAnsi="宋体" w:cs="宋体"/>
        </w:rPr>
      </w:pPr>
    </w:p>
    <w:sectPr>
      <w:headerReference r:id="rId4" w:type="default"/>
      <w:footerReference r:id="rId5" w:type="default"/>
      <w:pgSz w:w="11905" w:h="16838"/>
      <w:pgMar w:top="1417" w:right="1417" w:bottom="1417" w:left="1417" w:header="850" w:footer="992" w:gutter="0"/>
      <w:pgNumType w:start="1"/>
      <w:cols w:space="0" w:num="1"/>
      <w:docGrid w:type="lines" w:linePitch="31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66BD0">
    <w:pPr>
      <w:pStyle w:val="17"/>
    </w:pPr>
    <w:r>
      <mc:AlternateContent>
        <mc:Choice Requires="wps">
          <w:drawing>
            <wp:anchor distT="0" distB="0" distL="114300" distR="114300" simplePos="0" relativeHeight="251659264" behindDoc="0" locked="0" layoutInCell="1" allowOverlap="1">
              <wp:simplePos x="0" y="0"/>
              <wp:positionH relativeFrom="margin">
                <wp:posOffset>2575560</wp:posOffset>
              </wp:positionH>
              <wp:positionV relativeFrom="paragraph">
                <wp:posOffset>-9525</wp:posOffset>
              </wp:positionV>
              <wp:extent cx="220980" cy="236220"/>
              <wp:effectExtent l="0" t="0" r="0" b="0"/>
              <wp:wrapNone/>
              <wp:docPr id="6" name="文本框 6"/>
              <wp:cNvGraphicFramePr/>
              <a:graphic xmlns:a="http://schemas.openxmlformats.org/drawingml/2006/main">
                <a:graphicData uri="http://schemas.microsoft.com/office/word/2010/wordprocessingShape">
                  <wps:wsp>
                    <wps:cNvSpPr txBox="1"/>
                    <wps:spPr>
                      <a:xfrm>
                        <a:off x="0" y="0"/>
                        <a:ext cx="220980" cy="236220"/>
                      </a:xfrm>
                      <a:prstGeom prst="rect">
                        <a:avLst/>
                      </a:prstGeom>
                      <a:noFill/>
                      <a:ln w="6350">
                        <a:noFill/>
                      </a:ln>
                      <a:effectLst/>
                    </wps:spPr>
                    <wps:txbx>
                      <w:txbxContent>
                        <w:p w14:paraId="2CCED166">
                          <w:pPr>
                            <w:pStyle w:val="17"/>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2.8pt;margin-top:-0.75pt;height:18.6pt;width:17.4pt;mso-position-horizontal-relative:margin;z-index:251659264;mso-width-relative:page;mso-height-relative:page;" filled="f" stroked="f" coordsize="21600,21600" o:gfxdata="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fYhlg2QAAAAkBAAAPAAAAAAAAAAEAIAAAACIAAABkcnMvZG93bnJl&#10;di54bWxQSwECFAAUAAAACACHTuJACPa9mzUCAABjBAAADgAAAAAAAAABACAAAAAoAQAAZHJzL2Uy&#10;b0RvYy54bWxQSwUGAAAAAAYABgBZAQAAzwUAAAAA&#10;">
              <v:fill on="f" focussize="0,0"/>
              <v:stroke on="f" weight="0.5pt"/>
              <v:imagedata o:title=""/>
              <o:lock v:ext="edit" aspectratio="f"/>
              <v:textbox inset="0mm,0mm,0mm,0mm">
                <w:txbxContent>
                  <w:p w14:paraId="2CCED166">
                    <w:pPr>
                      <w:pStyle w:val="17"/>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63BC7">
    <w:pPr>
      <w:pStyle w:val="17"/>
    </w:pPr>
    <w:r>
      <mc:AlternateContent>
        <mc:Choice Requires="wps">
          <w:drawing>
            <wp:anchor distT="0" distB="0" distL="114300" distR="114300" simplePos="0" relativeHeight="251660288" behindDoc="0" locked="0" layoutInCell="1" allowOverlap="1">
              <wp:simplePos x="0" y="0"/>
              <wp:positionH relativeFrom="margin">
                <wp:posOffset>2678430</wp:posOffset>
              </wp:positionH>
              <wp:positionV relativeFrom="paragraph">
                <wp:posOffset>635</wp:posOffset>
              </wp:positionV>
              <wp:extent cx="697865" cy="1828800"/>
              <wp:effectExtent l="0" t="0" r="7620" b="0"/>
              <wp:wrapNone/>
              <wp:docPr id="2" name="文本框 2"/>
              <wp:cNvGraphicFramePr/>
              <a:graphic xmlns:a="http://schemas.openxmlformats.org/drawingml/2006/main">
                <a:graphicData uri="http://schemas.microsoft.com/office/word/2010/wordprocessingShape">
                  <wps:wsp>
                    <wps:cNvSpPr txBox="1"/>
                    <wps:spPr>
                      <a:xfrm>
                        <a:off x="0" y="0"/>
                        <a:ext cx="697692"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961338">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10.9pt;margin-top:0.05pt;height:144pt;width:54.95pt;mso-position-horizontal-relative:margin;z-index:251660288;mso-width-relative:page;mso-height-relative:page;" filled="f" stroked="f" coordsize="21600,21600" o:gfxdata="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vRYFz1wAAAAgBAAAPAAAAAAAAAAEAIAAAACIAAABkcnMvZG93bnJldi54bWxQ&#10;SwECFAAUAAAACACHTuJAtfxExDECAABWBAAADgAAAAAAAAABACAAAAAmAQAAZHJzL2Uyb0RvYy54&#10;bWxQSwUGAAAAAAYABgBZAQAAyQUAAAAA&#10;">
              <v:fill on="f" focussize="0,0"/>
              <v:stroke on="f" weight="0.5pt"/>
              <v:imagedata o:title=""/>
              <o:lock v:ext="edit" aspectratio="f"/>
              <v:textbox inset="0mm,0mm,0mm,0mm" style="mso-fit-shape-to-text:t;">
                <w:txbxContent>
                  <w:p w14:paraId="6C961338">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A778C">
    <w:pPr>
      <w:widowControl/>
      <w:pBdr>
        <w:bottom w:val="none" w:color="auto" w:sz="0" w:space="1"/>
      </w:pBdr>
      <w:tabs>
        <w:tab w:val="left" w:pos="1620"/>
      </w:tabs>
      <w:snapToGrid w:val="0"/>
      <w:spacing w:line="360" w:lineRule="auto"/>
      <w:ind w:firstLine="420" w:firstLineChars="200"/>
      <w:jc w:val="right"/>
      <w:rPr>
        <w:rFonts w:ascii="宋体"/>
      </w:rPr>
    </w:pPr>
  </w:p>
  <w:p w14:paraId="46E910D2">
    <w:pPr>
      <w:pStyle w:val="26"/>
      <w:ind w:firstLine="2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E57EDB"/>
    <w:multiLevelType w:val="singleLevel"/>
    <w:tmpl w:val="91E57EDB"/>
    <w:lvl w:ilvl="0" w:tentative="0">
      <w:start w:val="1"/>
      <w:numFmt w:val="decimal"/>
      <w:lvlText w:val="%1."/>
      <w:lvlJc w:val="left"/>
      <w:pPr>
        <w:tabs>
          <w:tab w:val="left" w:pos="312"/>
        </w:tabs>
      </w:pPr>
    </w:lvl>
  </w:abstractNum>
  <w:abstractNum w:abstractNumId="1">
    <w:nsid w:val="1C2A4192"/>
    <w:multiLevelType w:val="singleLevel"/>
    <w:tmpl w:val="1C2A4192"/>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hideSpellingErrors/>
  <w:documentProtection w:enforcement="0"/>
  <w:defaultTabStop w:val="420"/>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Y5NjJiNTk1MTkzOGNmNTc4MTRlMjY0N2M5MGJlZDQifQ=="/>
    <w:docVar w:name="KSO_WPS_MARK_KEY" w:val="ce6a379f-6fbf-4654-9d0e-9951e469da2f"/>
  </w:docVars>
  <w:rsids>
    <w:rsidRoot w:val="3C82437F"/>
    <w:rsid w:val="0004169D"/>
    <w:rsid w:val="00045C1B"/>
    <w:rsid w:val="00064058"/>
    <w:rsid w:val="0007433A"/>
    <w:rsid w:val="00074933"/>
    <w:rsid w:val="000A6E80"/>
    <w:rsid w:val="000D6027"/>
    <w:rsid w:val="000F54A5"/>
    <w:rsid w:val="0015257D"/>
    <w:rsid w:val="0015777C"/>
    <w:rsid w:val="001A0AC3"/>
    <w:rsid w:val="001C18F0"/>
    <w:rsid w:val="001C1EAA"/>
    <w:rsid w:val="001C38BA"/>
    <w:rsid w:val="001F3C27"/>
    <w:rsid w:val="00223FA5"/>
    <w:rsid w:val="00251E78"/>
    <w:rsid w:val="002578BF"/>
    <w:rsid w:val="0028188F"/>
    <w:rsid w:val="002A2649"/>
    <w:rsid w:val="002C17D0"/>
    <w:rsid w:val="002D1A0A"/>
    <w:rsid w:val="002E0094"/>
    <w:rsid w:val="002E650F"/>
    <w:rsid w:val="00306618"/>
    <w:rsid w:val="00333C70"/>
    <w:rsid w:val="003779EF"/>
    <w:rsid w:val="00384A80"/>
    <w:rsid w:val="00387102"/>
    <w:rsid w:val="003D34AC"/>
    <w:rsid w:val="003D66F4"/>
    <w:rsid w:val="004118D2"/>
    <w:rsid w:val="00423A4A"/>
    <w:rsid w:val="004369D7"/>
    <w:rsid w:val="004576FD"/>
    <w:rsid w:val="00464F27"/>
    <w:rsid w:val="00476C56"/>
    <w:rsid w:val="004C19D3"/>
    <w:rsid w:val="004D0E63"/>
    <w:rsid w:val="004F243A"/>
    <w:rsid w:val="005071B1"/>
    <w:rsid w:val="00527FEE"/>
    <w:rsid w:val="00530608"/>
    <w:rsid w:val="005319D6"/>
    <w:rsid w:val="00532373"/>
    <w:rsid w:val="00542C8F"/>
    <w:rsid w:val="005555F8"/>
    <w:rsid w:val="005A1EC6"/>
    <w:rsid w:val="005C3DB9"/>
    <w:rsid w:val="005D1F8F"/>
    <w:rsid w:val="005D6429"/>
    <w:rsid w:val="005E0492"/>
    <w:rsid w:val="005E6F4F"/>
    <w:rsid w:val="005F7BD4"/>
    <w:rsid w:val="00630D61"/>
    <w:rsid w:val="0063153E"/>
    <w:rsid w:val="00641C11"/>
    <w:rsid w:val="00697C1B"/>
    <w:rsid w:val="006A0714"/>
    <w:rsid w:val="006B5B3C"/>
    <w:rsid w:val="006C4A83"/>
    <w:rsid w:val="006D55F3"/>
    <w:rsid w:val="006E0D42"/>
    <w:rsid w:val="006F69AF"/>
    <w:rsid w:val="00715A26"/>
    <w:rsid w:val="0072236F"/>
    <w:rsid w:val="0079320B"/>
    <w:rsid w:val="007957C2"/>
    <w:rsid w:val="007A6A6B"/>
    <w:rsid w:val="007B4F97"/>
    <w:rsid w:val="007B61C1"/>
    <w:rsid w:val="007B695E"/>
    <w:rsid w:val="008102FE"/>
    <w:rsid w:val="00812DF6"/>
    <w:rsid w:val="008377F8"/>
    <w:rsid w:val="008540F0"/>
    <w:rsid w:val="00863EFB"/>
    <w:rsid w:val="00873503"/>
    <w:rsid w:val="00893773"/>
    <w:rsid w:val="008B44F9"/>
    <w:rsid w:val="008B6E34"/>
    <w:rsid w:val="008F3252"/>
    <w:rsid w:val="008F66D6"/>
    <w:rsid w:val="009138BE"/>
    <w:rsid w:val="009361CB"/>
    <w:rsid w:val="0096656E"/>
    <w:rsid w:val="00971F65"/>
    <w:rsid w:val="00975D85"/>
    <w:rsid w:val="0099262C"/>
    <w:rsid w:val="00997B09"/>
    <w:rsid w:val="009B1E16"/>
    <w:rsid w:val="009E6FEE"/>
    <w:rsid w:val="009F2E6D"/>
    <w:rsid w:val="00A022F5"/>
    <w:rsid w:val="00A2372B"/>
    <w:rsid w:val="00A23F57"/>
    <w:rsid w:val="00A25C8D"/>
    <w:rsid w:val="00A40B8D"/>
    <w:rsid w:val="00A47745"/>
    <w:rsid w:val="00A93E0B"/>
    <w:rsid w:val="00AE1D41"/>
    <w:rsid w:val="00AF618E"/>
    <w:rsid w:val="00B01542"/>
    <w:rsid w:val="00B2173E"/>
    <w:rsid w:val="00B41361"/>
    <w:rsid w:val="00B64605"/>
    <w:rsid w:val="00B712C3"/>
    <w:rsid w:val="00BC4CE4"/>
    <w:rsid w:val="00C0474E"/>
    <w:rsid w:val="00C241C9"/>
    <w:rsid w:val="00C93FD4"/>
    <w:rsid w:val="00CB7D30"/>
    <w:rsid w:val="00CC5B9D"/>
    <w:rsid w:val="00CD6E6B"/>
    <w:rsid w:val="00CF7C8E"/>
    <w:rsid w:val="00D10F10"/>
    <w:rsid w:val="00D66680"/>
    <w:rsid w:val="00D87A95"/>
    <w:rsid w:val="00D94031"/>
    <w:rsid w:val="00DA0813"/>
    <w:rsid w:val="00DC794B"/>
    <w:rsid w:val="00DF1FFE"/>
    <w:rsid w:val="00E104A2"/>
    <w:rsid w:val="00E20FFD"/>
    <w:rsid w:val="00E404D2"/>
    <w:rsid w:val="00E96BC3"/>
    <w:rsid w:val="00EB0028"/>
    <w:rsid w:val="00EF2481"/>
    <w:rsid w:val="00F44FD5"/>
    <w:rsid w:val="00F61D53"/>
    <w:rsid w:val="00F67E79"/>
    <w:rsid w:val="00F92B91"/>
    <w:rsid w:val="00F977B4"/>
    <w:rsid w:val="00FA701D"/>
    <w:rsid w:val="00FB024D"/>
    <w:rsid w:val="00FB1117"/>
    <w:rsid w:val="00FC7CDA"/>
    <w:rsid w:val="00FE243E"/>
    <w:rsid w:val="00FF40EC"/>
    <w:rsid w:val="01211AD4"/>
    <w:rsid w:val="0142320D"/>
    <w:rsid w:val="01481230"/>
    <w:rsid w:val="016D3D4D"/>
    <w:rsid w:val="01814347"/>
    <w:rsid w:val="01827C1E"/>
    <w:rsid w:val="01A375D1"/>
    <w:rsid w:val="01B67338"/>
    <w:rsid w:val="01CA69BA"/>
    <w:rsid w:val="01E15A20"/>
    <w:rsid w:val="01FE3C22"/>
    <w:rsid w:val="023C33F5"/>
    <w:rsid w:val="02410942"/>
    <w:rsid w:val="02D651FD"/>
    <w:rsid w:val="030E7940"/>
    <w:rsid w:val="03183ED2"/>
    <w:rsid w:val="03615C9F"/>
    <w:rsid w:val="036A59B4"/>
    <w:rsid w:val="038570C8"/>
    <w:rsid w:val="044D1ABE"/>
    <w:rsid w:val="04603141"/>
    <w:rsid w:val="04636658"/>
    <w:rsid w:val="046E5957"/>
    <w:rsid w:val="04ED41A7"/>
    <w:rsid w:val="04F02CFA"/>
    <w:rsid w:val="050F4EDE"/>
    <w:rsid w:val="051F5B1F"/>
    <w:rsid w:val="056A0E7A"/>
    <w:rsid w:val="058E1A7D"/>
    <w:rsid w:val="059A5C36"/>
    <w:rsid w:val="068C63E6"/>
    <w:rsid w:val="0693591A"/>
    <w:rsid w:val="06995715"/>
    <w:rsid w:val="06A20B86"/>
    <w:rsid w:val="06BE65F6"/>
    <w:rsid w:val="06D17F0B"/>
    <w:rsid w:val="071F206D"/>
    <w:rsid w:val="073A0A3D"/>
    <w:rsid w:val="07487DBA"/>
    <w:rsid w:val="07971FD7"/>
    <w:rsid w:val="07A179CF"/>
    <w:rsid w:val="07A3050C"/>
    <w:rsid w:val="07C4018D"/>
    <w:rsid w:val="07E44D2A"/>
    <w:rsid w:val="07EB0572"/>
    <w:rsid w:val="08433F9B"/>
    <w:rsid w:val="085A0E45"/>
    <w:rsid w:val="088467A2"/>
    <w:rsid w:val="08AB402F"/>
    <w:rsid w:val="08B633DB"/>
    <w:rsid w:val="08C762A2"/>
    <w:rsid w:val="08CB4963"/>
    <w:rsid w:val="08D4392C"/>
    <w:rsid w:val="08D810E5"/>
    <w:rsid w:val="08EF79A2"/>
    <w:rsid w:val="09546C5C"/>
    <w:rsid w:val="09713F1D"/>
    <w:rsid w:val="0A0F3516"/>
    <w:rsid w:val="0A392BAE"/>
    <w:rsid w:val="0A683A8F"/>
    <w:rsid w:val="0B003D98"/>
    <w:rsid w:val="0B076D6B"/>
    <w:rsid w:val="0B0D7049"/>
    <w:rsid w:val="0B127869"/>
    <w:rsid w:val="0B38405B"/>
    <w:rsid w:val="0B396CE0"/>
    <w:rsid w:val="0B781B57"/>
    <w:rsid w:val="0BAE2BE6"/>
    <w:rsid w:val="0C040028"/>
    <w:rsid w:val="0C063354"/>
    <w:rsid w:val="0C0C4F01"/>
    <w:rsid w:val="0C5D77DB"/>
    <w:rsid w:val="0C643396"/>
    <w:rsid w:val="0C916F51"/>
    <w:rsid w:val="0CC93735"/>
    <w:rsid w:val="0CEB2214"/>
    <w:rsid w:val="0CF32544"/>
    <w:rsid w:val="0D1E30EB"/>
    <w:rsid w:val="0D481A33"/>
    <w:rsid w:val="0D722591"/>
    <w:rsid w:val="0D7A7CE9"/>
    <w:rsid w:val="0DBC3B3B"/>
    <w:rsid w:val="0DBE0B22"/>
    <w:rsid w:val="0DDC6A16"/>
    <w:rsid w:val="0DE95BBF"/>
    <w:rsid w:val="0E194D6D"/>
    <w:rsid w:val="0E2C57DC"/>
    <w:rsid w:val="0E461206"/>
    <w:rsid w:val="0E630B09"/>
    <w:rsid w:val="0E6E287A"/>
    <w:rsid w:val="0E707BF7"/>
    <w:rsid w:val="0E7A3E5B"/>
    <w:rsid w:val="0E950463"/>
    <w:rsid w:val="0E9E2A28"/>
    <w:rsid w:val="0E9F6021"/>
    <w:rsid w:val="0EEA4E34"/>
    <w:rsid w:val="0F5D3ED2"/>
    <w:rsid w:val="0F9E783F"/>
    <w:rsid w:val="0FF9448B"/>
    <w:rsid w:val="0FFD294E"/>
    <w:rsid w:val="10061BBF"/>
    <w:rsid w:val="10AC3C93"/>
    <w:rsid w:val="10B959E3"/>
    <w:rsid w:val="113D3AFC"/>
    <w:rsid w:val="11471B69"/>
    <w:rsid w:val="116E574A"/>
    <w:rsid w:val="118916FB"/>
    <w:rsid w:val="11A9419F"/>
    <w:rsid w:val="11B03ADB"/>
    <w:rsid w:val="11B9520E"/>
    <w:rsid w:val="11DC3DA7"/>
    <w:rsid w:val="11DD7458"/>
    <w:rsid w:val="12233F7A"/>
    <w:rsid w:val="123442B3"/>
    <w:rsid w:val="123C676E"/>
    <w:rsid w:val="1252148B"/>
    <w:rsid w:val="12526960"/>
    <w:rsid w:val="12594DD8"/>
    <w:rsid w:val="12741295"/>
    <w:rsid w:val="129C5206"/>
    <w:rsid w:val="12C63E1F"/>
    <w:rsid w:val="12CA3D79"/>
    <w:rsid w:val="12FA62F9"/>
    <w:rsid w:val="13003248"/>
    <w:rsid w:val="13053FDD"/>
    <w:rsid w:val="131E253E"/>
    <w:rsid w:val="1355309B"/>
    <w:rsid w:val="138D3AF2"/>
    <w:rsid w:val="13F92F16"/>
    <w:rsid w:val="13FB3581"/>
    <w:rsid w:val="141A4D77"/>
    <w:rsid w:val="143F2883"/>
    <w:rsid w:val="144C0D20"/>
    <w:rsid w:val="14ED5603"/>
    <w:rsid w:val="151B1304"/>
    <w:rsid w:val="152201D7"/>
    <w:rsid w:val="15230795"/>
    <w:rsid w:val="155A3FBC"/>
    <w:rsid w:val="155D0ED5"/>
    <w:rsid w:val="15A37B5E"/>
    <w:rsid w:val="15F07F9B"/>
    <w:rsid w:val="16342DC2"/>
    <w:rsid w:val="166506EB"/>
    <w:rsid w:val="16D317BA"/>
    <w:rsid w:val="17027F03"/>
    <w:rsid w:val="17752658"/>
    <w:rsid w:val="17880186"/>
    <w:rsid w:val="17A209F9"/>
    <w:rsid w:val="17C032D2"/>
    <w:rsid w:val="17C90221"/>
    <w:rsid w:val="17E6252B"/>
    <w:rsid w:val="17F478D8"/>
    <w:rsid w:val="180E69B0"/>
    <w:rsid w:val="182D78ED"/>
    <w:rsid w:val="18636CAE"/>
    <w:rsid w:val="18FC74BB"/>
    <w:rsid w:val="19001BF7"/>
    <w:rsid w:val="191224D3"/>
    <w:rsid w:val="19313B19"/>
    <w:rsid w:val="193F08F1"/>
    <w:rsid w:val="194B3122"/>
    <w:rsid w:val="195374FF"/>
    <w:rsid w:val="199A1CD6"/>
    <w:rsid w:val="19E75443"/>
    <w:rsid w:val="1A275E1A"/>
    <w:rsid w:val="1A32036D"/>
    <w:rsid w:val="1A636303"/>
    <w:rsid w:val="1A96029F"/>
    <w:rsid w:val="1AC16F2E"/>
    <w:rsid w:val="1ACC467B"/>
    <w:rsid w:val="1ACE72D9"/>
    <w:rsid w:val="1B025E88"/>
    <w:rsid w:val="1B3A78E5"/>
    <w:rsid w:val="1B6E19B6"/>
    <w:rsid w:val="1B8C3347"/>
    <w:rsid w:val="1BCB1529"/>
    <w:rsid w:val="1C380832"/>
    <w:rsid w:val="1C5E5533"/>
    <w:rsid w:val="1C7301C8"/>
    <w:rsid w:val="1C7C611F"/>
    <w:rsid w:val="1C892A23"/>
    <w:rsid w:val="1CA4388D"/>
    <w:rsid w:val="1CC826FD"/>
    <w:rsid w:val="1D0600A4"/>
    <w:rsid w:val="1D0B0212"/>
    <w:rsid w:val="1D723F35"/>
    <w:rsid w:val="1D7E1D27"/>
    <w:rsid w:val="1D8A4831"/>
    <w:rsid w:val="1DB23D88"/>
    <w:rsid w:val="1DC40239"/>
    <w:rsid w:val="1DED3012"/>
    <w:rsid w:val="1DEF6D8A"/>
    <w:rsid w:val="1E340C41"/>
    <w:rsid w:val="1E6C2219"/>
    <w:rsid w:val="1E7B62C3"/>
    <w:rsid w:val="1E876910"/>
    <w:rsid w:val="1ECD59FF"/>
    <w:rsid w:val="1ED6239E"/>
    <w:rsid w:val="1F0D56D1"/>
    <w:rsid w:val="1F1F61BA"/>
    <w:rsid w:val="1F6B3F7E"/>
    <w:rsid w:val="1F767751"/>
    <w:rsid w:val="1FC97226"/>
    <w:rsid w:val="1FE509DD"/>
    <w:rsid w:val="1FF22CFC"/>
    <w:rsid w:val="20004109"/>
    <w:rsid w:val="20371552"/>
    <w:rsid w:val="20564E9E"/>
    <w:rsid w:val="208C549D"/>
    <w:rsid w:val="20B7374E"/>
    <w:rsid w:val="2122108D"/>
    <w:rsid w:val="21256F79"/>
    <w:rsid w:val="21335BD9"/>
    <w:rsid w:val="214A5D29"/>
    <w:rsid w:val="214B42D7"/>
    <w:rsid w:val="215255C9"/>
    <w:rsid w:val="216C0552"/>
    <w:rsid w:val="21936E9B"/>
    <w:rsid w:val="21B63F49"/>
    <w:rsid w:val="21B9578A"/>
    <w:rsid w:val="21DB6D72"/>
    <w:rsid w:val="21E176F5"/>
    <w:rsid w:val="22060C2A"/>
    <w:rsid w:val="221807A0"/>
    <w:rsid w:val="224571B6"/>
    <w:rsid w:val="225B3BFC"/>
    <w:rsid w:val="226857E4"/>
    <w:rsid w:val="2288431A"/>
    <w:rsid w:val="22CD606E"/>
    <w:rsid w:val="233E3694"/>
    <w:rsid w:val="234E61F3"/>
    <w:rsid w:val="23503E4B"/>
    <w:rsid w:val="235C7439"/>
    <w:rsid w:val="23862801"/>
    <w:rsid w:val="23B3067D"/>
    <w:rsid w:val="24092228"/>
    <w:rsid w:val="2412659B"/>
    <w:rsid w:val="24191D12"/>
    <w:rsid w:val="241D6620"/>
    <w:rsid w:val="24207656"/>
    <w:rsid w:val="2454465C"/>
    <w:rsid w:val="247748F9"/>
    <w:rsid w:val="24843F5E"/>
    <w:rsid w:val="24B64EC2"/>
    <w:rsid w:val="24E567F1"/>
    <w:rsid w:val="24F03972"/>
    <w:rsid w:val="25070E5D"/>
    <w:rsid w:val="250C3A2F"/>
    <w:rsid w:val="25587FAA"/>
    <w:rsid w:val="255A6847"/>
    <w:rsid w:val="255F094E"/>
    <w:rsid w:val="25855B3B"/>
    <w:rsid w:val="25C36217"/>
    <w:rsid w:val="25D232A1"/>
    <w:rsid w:val="25FC7C6A"/>
    <w:rsid w:val="261C26E6"/>
    <w:rsid w:val="26422A31"/>
    <w:rsid w:val="264E7538"/>
    <w:rsid w:val="271F2BB5"/>
    <w:rsid w:val="27531695"/>
    <w:rsid w:val="27914A0E"/>
    <w:rsid w:val="27B1262E"/>
    <w:rsid w:val="27B2154C"/>
    <w:rsid w:val="27B315B3"/>
    <w:rsid w:val="27E308E7"/>
    <w:rsid w:val="27EE2517"/>
    <w:rsid w:val="27F54F9D"/>
    <w:rsid w:val="284304EB"/>
    <w:rsid w:val="28432D03"/>
    <w:rsid w:val="28534A9C"/>
    <w:rsid w:val="28717799"/>
    <w:rsid w:val="2899001E"/>
    <w:rsid w:val="28A85B4B"/>
    <w:rsid w:val="28B112DC"/>
    <w:rsid w:val="28B24203"/>
    <w:rsid w:val="28EC6C1C"/>
    <w:rsid w:val="28ED35EA"/>
    <w:rsid w:val="293E2782"/>
    <w:rsid w:val="29567980"/>
    <w:rsid w:val="297E0775"/>
    <w:rsid w:val="299B4FA3"/>
    <w:rsid w:val="29A3019D"/>
    <w:rsid w:val="29C46731"/>
    <w:rsid w:val="29CE1FD3"/>
    <w:rsid w:val="2A1E28C6"/>
    <w:rsid w:val="2A306760"/>
    <w:rsid w:val="2A765DDE"/>
    <w:rsid w:val="2A7B2572"/>
    <w:rsid w:val="2A8D1E28"/>
    <w:rsid w:val="2AD367CF"/>
    <w:rsid w:val="2ADE1E20"/>
    <w:rsid w:val="2AF25618"/>
    <w:rsid w:val="2B056E0B"/>
    <w:rsid w:val="2B9B0113"/>
    <w:rsid w:val="2BAA6597"/>
    <w:rsid w:val="2BD650E5"/>
    <w:rsid w:val="2BFE23BE"/>
    <w:rsid w:val="2BFE2F07"/>
    <w:rsid w:val="2C026603"/>
    <w:rsid w:val="2C116290"/>
    <w:rsid w:val="2C1C5135"/>
    <w:rsid w:val="2C2A5754"/>
    <w:rsid w:val="2C4B162F"/>
    <w:rsid w:val="2C5C392E"/>
    <w:rsid w:val="2C605B8E"/>
    <w:rsid w:val="2C812DBE"/>
    <w:rsid w:val="2C842D93"/>
    <w:rsid w:val="2C9F7BCD"/>
    <w:rsid w:val="2CB10594"/>
    <w:rsid w:val="2CCC6856"/>
    <w:rsid w:val="2D2E39CE"/>
    <w:rsid w:val="2D46091B"/>
    <w:rsid w:val="2D722DA4"/>
    <w:rsid w:val="2D8F7C42"/>
    <w:rsid w:val="2D925A5D"/>
    <w:rsid w:val="2D9C1299"/>
    <w:rsid w:val="2DFA0DC5"/>
    <w:rsid w:val="2E4E18AB"/>
    <w:rsid w:val="2E5245F3"/>
    <w:rsid w:val="2E5E4958"/>
    <w:rsid w:val="2E613191"/>
    <w:rsid w:val="2E6204D3"/>
    <w:rsid w:val="2E7C01C6"/>
    <w:rsid w:val="2E8240B4"/>
    <w:rsid w:val="2EBE07DF"/>
    <w:rsid w:val="2EF82B94"/>
    <w:rsid w:val="2F015D3C"/>
    <w:rsid w:val="2F8766D6"/>
    <w:rsid w:val="2FB5785D"/>
    <w:rsid w:val="2FC401E7"/>
    <w:rsid w:val="2FD85733"/>
    <w:rsid w:val="30797117"/>
    <w:rsid w:val="30935028"/>
    <w:rsid w:val="30DA5F0D"/>
    <w:rsid w:val="310046F0"/>
    <w:rsid w:val="311A0CF9"/>
    <w:rsid w:val="315766B5"/>
    <w:rsid w:val="31890DDB"/>
    <w:rsid w:val="319A3B7D"/>
    <w:rsid w:val="319C6EEB"/>
    <w:rsid w:val="31A270BB"/>
    <w:rsid w:val="32016E99"/>
    <w:rsid w:val="32094CCE"/>
    <w:rsid w:val="321C1CB8"/>
    <w:rsid w:val="321F2F36"/>
    <w:rsid w:val="32363151"/>
    <w:rsid w:val="325B1DDF"/>
    <w:rsid w:val="32B70AF4"/>
    <w:rsid w:val="32DB0B63"/>
    <w:rsid w:val="33077D83"/>
    <w:rsid w:val="3316226B"/>
    <w:rsid w:val="33567F43"/>
    <w:rsid w:val="33A342A9"/>
    <w:rsid w:val="33C94B03"/>
    <w:rsid w:val="33E94740"/>
    <w:rsid w:val="33F24A86"/>
    <w:rsid w:val="3412449F"/>
    <w:rsid w:val="34474DD2"/>
    <w:rsid w:val="34814541"/>
    <w:rsid w:val="3491288F"/>
    <w:rsid w:val="34AB3218"/>
    <w:rsid w:val="34B85E23"/>
    <w:rsid w:val="34C87BDA"/>
    <w:rsid w:val="34ED4978"/>
    <w:rsid w:val="34F15ED0"/>
    <w:rsid w:val="34F34E4B"/>
    <w:rsid w:val="351A340F"/>
    <w:rsid w:val="3575599A"/>
    <w:rsid w:val="35C7127C"/>
    <w:rsid w:val="35CC153F"/>
    <w:rsid w:val="35EB4AEC"/>
    <w:rsid w:val="35F61AE6"/>
    <w:rsid w:val="360C7A10"/>
    <w:rsid w:val="36143ECF"/>
    <w:rsid w:val="36286526"/>
    <w:rsid w:val="365E7F82"/>
    <w:rsid w:val="3696200F"/>
    <w:rsid w:val="36AA560A"/>
    <w:rsid w:val="36DA1F2E"/>
    <w:rsid w:val="37132A6F"/>
    <w:rsid w:val="371C0628"/>
    <w:rsid w:val="37235D6B"/>
    <w:rsid w:val="376673E7"/>
    <w:rsid w:val="3789245F"/>
    <w:rsid w:val="37BD4EA2"/>
    <w:rsid w:val="37C1505C"/>
    <w:rsid w:val="3802379B"/>
    <w:rsid w:val="3810372D"/>
    <w:rsid w:val="382011BD"/>
    <w:rsid w:val="38515AF3"/>
    <w:rsid w:val="38914EC4"/>
    <w:rsid w:val="38DE5F78"/>
    <w:rsid w:val="38DE65C9"/>
    <w:rsid w:val="38E51221"/>
    <w:rsid w:val="38F94B2E"/>
    <w:rsid w:val="391334D5"/>
    <w:rsid w:val="392751D2"/>
    <w:rsid w:val="395311EB"/>
    <w:rsid w:val="39921100"/>
    <w:rsid w:val="39A173B2"/>
    <w:rsid w:val="39CF6183"/>
    <w:rsid w:val="39E10461"/>
    <w:rsid w:val="3A0B4AF4"/>
    <w:rsid w:val="3A120F1A"/>
    <w:rsid w:val="3A2E6AA5"/>
    <w:rsid w:val="3A3F6467"/>
    <w:rsid w:val="3A8A66DC"/>
    <w:rsid w:val="3ACA07BF"/>
    <w:rsid w:val="3AF01E8D"/>
    <w:rsid w:val="3AFD0BD3"/>
    <w:rsid w:val="3B0B674C"/>
    <w:rsid w:val="3B215CB8"/>
    <w:rsid w:val="3B494C2A"/>
    <w:rsid w:val="3B617F00"/>
    <w:rsid w:val="3B626996"/>
    <w:rsid w:val="3BA54EF1"/>
    <w:rsid w:val="3BAD24D4"/>
    <w:rsid w:val="3BB15BA7"/>
    <w:rsid w:val="3C3F0A85"/>
    <w:rsid w:val="3C4516D1"/>
    <w:rsid w:val="3C4B1EC8"/>
    <w:rsid w:val="3C710B37"/>
    <w:rsid w:val="3C82437F"/>
    <w:rsid w:val="3C9D6E8D"/>
    <w:rsid w:val="3CB52704"/>
    <w:rsid w:val="3CB567B3"/>
    <w:rsid w:val="3CBD29DC"/>
    <w:rsid w:val="3CED0F6E"/>
    <w:rsid w:val="3CF31FC4"/>
    <w:rsid w:val="3D1E68EC"/>
    <w:rsid w:val="3D2263DC"/>
    <w:rsid w:val="3D3440EB"/>
    <w:rsid w:val="3D65276D"/>
    <w:rsid w:val="3D721CDF"/>
    <w:rsid w:val="3D8D0218"/>
    <w:rsid w:val="3D941C2F"/>
    <w:rsid w:val="3DB70B13"/>
    <w:rsid w:val="3DD736C5"/>
    <w:rsid w:val="3E525939"/>
    <w:rsid w:val="3E6D7B2B"/>
    <w:rsid w:val="3E783E00"/>
    <w:rsid w:val="3E967E77"/>
    <w:rsid w:val="3F055FB6"/>
    <w:rsid w:val="3F2C11D2"/>
    <w:rsid w:val="3F5F6352"/>
    <w:rsid w:val="3F603B33"/>
    <w:rsid w:val="3FB5501C"/>
    <w:rsid w:val="3FBE6BD3"/>
    <w:rsid w:val="3FD56484"/>
    <w:rsid w:val="401220CD"/>
    <w:rsid w:val="40443E82"/>
    <w:rsid w:val="40544E2E"/>
    <w:rsid w:val="40685AC6"/>
    <w:rsid w:val="40CB2BB1"/>
    <w:rsid w:val="40DF33FC"/>
    <w:rsid w:val="40F44607"/>
    <w:rsid w:val="40FE3145"/>
    <w:rsid w:val="411A1AF3"/>
    <w:rsid w:val="412777AB"/>
    <w:rsid w:val="412F2960"/>
    <w:rsid w:val="413A2838"/>
    <w:rsid w:val="414B0208"/>
    <w:rsid w:val="414E4C79"/>
    <w:rsid w:val="41A549F1"/>
    <w:rsid w:val="41AE6B7E"/>
    <w:rsid w:val="41C31810"/>
    <w:rsid w:val="41F3266D"/>
    <w:rsid w:val="422A4671"/>
    <w:rsid w:val="42501C58"/>
    <w:rsid w:val="42B255AE"/>
    <w:rsid w:val="42C75F41"/>
    <w:rsid w:val="42E3660E"/>
    <w:rsid w:val="42E547AC"/>
    <w:rsid w:val="43111B0F"/>
    <w:rsid w:val="43682C80"/>
    <w:rsid w:val="438F234E"/>
    <w:rsid w:val="43B51FB4"/>
    <w:rsid w:val="440F4045"/>
    <w:rsid w:val="446265AB"/>
    <w:rsid w:val="44777D3F"/>
    <w:rsid w:val="44827B22"/>
    <w:rsid w:val="44936142"/>
    <w:rsid w:val="449C4CC6"/>
    <w:rsid w:val="449E1F78"/>
    <w:rsid w:val="44D85D43"/>
    <w:rsid w:val="45030409"/>
    <w:rsid w:val="451F54B1"/>
    <w:rsid w:val="45221171"/>
    <w:rsid w:val="453734C6"/>
    <w:rsid w:val="454431EC"/>
    <w:rsid w:val="45571A20"/>
    <w:rsid w:val="45580E67"/>
    <w:rsid w:val="458D79F9"/>
    <w:rsid w:val="45963C6A"/>
    <w:rsid w:val="45BA022C"/>
    <w:rsid w:val="45BD6287"/>
    <w:rsid w:val="463D2143"/>
    <w:rsid w:val="464206E1"/>
    <w:rsid w:val="464C5968"/>
    <w:rsid w:val="46536F96"/>
    <w:rsid w:val="466F7CF3"/>
    <w:rsid w:val="46EB087D"/>
    <w:rsid w:val="46F65DBC"/>
    <w:rsid w:val="46F844F4"/>
    <w:rsid w:val="46FB6B1B"/>
    <w:rsid w:val="4759534C"/>
    <w:rsid w:val="47995545"/>
    <w:rsid w:val="47A15D3F"/>
    <w:rsid w:val="47C77AB7"/>
    <w:rsid w:val="47CA381F"/>
    <w:rsid w:val="47E57694"/>
    <w:rsid w:val="47EF15B1"/>
    <w:rsid w:val="47FC6E78"/>
    <w:rsid w:val="47FD21AB"/>
    <w:rsid w:val="480A5DEB"/>
    <w:rsid w:val="480E0139"/>
    <w:rsid w:val="48FA7DB5"/>
    <w:rsid w:val="4949164B"/>
    <w:rsid w:val="494925C7"/>
    <w:rsid w:val="49AD7F8A"/>
    <w:rsid w:val="49B65F72"/>
    <w:rsid w:val="49E71900"/>
    <w:rsid w:val="4A035F57"/>
    <w:rsid w:val="4A054585"/>
    <w:rsid w:val="4A166C35"/>
    <w:rsid w:val="4A1B763E"/>
    <w:rsid w:val="4A564EFA"/>
    <w:rsid w:val="4A5F6C48"/>
    <w:rsid w:val="4A76387F"/>
    <w:rsid w:val="4A9069A7"/>
    <w:rsid w:val="4AF40946"/>
    <w:rsid w:val="4B1A0884"/>
    <w:rsid w:val="4B634827"/>
    <w:rsid w:val="4B6E54F0"/>
    <w:rsid w:val="4B81013B"/>
    <w:rsid w:val="4B8E2321"/>
    <w:rsid w:val="4BAF63DD"/>
    <w:rsid w:val="4BC70431"/>
    <w:rsid w:val="4BFB13CD"/>
    <w:rsid w:val="4C0F2ADB"/>
    <w:rsid w:val="4C3832D1"/>
    <w:rsid w:val="4C575DB9"/>
    <w:rsid w:val="4CE3746E"/>
    <w:rsid w:val="4CF2501F"/>
    <w:rsid w:val="4D2E492A"/>
    <w:rsid w:val="4D34791C"/>
    <w:rsid w:val="4D5D6FBD"/>
    <w:rsid w:val="4D706E48"/>
    <w:rsid w:val="4D834C75"/>
    <w:rsid w:val="4E0762FF"/>
    <w:rsid w:val="4E654244"/>
    <w:rsid w:val="4E7B236F"/>
    <w:rsid w:val="4E7D6A50"/>
    <w:rsid w:val="4EA800E5"/>
    <w:rsid w:val="4EB56E85"/>
    <w:rsid w:val="4F09774E"/>
    <w:rsid w:val="4F191063"/>
    <w:rsid w:val="4F367AC5"/>
    <w:rsid w:val="4F605BB7"/>
    <w:rsid w:val="4F8604A5"/>
    <w:rsid w:val="4F861E04"/>
    <w:rsid w:val="4F896D85"/>
    <w:rsid w:val="4FAA18A4"/>
    <w:rsid w:val="4FAD41F3"/>
    <w:rsid w:val="4FBB3383"/>
    <w:rsid w:val="4FBD5C86"/>
    <w:rsid w:val="50221A81"/>
    <w:rsid w:val="502E6508"/>
    <w:rsid w:val="503A0DF3"/>
    <w:rsid w:val="504336E7"/>
    <w:rsid w:val="5054095A"/>
    <w:rsid w:val="50613096"/>
    <w:rsid w:val="507347E9"/>
    <w:rsid w:val="507E0D03"/>
    <w:rsid w:val="50814532"/>
    <w:rsid w:val="50D51984"/>
    <w:rsid w:val="5101429E"/>
    <w:rsid w:val="512E60BF"/>
    <w:rsid w:val="51736907"/>
    <w:rsid w:val="519A049A"/>
    <w:rsid w:val="51DC19A4"/>
    <w:rsid w:val="51E2311A"/>
    <w:rsid w:val="523F740C"/>
    <w:rsid w:val="524F2520"/>
    <w:rsid w:val="52AC31A7"/>
    <w:rsid w:val="52B65886"/>
    <w:rsid w:val="52CA25D7"/>
    <w:rsid w:val="535C54D8"/>
    <w:rsid w:val="53C53686"/>
    <w:rsid w:val="53D16428"/>
    <w:rsid w:val="5412664C"/>
    <w:rsid w:val="544A1536"/>
    <w:rsid w:val="54532EC8"/>
    <w:rsid w:val="547668D6"/>
    <w:rsid w:val="548D738A"/>
    <w:rsid w:val="54C948C0"/>
    <w:rsid w:val="55005EC8"/>
    <w:rsid w:val="55067C89"/>
    <w:rsid w:val="55165252"/>
    <w:rsid w:val="551B39E5"/>
    <w:rsid w:val="55217544"/>
    <w:rsid w:val="55255504"/>
    <w:rsid w:val="55621D51"/>
    <w:rsid w:val="556B18AD"/>
    <w:rsid w:val="558C56F2"/>
    <w:rsid w:val="55A9703D"/>
    <w:rsid w:val="55CE029A"/>
    <w:rsid w:val="55DC4F99"/>
    <w:rsid w:val="55F040BC"/>
    <w:rsid w:val="55F927F5"/>
    <w:rsid w:val="56033C57"/>
    <w:rsid w:val="564A081F"/>
    <w:rsid w:val="564F65BA"/>
    <w:rsid w:val="565C1286"/>
    <w:rsid w:val="56777341"/>
    <w:rsid w:val="56803751"/>
    <w:rsid w:val="569E48CE"/>
    <w:rsid w:val="574357C7"/>
    <w:rsid w:val="57580185"/>
    <w:rsid w:val="57743BD7"/>
    <w:rsid w:val="57882E25"/>
    <w:rsid w:val="57AA72A2"/>
    <w:rsid w:val="57DC4BB3"/>
    <w:rsid w:val="58042CB6"/>
    <w:rsid w:val="581B735C"/>
    <w:rsid w:val="581F6609"/>
    <w:rsid w:val="582331F5"/>
    <w:rsid w:val="585A705F"/>
    <w:rsid w:val="58D159FB"/>
    <w:rsid w:val="590C1A3A"/>
    <w:rsid w:val="59924CB6"/>
    <w:rsid w:val="5A2168D3"/>
    <w:rsid w:val="5A221ED3"/>
    <w:rsid w:val="5A632F11"/>
    <w:rsid w:val="5A9E7A5D"/>
    <w:rsid w:val="5AA1498D"/>
    <w:rsid w:val="5AAA4E70"/>
    <w:rsid w:val="5ABF6998"/>
    <w:rsid w:val="5AC317E8"/>
    <w:rsid w:val="5AC956A1"/>
    <w:rsid w:val="5B5B0FE0"/>
    <w:rsid w:val="5B6A1B01"/>
    <w:rsid w:val="5BAE36B3"/>
    <w:rsid w:val="5BD64832"/>
    <w:rsid w:val="5C0014E4"/>
    <w:rsid w:val="5C0715AC"/>
    <w:rsid w:val="5C6E4577"/>
    <w:rsid w:val="5C917372"/>
    <w:rsid w:val="5CBE4559"/>
    <w:rsid w:val="5CC635C8"/>
    <w:rsid w:val="5CDE780B"/>
    <w:rsid w:val="5D262B63"/>
    <w:rsid w:val="5D3416A9"/>
    <w:rsid w:val="5D4179C5"/>
    <w:rsid w:val="5DCF7F8F"/>
    <w:rsid w:val="5E4D7756"/>
    <w:rsid w:val="5ECE3876"/>
    <w:rsid w:val="5EEB04B7"/>
    <w:rsid w:val="5F3D2F39"/>
    <w:rsid w:val="5F625217"/>
    <w:rsid w:val="5FA81FD1"/>
    <w:rsid w:val="5FBD6975"/>
    <w:rsid w:val="5FBD7A82"/>
    <w:rsid w:val="5FCF4B50"/>
    <w:rsid w:val="5FEA6153"/>
    <w:rsid w:val="603774C5"/>
    <w:rsid w:val="604058CF"/>
    <w:rsid w:val="60E82E54"/>
    <w:rsid w:val="60EF46F9"/>
    <w:rsid w:val="612F4EBC"/>
    <w:rsid w:val="61816489"/>
    <w:rsid w:val="619B3460"/>
    <w:rsid w:val="61DD799B"/>
    <w:rsid w:val="61EF64F8"/>
    <w:rsid w:val="6213047A"/>
    <w:rsid w:val="62417222"/>
    <w:rsid w:val="62CC47A6"/>
    <w:rsid w:val="63597E24"/>
    <w:rsid w:val="638210D3"/>
    <w:rsid w:val="638D335D"/>
    <w:rsid w:val="63F74868"/>
    <w:rsid w:val="646F2899"/>
    <w:rsid w:val="64852C29"/>
    <w:rsid w:val="64A102A5"/>
    <w:rsid w:val="64B20A5F"/>
    <w:rsid w:val="652E0A4C"/>
    <w:rsid w:val="65684045"/>
    <w:rsid w:val="656D0B5B"/>
    <w:rsid w:val="65A921D2"/>
    <w:rsid w:val="65AC25B1"/>
    <w:rsid w:val="65AF085A"/>
    <w:rsid w:val="65E32377"/>
    <w:rsid w:val="66095A51"/>
    <w:rsid w:val="669A6B84"/>
    <w:rsid w:val="66DA129C"/>
    <w:rsid w:val="66E376FE"/>
    <w:rsid w:val="67133A01"/>
    <w:rsid w:val="67335344"/>
    <w:rsid w:val="67383AFB"/>
    <w:rsid w:val="679455E5"/>
    <w:rsid w:val="67B97DDD"/>
    <w:rsid w:val="67DA0556"/>
    <w:rsid w:val="67DB2AFF"/>
    <w:rsid w:val="67F6420A"/>
    <w:rsid w:val="6808402B"/>
    <w:rsid w:val="680B0AB8"/>
    <w:rsid w:val="680D6324"/>
    <w:rsid w:val="68345913"/>
    <w:rsid w:val="683E1F97"/>
    <w:rsid w:val="685F257D"/>
    <w:rsid w:val="68695628"/>
    <w:rsid w:val="688B392C"/>
    <w:rsid w:val="689D3202"/>
    <w:rsid w:val="68A9701B"/>
    <w:rsid w:val="68F14D31"/>
    <w:rsid w:val="692F5914"/>
    <w:rsid w:val="69582E52"/>
    <w:rsid w:val="695B31AD"/>
    <w:rsid w:val="698F7A43"/>
    <w:rsid w:val="69BF26AD"/>
    <w:rsid w:val="69C53648"/>
    <w:rsid w:val="69D00DEB"/>
    <w:rsid w:val="69D70420"/>
    <w:rsid w:val="69FF1D95"/>
    <w:rsid w:val="6A1D1B56"/>
    <w:rsid w:val="6A2A5FC0"/>
    <w:rsid w:val="6A62238F"/>
    <w:rsid w:val="6A6D0006"/>
    <w:rsid w:val="6A9E7B86"/>
    <w:rsid w:val="6AA27574"/>
    <w:rsid w:val="6AD2176E"/>
    <w:rsid w:val="6AD4634C"/>
    <w:rsid w:val="6AFD26CB"/>
    <w:rsid w:val="6B1D1B33"/>
    <w:rsid w:val="6B347157"/>
    <w:rsid w:val="6B552386"/>
    <w:rsid w:val="6B6A39F6"/>
    <w:rsid w:val="6B794419"/>
    <w:rsid w:val="6BF6657C"/>
    <w:rsid w:val="6C6B28EF"/>
    <w:rsid w:val="6C8926C1"/>
    <w:rsid w:val="6CA72B6B"/>
    <w:rsid w:val="6CB10B89"/>
    <w:rsid w:val="6CB46548"/>
    <w:rsid w:val="6CB708C8"/>
    <w:rsid w:val="6CDC1AC4"/>
    <w:rsid w:val="6CF37CE2"/>
    <w:rsid w:val="6D07459F"/>
    <w:rsid w:val="6D5533B5"/>
    <w:rsid w:val="6D6A3304"/>
    <w:rsid w:val="6DB47D85"/>
    <w:rsid w:val="6DDE680F"/>
    <w:rsid w:val="6DE608AB"/>
    <w:rsid w:val="6DEF3809"/>
    <w:rsid w:val="6E1A7D99"/>
    <w:rsid w:val="6E2F3D84"/>
    <w:rsid w:val="6E3149D5"/>
    <w:rsid w:val="6E340772"/>
    <w:rsid w:val="6E5B49FB"/>
    <w:rsid w:val="6E63695E"/>
    <w:rsid w:val="6EDD0833"/>
    <w:rsid w:val="6EEC733F"/>
    <w:rsid w:val="6F0A1CFE"/>
    <w:rsid w:val="6F135451"/>
    <w:rsid w:val="6F482C75"/>
    <w:rsid w:val="6FA87138"/>
    <w:rsid w:val="6FCA2A16"/>
    <w:rsid w:val="6FE96251"/>
    <w:rsid w:val="701060EF"/>
    <w:rsid w:val="7065618A"/>
    <w:rsid w:val="7073480C"/>
    <w:rsid w:val="708A2B84"/>
    <w:rsid w:val="70AA43B7"/>
    <w:rsid w:val="70D94662"/>
    <w:rsid w:val="712E39D3"/>
    <w:rsid w:val="713945E7"/>
    <w:rsid w:val="71495BF4"/>
    <w:rsid w:val="714D73A0"/>
    <w:rsid w:val="71754026"/>
    <w:rsid w:val="71AA548C"/>
    <w:rsid w:val="71AD5B5A"/>
    <w:rsid w:val="71CF7C4D"/>
    <w:rsid w:val="71F37CEB"/>
    <w:rsid w:val="71F8335C"/>
    <w:rsid w:val="72121C3D"/>
    <w:rsid w:val="724361B2"/>
    <w:rsid w:val="724A505B"/>
    <w:rsid w:val="72502AFD"/>
    <w:rsid w:val="7252031C"/>
    <w:rsid w:val="7264664C"/>
    <w:rsid w:val="72743C4C"/>
    <w:rsid w:val="72C42CE6"/>
    <w:rsid w:val="72F02452"/>
    <w:rsid w:val="735715BE"/>
    <w:rsid w:val="73AA5267"/>
    <w:rsid w:val="73D90055"/>
    <w:rsid w:val="73F65366"/>
    <w:rsid w:val="73F81486"/>
    <w:rsid w:val="743B1A6A"/>
    <w:rsid w:val="74471CA9"/>
    <w:rsid w:val="7453736D"/>
    <w:rsid w:val="74702437"/>
    <w:rsid w:val="7491451C"/>
    <w:rsid w:val="74B21E79"/>
    <w:rsid w:val="74C7789E"/>
    <w:rsid w:val="74F2382F"/>
    <w:rsid w:val="75086E73"/>
    <w:rsid w:val="758F768A"/>
    <w:rsid w:val="75C26649"/>
    <w:rsid w:val="75DD14B7"/>
    <w:rsid w:val="75DF2E69"/>
    <w:rsid w:val="75EB0BC3"/>
    <w:rsid w:val="760A5684"/>
    <w:rsid w:val="760E6214"/>
    <w:rsid w:val="76682219"/>
    <w:rsid w:val="767E0D8C"/>
    <w:rsid w:val="76E47C83"/>
    <w:rsid w:val="77453575"/>
    <w:rsid w:val="7769397B"/>
    <w:rsid w:val="77806777"/>
    <w:rsid w:val="778F1B93"/>
    <w:rsid w:val="77D15A41"/>
    <w:rsid w:val="7802352D"/>
    <w:rsid w:val="78186F98"/>
    <w:rsid w:val="781C6942"/>
    <w:rsid w:val="784D7AAA"/>
    <w:rsid w:val="78621153"/>
    <w:rsid w:val="786A163B"/>
    <w:rsid w:val="78C700B3"/>
    <w:rsid w:val="790F0348"/>
    <w:rsid w:val="792632C3"/>
    <w:rsid w:val="792D72CC"/>
    <w:rsid w:val="797713BD"/>
    <w:rsid w:val="799B642A"/>
    <w:rsid w:val="79AC3622"/>
    <w:rsid w:val="79BC31D6"/>
    <w:rsid w:val="79D47DAE"/>
    <w:rsid w:val="7A0D5743"/>
    <w:rsid w:val="7A212F9C"/>
    <w:rsid w:val="7A332922"/>
    <w:rsid w:val="7A4D1FE3"/>
    <w:rsid w:val="7A533910"/>
    <w:rsid w:val="7A7A05AD"/>
    <w:rsid w:val="7A7A0BE7"/>
    <w:rsid w:val="7A7C74F9"/>
    <w:rsid w:val="7A834F43"/>
    <w:rsid w:val="7AE52902"/>
    <w:rsid w:val="7B382107"/>
    <w:rsid w:val="7B7A6E08"/>
    <w:rsid w:val="7B8727E6"/>
    <w:rsid w:val="7BA7233A"/>
    <w:rsid w:val="7BF03DF3"/>
    <w:rsid w:val="7C1E6E97"/>
    <w:rsid w:val="7C203C18"/>
    <w:rsid w:val="7C492AA4"/>
    <w:rsid w:val="7CB653B2"/>
    <w:rsid w:val="7CEC4D0A"/>
    <w:rsid w:val="7D3335A1"/>
    <w:rsid w:val="7D426A72"/>
    <w:rsid w:val="7D4372EF"/>
    <w:rsid w:val="7D5F49C1"/>
    <w:rsid w:val="7D624C5F"/>
    <w:rsid w:val="7D851DEF"/>
    <w:rsid w:val="7E09208C"/>
    <w:rsid w:val="7E395ABE"/>
    <w:rsid w:val="7E6B291B"/>
    <w:rsid w:val="7E860BA6"/>
    <w:rsid w:val="7EB81D40"/>
    <w:rsid w:val="7EBA3818"/>
    <w:rsid w:val="7EC46513"/>
    <w:rsid w:val="7ECF746B"/>
    <w:rsid w:val="7F50511C"/>
    <w:rsid w:val="7F9872D2"/>
    <w:rsid w:val="7FAA73F2"/>
    <w:rsid w:val="7FAE76CE"/>
    <w:rsid w:val="7FB96A9B"/>
    <w:rsid w:val="7FD904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nhideWhenUsed="0" w:uiPriority="0" w:semiHidden="0" w:name="toc 2"/>
    <w:lsdException w:qFormat="1"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iPriority="0" w:semiHidden="0" w:name="Normal Indent"/>
    <w:lsdException w:uiPriority="0" w:name="footnote text"/>
    <w:lsdException w:qFormat="1" w:uiPriority="0" w:semiHidden="0" w:name="annotation text"/>
    <w:lsdException w:qFormat="1" w:unhideWhenUsed="0" w:uiPriority="0" w:semiHidden="0" w:name="header"/>
    <w:lsdException w:qFormat="1"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name="List Number"/>
    <w:lsdException w:uiPriority="0" w:name="List 2"/>
    <w:lsdException w:uiPriority="0" w:name="List 3"/>
    <w:lsdException w:unhideWhenUsed="0" w:uiPriority="0" w:name="List 4"/>
    <w:lsdException w:unhideWhenUsed="0"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name="Salutation"/>
    <w:lsdException w:unhideWhenUsed="0" w:uiPriority="0" w:name="Date"/>
    <w:lsdException w:qFormat="1" w:uiPriority="99"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0" w:name="Body Text Indent 3"/>
    <w:lsdException w:qFormat="1" w:unhideWhenUsed="0" w:uiPriority="0" w:semiHidden="0"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qFormat="1" w:uiPriority="0" w:semiHidden="0" w:name="HTML Code"/>
    <w:lsdException w:qFormat="1" w:uiPriority="0" w:semiHidden="0" w:name="HTML Definition"/>
    <w:lsdException w:qFormat="1" w:uiPriority="0" w:semiHidden="0" w:name="HTML Keyboard"/>
    <w:lsdException w:qFormat="1" w:unhideWhenUsed="0" w:uiPriority="99" w:semiHidden="0" w:name="HTML Preformatted"/>
    <w:lsdException w:qFormat="1" w:uiPriority="0" w:semiHidden="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1"/>
    <w:qFormat/>
    <w:uiPriority w:val="0"/>
    <w:pPr>
      <w:snapToGrid w:val="0"/>
      <w:spacing w:line="360" w:lineRule="auto"/>
      <w:jc w:val="center"/>
      <w:outlineLvl w:val="0"/>
    </w:pPr>
    <w:rPr>
      <w:rFonts w:asciiTheme="minorEastAsia" w:hAnsiTheme="minorEastAsia" w:eastAsiaTheme="minorEastAsia" w:cstheme="minorEastAsia"/>
      <w:b/>
      <w:bCs/>
      <w:sz w:val="32"/>
      <w:szCs w:val="32"/>
      <w:lang w:val="zh-CN"/>
    </w:rPr>
  </w:style>
  <w:style w:type="paragraph" w:styleId="3">
    <w:name w:val="heading 2"/>
    <w:basedOn w:val="1"/>
    <w:next w:val="1"/>
    <w:link w:val="42"/>
    <w:unhideWhenUsed/>
    <w:qFormat/>
    <w:uiPriority w:val="0"/>
    <w:pPr>
      <w:keepNext/>
      <w:spacing w:line="720" w:lineRule="exact"/>
      <w:outlineLvl w:val="1"/>
    </w:pPr>
    <w:rPr>
      <w:rFonts w:ascii="黑体" w:hAnsi="Copperplate Gothic Bold" w:eastAsia="楷体_GB2312"/>
      <w:sz w:val="28"/>
    </w:rPr>
  </w:style>
  <w:style w:type="paragraph" w:styleId="4">
    <w:name w:val="heading 3"/>
    <w:basedOn w:val="1"/>
    <w:next w:val="1"/>
    <w:unhideWhenUsed/>
    <w:qFormat/>
    <w:uiPriority w:val="0"/>
    <w:pPr>
      <w:keepNext/>
      <w:spacing w:line="320" w:lineRule="exact"/>
      <w:jc w:val="center"/>
      <w:outlineLvl w:val="2"/>
    </w:pPr>
    <w:rPr>
      <w:rFonts w:ascii="楷体_GB2312" w:eastAsia="楷体_GB2312"/>
      <w:sz w:val="24"/>
    </w:rPr>
  </w:style>
  <w:style w:type="paragraph" w:styleId="5">
    <w:name w:val="heading 4"/>
    <w:basedOn w:val="1"/>
    <w:next w:val="1"/>
    <w:qFormat/>
    <w:uiPriority w:val="0"/>
    <w:pPr>
      <w:keepNext/>
      <w:spacing w:line="600" w:lineRule="exact"/>
      <w:jc w:val="center"/>
      <w:outlineLvl w:val="3"/>
    </w:pPr>
    <w:rPr>
      <w:rFonts w:ascii="楷体_GB2312" w:eastAsia="楷体_GB2312"/>
      <w:sz w:val="32"/>
    </w:rPr>
  </w:style>
  <w:style w:type="paragraph" w:styleId="6">
    <w:name w:val="heading 6"/>
    <w:basedOn w:val="1"/>
    <w:next w:val="1"/>
    <w:qFormat/>
    <w:uiPriority w:val="0"/>
    <w:pPr>
      <w:keepNext/>
      <w:keepLines/>
      <w:widowControl/>
      <w:spacing w:before="240" w:after="64" w:line="320" w:lineRule="auto"/>
      <w:jc w:val="left"/>
      <w:outlineLvl w:val="5"/>
    </w:pPr>
    <w:rPr>
      <w:rFonts w:ascii="Arial" w:hAnsi="Arial" w:eastAsia="黑体"/>
      <w:b/>
      <w:bCs/>
      <w:kern w:val="0"/>
      <w:sz w:val="24"/>
    </w:rPr>
  </w:style>
  <w:style w:type="character" w:default="1" w:styleId="30">
    <w:name w:val="Default Paragraph Font"/>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7">
    <w:name w:val="Normal Indent"/>
    <w:basedOn w:val="1"/>
    <w:unhideWhenUsed/>
    <w:qFormat/>
    <w:uiPriority w:val="0"/>
    <w:pPr>
      <w:ind w:firstLine="420"/>
    </w:pPr>
  </w:style>
  <w:style w:type="paragraph" w:styleId="8">
    <w:name w:val="annotation text"/>
    <w:basedOn w:val="1"/>
    <w:link w:val="74"/>
    <w:unhideWhenUsed/>
    <w:qFormat/>
    <w:uiPriority w:val="0"/>
    <w:pPr>
      <w:jc w:val="left"/>
    </w:pPr>
  </w:style>
  <w:style w:type="paragraph" w:styleId="9">
    <w:name w:val="Body Text 3"/>
    <w:basedOn w:val="1"/>
    <w:qFormat/>
    <w:uiPriority w:val="0"/>
    <w:rPr>
      <w:rFonts w:ascii="宋体"/>
      <w:sz w:val="24"/>
    </w:rPr>
  </w:style>
  <w:style w:type="paragraph" w:styleId="10">
    <w:name w:val="Body Text"/>
    <w:basedOn w:val="1"/>
    <w:next w:val="1"/>
    <w:unhideWhenUsed/>
    <w:qFormat/>
    <w:uiPriority w:val="1"/>
    <w:pPr>
      <w:spacing w:after="120"/>
    </w:pPr>
  </w:style>
  <w:style w:type="paragraph" w:styleId="11">
    <w:name w:val="Body Text Indent"/>
    <w:basedOn w:val="1"/>
    <w:next w:val="10"/>
    <w:qFormat/>
    <w:uiPriority w:val="0"/>
    <w:pPr>
      <w:ind w:firstLine="552"/>
    </w:pPr>
    <w:rPr>
      <w:rFonts w:ascii="宋体"/>
      <w:sz w:val="28"/>
    </w:rPr>
  </w:style>
  <w:style w:type="paragraph" w:styleId="12">
    <w:name w:val="Block Text"/>
    <w:basedOn w:val="1"/>
    <w:qFormat/>
    <w:uiPriority w:val="0"/>
    <w:pPr>
      <w:adjustRightInd w:val="0"/>
      <w:ind w:left="420" w:right="33"/>
      <w:jc w:val="left"/>
      <w:textAlignment w:val="baseline"/>
    </w:pPr>
    <w:rPr>
      <w:kern w:val="0"/>
      <w:sz w:val="24"/>
    </w:rPr>
  </w:style>
  <w:style w:type="paragraph" w:styleId="13">
    <w:name w:val="toc 3"/>
    <w:basedOn w:val="1"/>
    <w:next w:val="1"/>
    <w:unhideWhenUsed/>
    <w:qFormat/>
    <w:uiPriority w:val="39"/>
    <w:pPr>
      <w:tabs>
        <w:tab w:val="right" w:leader="dot" w:pos="9060"/>
      </w:tabs>
      <w:spacing w:line="360" w:lineRule="auto"/>
      <w:jc w:val="left"/>
    </w:pPr>
    <w:rPr>
      <w:rFonts w:ascii="Calibri" w:hAnsi="Calibri" w:cs="Calibri"/>
      <w:i/>
      <w:iCs/>
      <w:sz w:val="20"/>
    </w:rPr>
  </w:style>
  <w:style w:type="paragraph" w:styleId="14">
    <w:name w:val="Plain Text"/>
    <w:basedOn w:val="1"/>
    <w:link w:val="73"/>
    <w:qFormat/>
    <w:uiPriority w:val="0"/>
    <w:rPr>
      <w:rFonts w:ascii="宋体" w:hAnsi="Courier New"/>
    </w:rPr>
  </w:style>
  <w:style w:type="paragraph" w:styleId="15">
    <w:name w:val="Body Text Indent 2"/>
    <w:basedOn w:val="1"/>
    <w:qFormat/>
    <w:uiPriority w:val="0"/>
    <w:pPr>
      <w:widowControl/>
      <w:spacing w:after="120" w:line="480" w:lineRule="auto"/>
      <w:ind w:left="420" w:leftChars="200"/>
      <w:jc w:val="left"/>
    </w:pPr>
    <w:rPr>
      <w:kern w:val="0"/>
      <w:sz w:val="20"/>
    </w:rPr>
  </w:style>
  <w:style w:type="paragraph" w:styleId="16">
    <w:name w:val="Balloon Text"/>
    <w:basedOn w:val="1"/>
    <w:link w:val="52"/>
    <w:unhideWhenUsed/>
    <w:qFormat/>
    <w:uiPriority w:val="0"/>
    <w:rPr>
      <w:sz w:val="18"/>
      <w:szCs w:val="18"/>
    </w:rPr>
  </w:style>
  <w:style w:type="paragraph" w:styleId="17">
    <w:name w:val="footer"/>
    <w:basedOn w:val="1"/>
    <w:next w:val="10"/>
    <w:link w:val="49"/>
    <w:unhideWhenUsed/>
    <w:qFormat/>
    <w:uiPriority w:val="0"/>
    <w:pPr>
      <w:tabs>
        <w:tab w:val="center" w:pos="4153"/>
        <w:tab w:val="right" w:pos="8306"/>
      </w:tabs>
      <w:snapToGrid w:val="0"/>
      <w:jc w:val="left"/>
    </w:pPr>
    <w:rPr>
      <w:sz w:val="18"/>
      <w:szCs w:val="18"/>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unhideWhenUsed/>
    <w:qFormat/>
    <w:uiPriority w:val="39"/>
    <w:pPr>
      <w:spacing w:before="120" w:after="120"/>
      <w:jc w:val="left"/>
    </w:pPr>
    <w:rPr>
      <w:rFonts w:ascii="Calibri" w:hAnsi="Calibri" w:cs="Calibri"/>
      <w:b/>
      <w:bCs/>
      <w:caps/>
      <w:sz w:val="20"/>
    </w:rPr>
  </w:style>
  <w:style w:type="paragraph" w:styleId="20">
    <w:name w:val="toc 2"/>
    <w:basedOn w:val="1"/>
    <w:next w:val="1"/>
    <w:qFormat/>
    <w:uiPriority w:val="0"/>
    <w:pPr>
      <w:ind w:left="420" w:leftChars="200"/>
    </w:pPr>
  </w:style>
  <w:style w:type="paragraph" w:styleId="21">
    <w:name w:val="Body Text 2"/>
    <w:basedOn w:val="1"/>
    <w:qFormat/>
    <w:uiPriority w:val="0"/>
    <w:rPr>
      <w:rFonts w:ascii="楷体_GB2312" w:hAnsi="Copperplate Gothic Bold" w:eastAsia="楷体_GB2312"/>
      <w:sz w:val="28"/>
    </w:rPr>
  </w:style>
  <w:style w:type="paragraph" w:styleId="22">
    <w:name w:val="HTML Preformatted"/>
    <w:basedOn w:val="1"/>
    <w:qFormat/>
    <w:uiPriority w:val="99"/>
    <w:pPr>
      <w:widowControl/>
      <w:jc w:val="left"/>
    </w:pPr>
    <w:rPr>
      <w:rFonts w:ascii="黑体" w:hAnsi="Courier New" w:eastAsia="黑体" w:cs="宋体"/>
      <w:kern w:val="0"/>
      <w:sz w:val="20"/>
    </w:rPr>
  </w:style>
  <w:style w:type="paragraph" w:styleId="23">
    <w:name w:val="Normal (Web)"/>
    <w:basedOn w:val="1"/>
    <w:qFormat/>
    <w:uiPriority w:val="0"/>
    <w:pPr>
      <w:jc w:val="left"/>
    </w:pPr>
    <w:rPr>
      <w:kern w:val="0"/>
      <w:sz w:val="24"/>
    </w:rPr>
  </w:style>
  <w:style w:type="paragraph" w:styleId="24">
    <w:name w:val="Title"/>
    <w:basedOn w:val="1"/>
    <w:next w:val="1"/>
    <w:qFormat/>
    <w:uiPriority w:val="0"/>
    <w:pPr>
      <w:spacing w:before="240" w:after="60"/>
      <w:jc w:val="center"/>
      <w:outlineLvl w:val="0"/>
    </w:pPr>
    <w:rPr>
      <w:rFonts w:ascii="Cambria" w:hAnsi="Cambria"/>
      <w:b/>
      <w:bCs/>
      <w:sz w:val="32"/>
      <w:szCs w:val="32"/>
    </w:rPr>
  </w:style>
  <w:style w:type="paragraph" w:styleId="25">
    <w:name w:val="annotation subject"/>
    <w:basedOn w:val="8"/>
    <w:next w:val="8"/>
    <w:link w:val="75"/>
    <w:semiHidden/>
    <w:unhideWhenUsed/>
    <w:qFormat/>
    <w:uiPriority w:val="0"/>
    <w:rPr>
      <w:b/>
      <w:bCs/>
    </w:rPr>
  </w:style>
  <w:style w:type="paragraph" w:styleId="26">
    <w:name w:val="Body Text First Indent"/>
    <w:basedOn w:val="10"/>
    <w:link w:val="82"/>
    <w:unhideWhenUsed/>
    <w:qFormat/>
    <w:uiPriority w:val="99"/>
    <w:pPr>
      <w:ind w:firstLine="420" w:firstLineChars="100"/>
    </w:pPr>
  </w:style>
  <w:style w:type="paragraph" w:styleId="27">
    <w:name w:val="Body Text First Indent 2"/>
    <w:basedOn w:val="11"/>
    <w:next w:val="1"/>
    <w:qFormat/>
    <w:uiPriority w:val="0"/>
    <w:pPr>
      <w:ind w:firstLine="420"/>
    </w:p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bCs/>
    </w:rPr>
  </w:style>
  <w:style w:type="character" w:styleId="32">
    <w:name w:val="page number"/>
    <w:basedOn w:val="30"/>
    <w:qFormat/>
    <w:uiPriority w:val="0"/>
  </w:style>
  <w:style w:type="character" w:styleId="33">
    <w:name w:val="FollowedHyperlink"/>
    <w:basedOn w:val="30"/>
    <w:unhideWhenUsed/>
    <w:qFormat/>
    <w:uiPriority w:val="0"/>
    <w:rPr>
      <w:color w:val="333333"/>
      <w:u w:val="none"/>
    </w:rPr>
  </w:style>
  <w:style w:type="character" w:styleId="34">
    <w:name w:val="Emphasis"/>
    <w:basedOn w:val="30"/>
    <w:qFormat/>
    <w:uiPriority w:val="0"/>
  </w:style>
  <w:style w:type="character" w:styleId="35">
    <w:name w:val="HTML Definition"/>
    <w:basedOn w:val="30"/>
    <w:unhideWhenUsed/>
    <w:qFormat/>
    <w:uiPriority w:val="0"/>
    <w:rPr>
      <w:i/>
      <w:iCs/>
    </w:rPr>
  </w:style>
  <w:style w:type="character" w:styleId="36">
    <w:name w:val="Hyperlink"/>
    <w:qFormat/>
    <w:uiPriority w:val="99"/>
    <w:rPr>
      <w:rFonts w:hint="eastAsia" w:ascii="宋体" w:hAnsi="宋体" w:eastAsia="宋体" w:cs="宋体"/>
      <w:color w:val="000000"/>
      <w:sz w:val="18"/>
      <w:szCs w:val="18"/>
      <w:u w:val="none"/>
    </w:rPr>
  </w:style>
  <w:style w:type="character" w:styleId="37">
    <w:name w:val="HTML Code"/>
    <w:basedOn w:val="30"/>
    <w:unhideWhenUsed/>
    <w:qFormat/>
    <w:uiPriority w:val="0"/>
    <w:rPr>
      <w:rFonts w:ascii="Consolas" w:hAnsi="Consolas" w:eastAsia="Consolas" w:cs="Consolas"/>
      <w:color w:val="C7254E"/>
      <w:sz w:val="21"/>
      <w:szCs w:val="21"/>
      <w:shd w:val="clear" w:color="auto" w:fill="F9F2F4"/>
    </w:rPr>
  </w:style>
  <w:style w:type="character" w:styleId="38">
    <w:name w:val="annotation reference"/>
    <w:basedOn w:val="30"/>
    <w:semiHidden/>
    <w:unhideWhenUsed/>
    <w:qFormat/>
    <w:uiPriority w:val="0"/>
    <w:rPr>
      <w:sz w:val="21"/>
      <w:szCs w:val="21"/>
    </w:rPr>
  </w:style>
  <w:style w:type="character" w:styleId="39">
    <w:name w:val="HTML Keyboard"/>
    <w:basedOn w:val="30"/>
    <w:unhideWhenUsed/>
    <w:qFormat/>
    <w:uiPriority w:val="0"/>
    <w:rPr>
      <w:rFonts w:hint="default" w:ascii="Consolas" w:hAnsi="Consolas" w:eastAsia="Consolas" w:cs="Consolas"/>
      <w:color w:val="FFFFFF"/>
      <w:sz w:val="21"/>
      <w:szCs w:val="21"/>
      <w:shd w:val="clear" w:color="auto" w:fill="333333"/>
    </w:rPr>
  </w:style>
  <w:style w:type="character" w:styleId="40">
    <w:name w:val="HTML Sample"/>
    <w:basedOn w:val="30"/>
    <w:unhideWhenUsed/>
    <w:qFormat/>
    <w:uiPriority w:val="0"/>
    <w:rPr>
      <w:rFonts w:hint="default" w:ascii="Consolas" w:hAnsi="Consolas" w:eastAsia="Consolas" w:cs="Consolas"/>
      <w:sz w:val="21"/>
      <w:szCs w:val="21"/>
    </w:rPr>
  </w:style>
  <w:style w:type="character" w:customStyle="1" w:styleId="41">
    <w:name w:val="标题 1 字符"/>
    <w:link w:val="2"/>
    <w:qFormat/>
    <w:uiPriority w:val="0"/>
    <w:rPr>
      <w:rFonts w:asciiTheme="minorEastAsia" w:hAnsiTheme="minorEastAsia" w:eastAsiaTheme="minorEastAsia" w:cstheme="minorEastAsia"/>
      <w:b/>
      <w:bCs/>
      <w:kern w:val="2"/>
      <w:sz w:val="32"/>
      <w:szCs w:val="32"/>
      <w:highlight w:val="none"/>
      <w:lang w:val="zh-CN" w:eastAsia="zh-CN" w:bidi="ar-SA"/>
    </w:rPr>
  </w:style>
  <w:style w:type="character" w:customStyle="1" w:styleId="42">
    <w:name w:val="标题 2 字符"/>
    <w:link w:val="3"/>
    <w:qFormat/>
    <w:uiPriority w:val="0"/>
    <w:rPr>
      <w:rFonts w:ascii="黑体" w:hAnsi="Copperplate Gothic Bold" w:eastAsia="楷体_GB2312"/>
      <w:sz w:val="28"/>
    </w:rPr>
  </w:style>
  <w:style w:type="paragraph" w:customStyle="1" w:styleId="43">
    <w:name w:val="正文1"/>
    <w:basedOn w:val="1"/>
    <w:qFormat/>
    <w:uiPriority w:val="0"/>
    <w:pPr>
      <w:spacing w:line="360" w:lineRule="auto"/>
      <w:ind w:firstLine="540" w:firstLineChars="257"/>
    </w:pPr>
    <w:rPr>
      <w:rFonts w:ascii="宋体" w:hAnsi="宋体"/>
    </w:rPr>
  </w:style>
  <w:style w:type="paragraph" w:customStyle="1" w:styleId="44">
    <w:name w:val="样式 样式 左侧:  2 字符 + 左侧:  0.85 厘米 首行缩进:  2 字符1"/>
    <w:basedOn w:val="1"/>
    <w:qFormat/>
    <w:uiPriority w:val="0"/>
    <w:pPr>
      <w:ind w:left="482" w:firstLine="200" w:firstLineChars="200"/>
    </w:pPr>
  </w:style>
  <w:style w:type="paragraph" w:customStyle="1" w:styleId="45">
    <w:name w:val="title11"/>
    <w:basedOn w:val="1"/>
    <w:qFormat/>
    <w:uiPriority w:val="0"/>
    <w:pPr>
      <w:spacing w:before="150" w:line="450" w:lineRule="atLeast"/>
      <w:jc w:val="left"/>
    </w:pPr>
    <w:rPr>
      <w:b/>
      <w:kern w:val="0"/>
      <w:sz w:val="24"/>
      <w:szCs w:val="24"/>
    </w:rPr>
  </w:style>
  <w:style w:type="paragraph" w:customStyle="1" w:styleId="46">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47">
    <w:name w:val="Table Paragraph"/>
    <w:basedOn w:val="1"/>
    <w:qFormat/>
    <w:uiPriority w:val="1"/>
    <w:pPr>
      <w:autoSpaceDE w:val="0"/>
      <w:autoSpaceDN w:val="0"/>
      <w:jc w:val="left"/>
    </w:pPr>
    <w:rPr>
      <w:rFonts w:ascii="宋体" w:hAnsi="宋体" w:cs="宋体"/>
      <w:kern w:val="0"/>
      <w:sz w:val="22"/>
      <w:szCs w:val="22"/>
      <w:lang w:val="zh-CN"/>
    </w:rPr>
  </w:style>
  <w:style w:type="paragraph" w:customStyle="1" w:styleId="48">
    <w:name w:val="Body text|1"/>
    <w:basedOn w:val="1"/>
    <w:qFormat/>
    <w:uiPriority w:val="0"/>
    <w:pPr>
      <w:spacing w:line="480" w:lineRule="auto"/>
      <w:ind w:firstLine="400"/>
    </w:pPr>
    <w:rPr>
      <w:rFonts w:ascii="宋体" w:hAnsi="宋体" w:cs="宋体"/>
      <w:sz w:val="20"/>
      <w:lang w:val="zh-TW" w:eastAsia="zh-TW" w:bidi="zh-TW"/>
    </w:rPr>
  </w:style>
  <w:style w:type="character" w:customStyle="1" w:styleId="49">
    <w:name w:val="页脚 字符"/>
    <w:basedOn w:val="30"/>
    <w:link w:val="17"/>
    <w:qFormat/>
    <w:uiPriority w:val="0"/>
    <w:rPr>
      <w:kern w:val="2"/>
      <w:sz w:val="18"/>
      <w:szCs w:val="18"/>
    </w:rPr>
  </w:style>
  <w:style w:type="paragraph" w:customStyle="1" w:styleId="50">
    <w:name w:val="列出段落1"/>
    <w:basedOn w:val="1"/>
    <w:qFormat/>
    <w:uiPriority w:val="34"/>
    <w:pPr>
      <w:ind w:firstLine="420" w:firstLineChars="200"/>
    </w:pPr>
  </w:style>
  <w:style w:type="paragraph" w:customStyle="1" w:styleId="51">
    <w:name w:val="列出段落2"/>
    <w:basedOn w:val="1"/>
    <w:qFormat/>
    <w:uiPriority w:val="34"/>
    <w:pPr>
      <w:ind w:firstLine="420" w:firstLineChars="200"/>
    </w:pPr>
    <w:rPr>
      <w:rFonts w:asciiTheme="minorHAnsi" w:hAnsiTheme="minorHAnsi" w:eastAsiaTheme="minorEastAsia" w:cstheme="minorBidi"/>
      <w:szCs w:val="22"/>
    </w:rPr>
  </w:style>
  <w:style w:type="character" w:customStyle="1" w:styleId="52">
    <w:name w:val="批注框文本 字符"/>
    <w:basedOn w:val="30"/>
    <w:link w:val="16"/>
    <w:semiHidden/>
    <w:qFormat/>
    <w:uiPriority w:val="0"/>
    <w:rPr>
      <w:rFonts w:ascii="Times New Roman" w:hAnsi="Times New Roman" w:eastAsia="宋体" w:cs="Times New Roman"/>
      <w:kern w:val="2"/>
      <w:sz w:val="18"/>
      <w:szCs w:val="18"/>
    </w:rPr>
  </w:style>
  <w:style w:type="paragraph" w:customStyle="1" w:styleId="53">
    <w:name w:val="Normal_8"/>
    <w:qFormat/>
    <w:uiPriority w:val="0"/>
    <w:pPr>
      <w:spacing w:before="120" w:after="240"/>
      <w:jc w:val="both"/>
    </w:pPr>
    <w:rPr>
      <w:rFonts w:ascii="等线" w:hAnsi="等线" w:eastAsia="宋体" w:cs="Times New Roman"/>
      <w:sz w:val="22"/>
      <w:szCs w:val="22"/>
      <w:lang w:val="en-US" w:eastAsia="en-US" w:bidi="ar-SA"/>
    </w:rPr>
  </w:style>
  <w:style w:type="paragraph" w:customStyle="1" w:styleId="54">
    <w:name w:val="Blockquote"/>
    <w:basedOn w:val="1"/>
    <w:qFormat/>
    <w:uiPriority w:val="99"/>
    <w:pPr>
      <w:autoSpaceDE w:val="0"/>
      <w:autoSpaceDN w:val="0"/>
      <w:adjustRightInd w:val="0"/>
      <w:spacing w:before="100" w:after="100"/>
      <w:ind w:left="360" w:right="360"/>
    </w:pPr>
    <w:rPr>
      <w:sz w:val="24"/>
    </w:rPr>
  </w:style>
  <w:style w:type="paragraph" w:customStyle="1" w:styleId="55">
    <w:name w:val="WPSOffice手动目录 1"/>
    <w:qFormat/>
    <w:uiPriority w:val="0"/>
    <w:rPr>
      <w:rFonts w:ascii="Times New Roman" w:hAnsi="Times New Roman" w:eastAsia="宋体" w:cs="Times New Roman"/>
      <w:lang w:val="en-US" w:eastAsia="zh-CN" w:bidi="ar-SA"/>
    </w:rPr>
  </w:style>
  <w:style w:type="character" w:customStyle="1" w:styleId="56">
    <w:name w:val="button"/>
    <w:basedOn w:val="30"/>
    <w:qFormat/>
    <w:uiPriority w:val="0"/>
  </w:style>
  <w:style w:type="character" w:customStyle="1" w:styleId="57">
    <w:name w:val="hour_am"/>
    <w:basedOn w:val="30"/>
    <w:qFormat/>
    <w:uiPriority w:val="0"/>
  </w:style>
  <w:style w:type="character" w:customStyle="1" w:styleId="58">
    <w:name w:val="hour_pm"/>
    <w:basedOn w:val="30"/>
    <w:qFormat/>
    <w:uiPriority w:val="0"/>
  </w:style>
  <w:style w:type="character" w:customStyle="1" w:styleId="59">
    <w:name w:val="indent"/>
    <w:basedOn w:val="30"/>
    <w:qFormat/>
    <w:uiPriority w:val="0"/>
  </w:style>
  <w:style w:type="character" w:customStyle="1" w:styleId="60">
    <w:name w:val="tmpztreemove_arrow"/>
    <w:basedOn w:val="30"/>
    <w:qFormat/>
    <w:uiPriority w:val="0"/>
    <w:rPr>
      <w:shd w:val="clear" w:color="auto" w:fill="FFFFFF"/>
    </w:rPr>
  </w:style>
  <w:style w:type="character" w:customStyle="1" w:styleId="61">
    <w:name w:val="hover3"/>
    <w:basedOn w:val="30"/>
    <w:qFormat/>
    <w:uiPriority w:val="0"/>
    <w:rPr>
      <w:shd w:val="clear" w:color="auto" w:fill="EEEEEE"/>
    </w:rPr>
  </w:style>
  <w:style w:type="character" w:customStyle="1" w:styleId="62">
    <w:name w:val="old"/>
    <w:basedOn w:val="30"/>
    <w:qFormat/>
    <w:uiPriority w:val="0"/>
    <w:rPr>
      <w:color w:val="999999"/>
    </w:rPr>
  </w:style>
  <w:style w:type="character" w:customStyle="1" w:styleId="63">
    <w:name w:val="glyphicon4"/>
    <w:basedOn w:val="30"/>
    <w:qFormat/>
    <w:uiPriority w:val="0"/>
  </w:style>
  <w:style w:type="character" w:customStyle="1" w:styleId="64">
    <w:name w:val="input-direction"/>
    <w:basedOn w:val="30"/>
    <w:qFormat/>
    <w:uiPriority w:val="0"/>
    <w:rPr>
      <w:color w:val="FF6600"/>
    </w:rPr>
  </w:style>
  <w:style w:type="character" w:customStyle="1" w:styleId="65">
    <w:name w:val="stclosebtn"/>
    <w:basedOn w:val="30"/>
    <w:qFormat/>
    <w:uiPriority w:val="0"/>
  </w:style>
  <w:style w:type="character" w:customStyle="1" w:styleId="66">
    <w:name w:val="beforeinfotext"/>
    <w:basedOn w:val="30"/>
    <w:qFormat/>
    <w:uiPriority w:val="0"/>
    <w:rPr>
      <w:color w:val="666666"/>
    </w:rPr>
  </w:style>
  <w:style w:type="character" w:customStyle="1" w:styleId="67">
    <w:name w:val="proollist"/>
    <w:basedOn w:val="30"/>
    <w:qFormat/>
    <w:uiPriority w:val="0"/>
  </w:style>
  <w:style w:type="character" w:customStyle="1" w:styleId="68">
    <w:name w:val="span-long"/>
    <w:basedOn w:val="30"/>
    <w:qFormat/>
    <w:uiPriority w:val="0"/>
  </w:style>
  <w:style w:type="character" w:customStyle="1" w:styleId="69">
    <w:name w:val="hilite6"/>
    <w:basedOn w:val="30"/>
    <w:qFormat/>
    <w:uiPriority w:val="0"/>
    <w:rPr>
      <w:color w:val="FFFFFF"/>
      <w:shd w:val="clear" w:color="auto" w:fill="666677"/>
    </w:rPr>
  </w:style>
  <w:style w:type="character" w:customStyle="1" w:styleId="70">
    <w:name w:val="active6"/>
    <w:basedOn w:val="30"/>
    <w:qFormat/>
    <w:uiPriority w:val="0"/>
    <w:rPr>
      <w:color w:val="00FF00"/>
      <w:shd w:val="clear" w:color="auto" w:fill="000000"/>
    </w:rPr>
  </w:style>
  <w:style w:type="character" w:customStyle="1" w:styleId="71">
    <w:name w:val="phone"/>
    <w:basedOn w:val="30"/>
    <w:qFormat/>
    <w:uiPriority w:val="0"/>
    <w:rPr>
      <w:color w:val="FF8833"/>
      <w:sz w:val="18"/>
      <w:szCs w:val="18"/>
    </w:rPr>
  </w:style>
  <w:style w:type="character" w:customStyle="1" w:styleId="72">
    <w:name w:val="number"/>
    <w:basedOn w:val="30"/>
    <w:qFormat/>
    <w:uiPriority w:val="0"/>
    <w:rPr>
      <w:color w:val="FF8833"/>
      <w:sz w:val="18"/>
      <w:szCs w:val="18"/>
    </w:rPr>
  </w:style>
  <w:style w:type="character" w:customStyle="1" w:styleId="73">
    <w:name w:val="纯文本 字符"/>
    <w:basedOn w:val="30"/>
    <w:link w:val="14"/>
    <w:qFormat/>
    <w:uiPriority w:val="0"/>
    <w:rPr>
      <w:rFonts w:ascii="宋体" w:hAnsi="Courier New"/>
    </w:rPr>
  </w:style>
  <w:style w:type="character" w:customStyle="1" w:styleId="74">
    <w:name w:val="批注文字 字符"/>
    <w:basedOn w:val="30"/>
    <w:link w:val="8"/>
    <w:qFormat/>
    <w:uiPriority w:val="0"/>
    <w:rPr>
      <w:kern w:val="2"/>
      <w:sz w:val="21"/>
    </w:rPr>
  </w:style>
  <w:style w:type="character" w:customStyle="1" w:styleId="75">
    <w:name w:val="批注主题 字符"/>
    <w:basedOn w:val="74"/>
    <w:link w:val="25"/>
    <w:semiHidden/>
    <w:qFormat/>
    <w:uiPriority w:val="0"/>
    <w:rPr>
      <w:b/>
      <w:bCs/>
      <w:kern w:val="2"/>
      <w:sz w:val="21"/>
    </w:rPr>
  </w:style>
  <w:style w:type="paragraph" w:styleId="76">
    <w:name w:val="List Paragraph"/>
    <w:basedOn w:val="1"/>
    <w:unhideWhenUsed/>
    <w:qFormat/>
    <w:uiPriority w:val="99"/>
    <w:pPr>
      <w:ind w:firstLine="420" w:firstLineChars="200"/>
    </w:pPr>
  </w:style>
  <w:style w:type="paragraph" w:customStyle="1" w:styleId="77">
    <w:name w:val="p0"/>
    <w:basedOn w:val="1"/>
    <w:qFormat/>
    <w:uiPriority w:val="0"/>
    <w:pPr>
      <w:widowControl/>
    </w:pPr>
    <w:rPr>
      <w:rFonts w:ascii="宋体" w:hAnsi="宋体" w:cs="宋体"/>
      <w:kern w:val="0"/>
      <w:szCs w:val="21"/>
    </w:rPr>
  </w:style>
  <w:style w:type="paragraph" w:customStyle="1" w:styleId="78">
    <w:name w:val="样式 10 磅"/>
    <w:basedOn w:val="1"/>
    <w:qFormat/>
    <w:uiPriority w:val="0"/>
  </w:style>
  <w:style w:type="paragraph" w:customStyle="1" w:styleId="79">
    <w:name w:val="Normal_13"/>
    <w:qFormat/>
    <w:uiPriority w:val="99"/>
    <w:pPr>
      <w:spacing w:before="120" w:after="240"/>
      <w:jc w:val="both"/>
    </w:pPr>
    <w:rPr>
      <w:rFonts w:ascii="Calibri" w:hAnsi="Calibri" w:eastAsia="宋体" w:cs="Times New Roman"/>
      <w:sz w:val="22"/>
      <w:szCs w:val="22"/>
      <w:lang w:val="en-US" w:eastAsia="en-US" w:bidi="ar-SA"/>
    </w:rPr>
  </w:style>
  <w:style w:type="paragraph" w:customStyle="1" w:styleId="80">
    <w:name w:val="null3"/>
    <w:hidden/>
    <w:qFormat/>
    <w:uiPriority w:val="0"/>
    <w:rPr>
      <w:rFonts w:hint="eastAsia" w:asciiTheme="minorHAnsi" w:hAnsiTheme="minorHAnsi" w:eastAsiaTheme="minorEastAsia" w:cstheme="minorBidi"/>
      <w:lang w:val="en-US" w:eastAsia="zh-Hans" w:bidi="ar-SA"/>
    </w:rPr>
  </w:style>
  <w:style w:type="paragraph" w:customStyle="1" w:styleId="81">
    <w:name w:val="Char"/>
    <w:basedOn w:val="1"/>
    <w:semiHidden/>
    <w:qFormat/>
    <w:uiPriority w:val="0"/>
  </w:style>
  <w:style w:type="character" w:customStyle="1" w:styleId="82">
    <w:name w:val="正文文本首行缩进 字符"/>
    <w:basedOn w:val="30"/>
    <w:link w:val="26"/>
    <w:qFormat/>
    <w:uiPriority w:val="99"/>
    <w:rPr>
      <w:kern w:val="2"/>
      <w:sz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E2A23E-DAAF-4411-8AA9-1B6680B615D5}">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67</Pages>
  <Words>15466</Words>
  <Characters>16722</Characters>
  <Lines>1057</Lines>
  <Paragraphs>1178</Paragraphs>
  <TotalTime>103</TotalTime>
  <ScaleCrop>false</ScaleCrop>
  <LinksUpToDate>false</LinksUpToDate>
  <CharactersWithSpaces>16963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2026-08-14T03:08:00Z</dcterms:created>
  <dc:creator>lenovo</dc:creator>
  <cp:lastModifiedBy>歌入人心</cp:lastModifiedBy>
  <cp:lastPrinted>2026-09-07T09:34:36Z</cp:lastPrinted>
  <dcterms:modified xsi:type="dcterms:W3CDTF">2026-09-07T09:34:46Z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577D0BE5D1DC4226B645ED73D05EDC57_13</vt:lpwstr>
  </property>
  <property fmtid="{D5CDD505-2E9C-101B-9397-08002B2CF9AE}" pid="4" name="commondata">
    <vt:lpwstr>eyJoZGlkIjoiOTU5MjA1ZjMyY2E4MzM2ZTg3MWIzYzc1M2JmYjkyOGMifQ==</vt:lpwstr>
  </property>
  <property fmtid="{D5CDD505-2E9C-101B-9397-08002B2CF9AE}" pid="5" name="KSOTemplateDocerSaveRecord">
    <vt:lpwstr>eyJoZGlkIjoiOGVhN2E2OGMzZTc1ODZiYTlhM2JiMGU0MjBjMmRlZWEiLCJ1c2VySWQiOiIzNjcyMDg3MTYifQ==</vt:lpwstr>
  </property>
</Properties>
</file>