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33B5D">
      <w:pPr>
        <w:keepNext w:val="0"/>
        <w:keepLines w:val="0"/>
        <w:pageBreakBefore w:val="0"/>
        <w:widowControl w:val="0"/>
        <w:kinsoku/>
        <w:wordWrap/>
        <w:overflowPunct/>
        <w:topLinePunct w:val="0"/>
        <w:bidi w:val="0"/>
        <w:adjustRightInd w:val="0"/>
        <w:snapToGrid w:val="0"/>
        <w:spacing w:line="360" w:lineRule="auto"/>
        <w:ind w:firstLine="883" w:firstLineChars="200"/>
        <w:jc w:val="center"/>
        <w:textAlignment w:val="auto"/>
        <w:rPr>
          <w:rFonts w:hint="eastAsia" w:ascii="仿宋_GB2312" w:hAnsi="仿宋" w:eastAsia="仿宋_GB2312" w:cs="Times New Roman"/>
          <w:b/>
          <w:bCs/>
          <w:color w:val="000000"/>
          <w:sz w:val="44"/>
          <w:szCs w:val="44"/>
          <w:highlight w:val="none"/>
          <w:lang w:val="en-US" w:eastAsia="zh-CN"/>
        </w:rPr>
      </w:pPr>
      <w:r>
        <w:rPr>
          <w:rFonts w:hint="eastAsia" w:ascii="仿宋_GB2312" w:hAnsi="仿宋" w:eastAsia="仿宋_GB2312" w:cs="Times New Roman"/>
          <w:b/>
          <w:bCs/>
          <w:color w:val="000000"/>
          <w:sz w:val="44"/>
          <w:szCs w:val="44"/>
          <w:highlight w:val="none"/>
          <w:lang w:val="en-US" w:eastAsia="zh-CN"/>
        </w:rPr>
        <w:t>分项报价表</w:t>
      </w:r>
    </w:p>
    <w:p w14:paraId="5D861FF8">
      <w:pPr>
        <w:pStyle w:val="2"/>
        <w:rPr>
          <w:rFonts w:hint="eastAsia"/>
          <w:lang w:val="zh-CN" w:eastAsia="zh-CN"/>
        </w:rPr>
      </w:pPr>
    </w:p>
    <w:tbl>
      <w:tblPr>
        <w:tblStyle w:val="3"/>
        <w:tblW w:w="4999" w:type="pct"/>
        <w:tblInd w:w="0" w:type="dxa"/>
        <w:tblLayout w:type="autofit"/>
        <w:tblCellMar>
          <w:top w:w="0" w:type="dxa"/>
          <w:left w:w="0" w:type="dxa"/>
          <w:bottom w:w="0" w:type="dxa"/>
          <w:right w:w="0" w:type="dxa"/>
        </w:tblCellMar>
      </w:tblPr>
      <w:tblGrid>
        <w:gridCol w:w="2630"/>
        <w:gridCol w:w="2034"/>
        <w:gridCol w:w="1834"/>
        <w:gridCol w:w="1836"/>
      </w:tblGrid>
      <w:tr w14:paraId="0E34078D">
        <w:tblPrEx>
          <w:tblCellMar>
            <w:top w:w="0" w:type="dxa"/>
            <w:left w:w="0" w:type="dxa"/>
            <w:bottom w:w="0" w:type="dxa"/>
            <w:right w:w="0" w:type="dxa"/>
          </w:tblCellMar>
        </w:tblPrEx>
        <w:trPr>
          <w:trHeight w:val="630" w:hRule="atLeast"/>
        </w:trPr>
        <w:tc>
          <w:tcPr>
            <w:tcW w:w="1578" w:type="pct"/>
            <w:vMerge w:val="restart"/>
            <w:tcBorders>
              <w:top w:val="single" w:color="000000" w:sz="8" w:space="0"/>
              <w:left w:val="single" w:color="000000" w:sz="8" w:space="0"/>
              <w:right w:val="single" w:color="000000" w:sz="8" w:space="0"/>
            </w:tcBorders>
            <w:noWrap w:val="0"/>
            <w:tcMar>
              <w:top w:w="15" w:type="dxa"/>
              <w:left w:w="15" w:type="dxa"/>
              <w:right w:w="15" w:type="dxa"/>
            </w:tcMar>
            <w:vAlign w:val="center"/>
          </w:tcPr>
          <w:p w14:paraId="28359D78">
            <w:pPr>
              <w:jc w:val="center"/>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zh-CN" w:eastAsia="zh-CN"/>
              </w:rPr>
              <w:t>人数</w:t>
            </w:r>
          </w:p>
          <w:p w14:paraId="230F4504">
            <w:pPr>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12人</w:t>
            </w:r>
          </w:p>
        </w:tc>
        <w:tc>
          <w:tcPr>
            <w:tcW w:w="1220" w:type="pct"/>
            <w:tcBorders>
              <w:top w:val="single" w:color="000000" w:sz="8" w:space="0"/>
              <w:left w:val="nil"/>
              <w:bottom w:val="single" w:color="auto" w:sz="4" w:space="0"/>
              <w:right w:val="single" w:color="000000" w:sz="8" w:space="0"/>
            </w:tcBorders>
            <w:noWrap w:val="0"/>
            <w:tcMar>
              <w:top w:w="15" w:type="dxa"/>
              <w:left w:w="15" w:type="dxa"/>
              <w:right w:w="15" w:type="dxa"/>
            </w:tcMar>
            <w:vAlign w:val="center"/>
          </w:tcPr>
          <w:p w14:paraId="0D1E5A6C">
            <w:pPr>
              <w:jc w:val="center"/>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zh-CN" w:eastAsia="zh-CN"/>
              </w:rPr>
              <w:t>员工费用</w:t>
            </w:r>
            <w:r>
              <w:rPr>
                <w:rFonts w:hint="eastAsia" w:ascii="仿宋_GB2312" w:hAnsi="仿宋_GB2312" w:eastAsia="仿宋_GB2312" w:cs="仿宋_GB2312"/>
                <w:sz w:val="28"/>
                <w:szCs w:val="28"/>
                <w:lang w:val="zh-CN" w:eastAsia="zh-CN"/>
              </w:rPr>
              <w:br w:type="textWrapping"/>
            </w:r>
            <w:r>
              <w:rPr>
                <w:rFonts w:hint="eastAsia" w:ascii="仿宋_GB2312" w:hAnsi="仿宋_GB2312" w:eastAsia="仿宋_GB2312" w:cs="仿宋_GB2312"/>
                <w:sz w:val="28"/>
                <w:szCs w:val="28"/>
                <w:lang w:val="zh-CN" w:eastAsia="zh-CN"/>
              </w:rPr>
              <w:t xml:space="preserve"> （元/年）</w:t>
            </w:r>
          </w:p>
        </w:tc>
        <w:tc>
          <w:tcPr>
            <w:tcW w:w="1100" w:type="pc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18948370">
            <w:pPr>
              <w:jc w:val="center"/>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zh-CN" w:eastAsia="zh-CN"/>
              </w:rPr>
              <w:t>管理费</w:t>
            </w:r>
          </w:p>
          <w:p w14:paraId="33D74749">
            <w:pPr>
              <w:jc w:val="center"/>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zh-CN" w:eastAsia="zh-CN"/>
              </w:rPr>
              <w:t>（元/年）</w:t>
            </w:r>
          </w:p>
        </w:tc>
        <w:tc>
          <w:tcPr>
            <w:tcW w:w="1100" w:type="pc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14:paraId="0A4134FB">
            <w:pPr>
              <w:jc w:val="center"/>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zh-CN" w:eastAsia="zh-CN"/>
              </w:rPr>
              <w:t>税金</w:t>
            </w:r>
            <w:r>
              <w:rPr>
                <w:rFonts w:hint="eastAsia" w:ascii="仿宋_GB2312" w:hAnsi="仿宋_GB2312" w:eastAsia="仿宋_GB2312" w:cs="仿宋_GB2312"/>
                <w:sz w:val="28"/>
                <w:szCs w:val="28"/>
                <w:lang w:val="zh-CN" w:eastAsia="zh-CN"/>
              </w:rPr>
              <w:br w:type="textWrapping"/>
            </w:r>
            <w:r>
              <w:rPr>
                <w:rFonts w:hint="eastAsia" w:ascii="仿宋_GB2312" w:hAnsi="仿宋_GB2312" w:eastAsia="仿宋_GB2312" w:cs="仿宋_GB2312"/>
                <w:sz w:val="28"/>
                <w:szCs w:val="28"/>
                <w:lang w:val="zh-CN" w:eastAsia="zh-CN"/>
              </w:rPr>
              <w:t>（元/年）</w:t>
            </w:r>
          </w:p>
        </w:tc>
      </w:tr>
      <w:tr w14:paraId="6E69B2B6">
        <w:tblPrEx>
          <w:tblCellMar>
            <w:top w:w="0" w:type="dxa"/>
            <w:left w:w="0" w:type="dxa"/>
            <w:bottom w:w="0" w:type="dxa"/>
            <w:right w:w="0" w:type="dxa"/>
          </w:tblCellMar>
        </w:tblPrEx>
        <w:trPr>
          <w:trHeight w:val="720" w:hRule="atLeast"/>
        </w:trPr>
        <w:tc>
          <w:tcPr>
            <w:tcW w:w="1578" w:type="pct"/>
            <w:vMerge w:val="continue"/>
            <w:tcBorders>
              <w:left w:val="single" w:color="000000" w:sz="8" w:space="0"/>
              <w:bottom w:val="single" w:color="auto" w:sz="4" w:space="0"/>
              <w:right w:val="single" w:color="000000" w:sz="8" w:space="0"/>
            </w:tcBorders>
            <w:noWrap w:val="0"/>
            <w:tcMar>
              <w:top w:w="15" w:type="dxa"/>
              <w:left w:w="15" w:type="dxa"/>
              <w:right w:w="15" w:type="dxa"/>
            </w:tcMar>
            <w:vAlign w:val="center"/>
          </w:tcPr>
          <w:p w14:paraId="31767B0E">
            <w:pPr>
              <w:jc w:val="center"/>
              <w:rPr>
                <w:rFonts w:hint="default" w:ascii="仿宋_GB2312" w:hAnsi="仿宋_GB2312" w:eastAsia="仿宋_GB2312" w:cs="仿宋_GB2312"/>
                <w:sz w:val="28"/>
                <w:szCs w:val="28"/>
                <w:lang w:val="en-US" w:eastAsia="zh-CN"/>
              </w:rPr>
            </w:pPr>
          </w:p>
        </w:tc>
        <w:tc>
          <w:tcPr>
            <w:tcW w:w="122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1FF7FD8">
            <w:pPr>
              <w:jc w:val="center"/>
              <w:rPr>
                <w:rFonts w:hint="eastAsia" w:ascii="仿宋_GB2312" w:hAnsi="仿宋_GB2312" w:eastAsia="仿宋_GB2312" w:cs="仿宋_GB2312"/>
                <w:sz w:val="28"/>
                <w:szCs w:val="28"/>
                <w:lang w:val="zh-CN" w:eastAsia="zh-CN"/>
              </w:rPr>
            </w:pPr>
          </w:p>
        </w:tc>
        <w:tc>
          <w:tcPr>
            <w:tcW w:w="1100" w:type="pct"/>
            <w:tcBorders>
              <w:top w:val="nil"/>
              <w:left w:val="single" w:color="auto" w:sz="4" w:space="0"/>
              <w:bottom w:val="single" w:color="000000" w:sz="8" w:space="0"/>
              <w:right w:val="single" w:color="000000" w:sz="8" w:space="0"/>
            </w:tcBorders>
            <w:noWrap w:val="0"/>
            <w:tcMar>
              <w:top w:w="15" w:type="dxa"/>
              <w:left w:w="15" w:type="dxa"/>
              <w:right w:w="15" w:type="dxa"/>
            </w:tcMar>
            <w:vAlign w:val="center"/>
          </w:tcPr>
          <w:p w14:paraId="69AA9535">
            <w:pPr>
              <w:jc w:val="center"/>
              <w:rPr>
                <w:rFonts w:hint="eastAsia" w:ascii="仿宋_GB2312" w:hAnsi="仿宋_GB2312" w:eastAsia="仿宋_GB2312" w:cs="仿宋_GB2312"/>
                <w:sz w:val="28"/>
                <w:szCs w:val="28"/>
                <w:lang w:val="zh-CN" w:eastAsia="zh-CN"/>
              </w:rPr>
            </w:pPr>
          </w:p>
        </w:tc>
        <w:tc>
          <w:tcPr>
            <w:tcW w:w="1100" w:type="pct"/>
            <w:tcBorders>
              <w:top w:val="nil"/>
              <w:left w:val="nil"/>
              <w:bottom w:val="single" w:color="000000" w:sz="8" w:space="0"/>
              <w:right w:val="single" w:color="000000" w:sz="8" w:space="0"/>
            </w:tcBorders>
            <w:noWrap w:val="0"/>
            <w:tcMar>
              <w:top w:w="15" w:type="dxa"/>
              <w:left w:w="15" w:type="dxa"/>
              <w:right w:w="15" w:type="dxa"/>
            </w:tcMar>
            <w:vAlign w:val="center"/>
          </w:tcPr>
          <w:p w14:paraId="4FA1BD3E">
            <w:pPr>
              <w:jc w:val="center"/>
              <w:rPr>
                <w:rFonts w:hint="eastAsia" w:ascii="仿宋_GB2312" w:hAnsi="仿宋_GB2312" w:eastAsia="仿宋_GB2312" w:cs="仿宋_GB2312"/>
                <w:sz w:val="28"/>
                <w:szCs w:val="28"/>
                <w:lang w:val="zh-CN" w:eastAsia="zh-CN"/>
              </w:rPr>
            </w:pPr>
          </w:p>
        </w:tc>
      </w:tr>
      <w:tr w14:paraId="40511388">
        <w:tblPrEx>
          <w:tblCellMar>
            <w:top w:w="0" w:type="dxa"/>
            <w:left w:w="0" w:type="dxa"/>
            <w:bottom w:w="0" w:type="dxa"/>
            <w:right w:w="0" w:type="dxa"/>
          </w:tblCellMar>
        </w:tblPrEx>
        <w:trPr>
          <w:trHeight w:val="720" w:hRule="atLeast"/>
        </w:trPr>
        <w:tc>
          <w:tcPr>
            <w:tcW w:w="1578" w:type="pct"/>
            <w:tcBorders>
              <w:top w:val="single" w:color="auto" w:sz="4" w:space="0"/>
              <w:left w:val="single" w:color="000000" w:sz="8" w:space="0"/>
              <w:bottom w:val="single" w:color="000000" w:sz="8" w:space="0"/>
              <w:right w:val="single" w:color="000000" w:sz="8" w:space="0"/>
            </w:tcBorders>
            <w:noWrap w:val="0"/>
            <w:tcMar>
              <w:top w:w="15" w:type="dxa"/>
              <w:left w:w="15" w:type="dxa"/>
              <w:right w:w="15" w:type="dxa"/>
            </w:tcMar>
            <w:vAlign w:val="center"/>
          </w:tcPr>
          <w:p w14:paraId="0EA377A7">
            <w:pPr>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合计</w:t>
            </w:r>
          </w:p>
        </w:tc>
        <w:tc>
          <w:tcPr>
            <w:tcW w:w="1220" w:type="pct"/>
            <w:tcBorders>
              <w:top w:val="single" w:color="auto" w:sz="4" w:space="0"/>
              <w:left w:val="nil"/>
              <w:bottom w:val="single" w:color="000000" w:sz="8" w:space="0"/>
              <w:right w:val="single" w:color="000000" w:sz="8" w:space="0"/>
            </w:tcBorders>
            <w:noWrap w:val="0"/>
            <w:tcMar>
              <w:top w:w="15" w:type="dxa"/>
              <w:left w:w="15" w:type="dxa"/>
              <w:right w:w="15" w:type="dxa"/>
            </w:tcMar>
            <w:vAlign w:val="center"/>
          </w:tcPr>
          <w:p w14:paraId="51328E3A">
            <w:pPr>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val="zh-CN" w:eastAsia="zh-CN"/>
              </w:rPr>
              <w:t>（元/年）</w:t>
            </w:r>
            <w:r>
              <w:rPr>
                <w:rFonts w:hint="eastAsia" w:ascii="仿宋_GB2312" w:hAnsi="仿宋_GB2312" w:eastAsia="仿宋_GB2312" w:cs="仿宋_GB2312"/>
                <w:sz w:val="28"/>
                <w:szCs w:val="28"/>
                <w:lang w:val="en-US" w:eastAsia="zh-CN"/>
              </w:rPr>
              <w:t xml:space="preserve">  </w:t>
            </w:r>
          </w:p>
        </w:tc>
        <w:tc>
          <w:tcPr>
            <w:tcW w:w="2201" w:type="pct"/>
            <w:gridSpan w:val="2"/>
            <w:tcBorders>
              <w:top w:val="nil"/>
              <w:left w:val="nil"/>
              <w:bottom w:val="single" w:color="000000" w:sz="8" w:space="0"/>
              <w:right w:val="single" w:color="000000" w:sz="8" w:space="0"/>
            </w:tcBorders>
            <w:noWrap w:val="0"/>
            <w:tcMar>
              <w:top w:w="15" w:type="dxa"/>
              <w:left w:w="15" w:type="dxa"/>
              <w:right w:w="15" w:type="dxa"/>
            </w:tcMar>
            <w:vAlign w:val="center"/>
          </w:tcPr>
          <w:p w14:paraId="44414D2F">
            <w:pPr>
              <w:jc w:val="center"/>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val="zh-CN" w:eastAsia="zh-CN"/>
              </w:rPr>
              <w:t>（元/年）</w:t>
            </w:r>
            <w:r>
              <w:rPr>
                <w:rFonts w:hint="eastAsia" w:ascii="仿宋_GB2312" w:hAnsi="仿宋_GB2312" w:eastAsia="仿宋_GB2312" w:cs="仿宋_GB2312"/>
                <w:sz w:val="28"/>
                <w:szCs w:val="28"/>
                <w:lang w:val="en-US" w:eastAsia="zh-CN"/>
              </w:rPr>
              <w:t xml:space="preserve"> </w:t>
            </w:r>
          </w:p>
        </w:tc>
      </w:tr>
      <w:tr w14:paraId="583FB242">
        <w:tblPrEx>
          <w:tblCellMar>
            <w:top w:w="0" w:type="dxa"/>
            <w:left w:w="0" w:type="dxa"/>
            <w:bottom w:w="0" w:type="dxa"/>
            <w:right w:w="0" w:type="dxa"/>
          </w:tblCellMar>
        </w:tblPrEx>
        <w:trPr>
          <w:trHeight w:val="720" w:hRule="atLeast"/>
        </w:trPr>
        <w:tc>
          <w:tcPr>
            <w:tcW w:w="1578" w:type="pct"/>
            <w:tcBorders>
              <w:left w:val="single" w:color="000000" w:sz="8" w:space="0"/>
              <w:bottom w:val="single" w:color="000000" w:sz="8" w:space="0"/>
              <w:right w:val="single" w:color="000000" w:sz="8" w:space="0"/>
            </w:tcBorders>
            <w:noWrap w:val="0"/>
            <w:tcMar>
              <w:top w:w="15" w:type="dxa"/>
              <w:left w:w="15" w:type="dxa"/>
              <w:right w:w="15" w:type="dxa"/>
            </w:tcMar>
            <w:vAlign w:val="center"/>
          </w:tcPr>
          <w:p w14:paraId="617D818D">
            <w:pPr>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总计</w:t>
            </w:r>
          </w:p>
        </w:tc>
        <w:tc>
          <w:tcPr>
            <w:tcW w:w="3421" w:type="pct"/>
            <w:gridSpan w:val="3"/>
            <w:tcBorders>
              <w:top w:val="nil"/>
              <w:left w:val="nil"/>
              <w:bottom w:val="single" w:color="000000" w:sz="8" w:space="0"/>
              <w:right w:val="single" w:color="000000" w:sz="8" w:space="0"/>
            </w:tcBorders>
            <w:noWrap w:val="0"/>
            <w:tcMar>
              <w:top w:w="15" w:type="dxa"/>
              <w:left w:w="15" w:type="dxa"/>
              <w:right w:w="15" w:type="dxa"/>
            </w:tcMar>
            <w:vAlign w:val="center"/>
          </w:tcPr>
          <w:p w14:paraId="266871B7">
            <w:pPr>
              <w:jc w:val="center"/>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zh-CN" w:eastAsia="zh-CN"/>
              </w:rPr>
              <w:t>1</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val="zh-CN" w:eastAsia="zh-CN"/>
              </w:rPr>
              <w:t>00000</w:t>
            </w:r>
            <w:r>
              <w:rPr>
                <w:rFonts w:hint="eastAsia" w:ascii="仿宋_GB2312" w:hAnsi="仿宋_GB2312" w:eastAsia="仿宋_GB2312" w:cs="仿宋_GB2312"/>
                <w:sz w:val="28"/>
                <w:szCs w:val="28"/>
                <w:lang w:val="en-US" w:eastAsia="zh-CN"/>
              </w:rPr>
              <w:t>.00元</w:t>
            </w:r>
          </w:p>
        </w:tc>
      </w:tr>
    </w:tbl>
    <w:p w14:paraId="3B118807">
      <w:pPr>
        <w:rPr>
          <w:rFonts w:hint="eastAsia" w:ascii="宋体" w:hAnsi="宋体" w:eastAsia="宋体" w:cs="宋体"/>
          <w:color w:val="FF0000"/>
          <w:sz w:val="24"/>
          <w:szCs w:val="24"/>
        </w:rPr>
      </w:pPr>
      <w:r>
        <w:rPr>
          <w:rFonts w:ascii="宋体" w:hAnsi="宋体" w:eastAsia="宋体" w:cs="宋体"/>
          <w:sz w:val="24"/>
          <w:szCs w:val="24"/>
        </w:rPr>
        <w:t>说明：1.员工费用包含员工工资、五险一金、餐补、采暖降温、工会会费、残障金、备用金及其他福利津贴。</w:t>
      </w:r>
      <w:r>
        <w:rPr>
          <w:rFonts w:hint="eastAsia" w:ascii="宋体" w:hAnsi="宋体" w:eastAsia="宋体" w:cs="宋体"/>
          <w:color w:val="FF0000"/>
          <w:sz w:val="24"/>
          <w:szCs w:val="24"/>
        </w:rPr>
        <w:t>其中，备用金用于不可预见的人员类开支，未发生则专项留存、不得擅自发放；本项费用中标单位不得挪作他用。</w:t>
      </w:r>
    </w:p>
    <w:p w14:paraId="78184650">
      <w:pPr>
        <w:ind w:firstLine="720" w:firstLineChars="300"/>
        <w:rPr>
          <w:rFonts w:hint="eastAsia" w:ascii="宋体" w:hAnsi="宋体" w:eastAsia="宋体" w:cs="宋体"/>
          <w:color w:val="FF0000"/>
          <w:sz w:val="24"/>
          <w:szCs w:val="24"/>
        </w:rPr>
      </w:pPr>
      <w:r>
        <w:rPr>
          <w:rFonts w:hint="eastAsia" w:ascii="宋体" w:hAnsi="宋体" w:cs="宋体"/>
          <w:color w:val="FF0000"/>
          <w:sz w:val="24"/>
          <w:szCs w:val="24"/>
          <w:lang w:val="en-US" w:eastAsia="zh-CN"/>
        </w:rPr>
        <w:t>2.</w:t>
      </w:r>
      <w:r>
        <w:rPr>
          <w:rFonts w:hint="eastAsia" w:ascii="宋体" w:hAnsi="宋体" w:eastAsia="宋体" w:cs="宋体"/>
          <w:color w:val="FF0000"/>
          <w:sz w:val="24"/>
          <w:szCs w:val="24"/>
        </w:rPr>
        <w:t>管理费：指中标单位开展本项目服务期间，产生的自身运营成本、合理经营利润及投标相关费用等，由中标单位自主统筹支配。</w:t>
      </w:r>
    </w:p>
    <w:p w14:paraId="1F306FE7">
      <w:pPr>
        <w:ind w:firstLine="720" w:firstLineChars="300"/>
        <w:rPr>
          <w:rFonts w:ascii="宋体" w:hAnsi="宋体" w:eastAsia="宋体" w:cs="宋体"/>
          <w:sz w:val="24"/>
          <w:szCs w:val="24"/>
        </w:rPr>
      </w:pPr>
      <w:r>
        <w:rPr>
          <w:rFonts w:hint="eastAsia" w:ascii="宋体" w:hAnsi="宋体" w:cs="宋体"/>
          <w:color w:val="FF0000"/>
          <w:sz w:val="24"/>
          <w:szCs w:val="24"/>
          <w:lang w:val="en-US" w:eastAsia="zh-CN"/>
        </w:rPr>
        <w:t>3.</w:t>
      </w:r>
      <w:r>
        <w:rPr>
          <w:rFonts w:hint="eastAsia" w:ascii="宋体" w:hAnsi="宋体" w:eastAsia="宋体" w:cs="宋体"/>
          <w:color w:val="FF0000"/>
          <w:sz w:val="24"/>
          <w:szCs w:val="24"/>
        </w:rPr>
        <w:t>税金：指依照国家法律法规及税收政策，以本项目为计税标的，应向国家缴纳的各类税费。</w:t>
      </w:r>
      <w:r>
        <w:rPr>
          <w:rFonts w:ascii="宋体" w:hAnsi="宋体" w:eastAsia="宋体" w:cs="宋体"/>
          <w:color w:val="FF0000"/>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4</w:t>
      </w:r>
      <w:r>
        <w:rPr>
          <w:rFonts w:ascii="宋体" w:hAnsi="宋体" w:eastAsia="宋体" w:cs="宋体"/>
          <w:sz w:val="24"/>
          <w:szCs w:val="24"/>
        </w:rPr>
        <w:t>.本项目报价为固定人均包干价，人均包干价为10万元/年，项目总费用120万元/年。</w:t>
      </w:r>
      <w:r>
        <w:rPr>
          <w:rFonts w:ascii="宋体" w:hAnsi="宋体" w:eastAsia="宋体" w:cs="宋体"/>
          <w:b/>
          <w:bCs/>
          <w:sz w:val="24"/>
          <w:szCs w:val="24"/>
        </w:rPr>
        <w:t>（此费用不得调整）</w:t>
      </w:r>
      <w:r>
        <w:rPr>
          <w:rFonts w:ascii="宋体" w:hAnsi="宋体" w:eastAsia="宋体" w:cs="宋体"/>
          <w:sz w:val="24"/>
          <w:szCs w:val="24"/>
        </w:rPr>
        <w:t>.</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5</w:t>
      </w:r>
      <w:r>
        <w:rPr>
          <w:rFonts w:ascii="宋体" w:hAnsi="宋体" w:eastAsia="宋体" w:cs="宋体"/>
          <w:sz w:val="24"/>
          <w:szCs w:val="24"/>
        </w:rPr>
        <w:t>.本项目自主报价项为员工费用、管理</w:t>
      </w:r>
      <w:bookmarkStart w:id="0" w:name="_GoBack"/>
      <w:bookmarkEnd w:id="0"/>
      <w:r>
        <w:rPr>
          <w:rFonts w:ascii="宋体" w:hAnsi="宋体" w:eastAsia="宋体" w:cs="宋体"/>
          <w:sz w:val="24"/>
          <w:szCs w:val="24"/>
        </w:rPr>
        <w:t>费、税金，税金按照国家规定计取，如：员工费用=1200000元/年-管理费-税金。</w:t>
      </w:r>
    </w:p>
    <w:p w14:paraId="4EDECBFC">
      <w:pPr>
        <w:pStyle w:val="2"/>
        <w:ind w:firstLine="600"/>
        <w:rPr>
          <w:rFonts w:ascii="宋体" w:hAnsi="宋体" w:eastAsia="宋体" w:cs="宋体"/>
          <w:color w:val="FF0000"/>
          <w:sz w:val="24"/>
          <w:szCs w:val="24"/>
        </w:rPr>
      </w:pPr>
      <w:r>
        <w:rPr>
          <w:rFonts w:hint="eastAsia" w:ascii="宋体" w:hAnsi="宋体" w:cs="宋体"/>
          <w:color w:val="FF0000"/>
          <w:sz w:val="24"/>
          <w:szCs w:val="24"/>
          <w:lang w:val="en-US" w:eastAsia="zh-CN"/>
        </w:rPr>
        <w:t>6.</w:t>
      </w:r>
      <w:r>
        <w:rPr>
          <w:rFonts w:hint="eastAsia" w:ascii="宋体" w:hAnsi="宋体" w:eastAsia="宋体" w:cs="宋体"/>
          <w:color w:val="FF0000"/>
          <w:sz w:val="24"/>
          <w:szCs w:val="24"/>
        </w:rPr>
        <w:t>本项目磋商报价总价为12个人全年的管理费与税金的合计额</w:t>
      </w:r>
      <w:r>
        <w:rPr>
          <w:rFonts w:ascii="宋体" w:hAnsi="宋体" w:eastAsia="宋体" w:cs="宋体"/>
          <w:color w:val="FF0000"/>
          <w:sz w:val="24"/>
          <w:szCs w:val="24"/>
        </w:rPr>
        <w:t>。</w:t>
      </w:r>
    </w:p>
    <w:p w14:paraId="295AA11E">
      <w:pPr>
        <w:pStyle w:val="2"/>
        <w:ind w:firstLine="600"/>
        <w:rPr>
          <w:rFonts w:ascii="宋体" w:hAnsi="宋体" w:eastAsia="宋体" w:cs="宋体"/>
          <w:color w:val="FF0000"/>
          <w:sz w:val="24"/>
          <w:szCs w:val="24"/>
        </w:rPr>
      </w:pPr>
      <w:r>
        <w:rPr>
          <w:rFonts w:ascii="宋体" w:hAnsi="宋体" w:eastAsia="宋体" w:cs="宋体"/>
          <w:sz w:val="24"/>
          <w:szCs w:val="24"/>
        </w:rPr>
        <w:t>7.由于中标单位对国家政策理解不充分导致税金部分列支少于实际缴纳金额的，由中标单位自行承担，中标后管理费和税金的总额不再调整。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46AD2"/>
    <w:rsid w:val="04BC223F"/>
    <w:rsid w:val="09FC6C3A"/>
    <w:rsid w:val="0D7A2C98"/>
    <w:rsid w:val="0DB00467"/>
    <w:rsid w:val="0E8D69FB"/>
    <w:rsid w:val="0F6C03BE"/>
    <w:rsid w:val="110C1555"/>
    <w:rsid w:val="120314AE"/>
    <w:rsid w:val="13386F35"/>
    <w:rsid w:val="14B450AE"/>
    <w:rsid w:val="14BA1BCC"/>
    <w:rsid w:val="1FC97167"/>
    <w:rsid w:val="21333432"/>
    <w:rsid w:val="2AB033FD"/>
    <w:rsid w:val="2F827A5E"/>
    <w:rsid w:val="302A03F9"/>
    <w:rsid w:val="325356E2"/>
    <w:rsid w:val="337B40DA"/>
    <w:rsid w:val="363C1B44"/>
    <w:rsid w:val="366D4898"/>
    <w:rsid w:val="367E0853"/>
    <w:rsid w:val="36DA0180"/>
    <w:rsid w:val="370F76FD"/>
    <w:rsid w:val="37BF2ED1"/>
    <w:rsid w:val="37D56B99"/>
    <w:rsid w:val="3B11613A"/>
    <w:rsid w:val="3B934DA1"/>
    <w:rsid w:val="3D6B79B1"/>
    <w:rsid w:val="3F03223E"/>
    <w:rsid w:val="41601281"/>
    <w:rsid w:val="48B9450D"/>
    <w:rsid w:val="4B0230A8"/>
    <w:rsid w:val="4D9A73E9"/>
    <w:rsid w:val="582726A1"/>
    <w:rsid w:val="5FEA0B84"/>
    <w:rsid w:val="67C026FB"/>
    <w:rsid w:val="7516167C"/>
    <w:rsid w:val="760065B4"/>
    <w:rsid w:val="7C154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364</Words>
  <Characters>390</Characters>
  <Lines>0</Lines>
  <Paragraphs>0</Paragraphs>
  <TotalTime>8</TotalTime>
  <ScaleCrop>false</ScaleCrop>
  <LinksUpToDate>false</LinksUpToDate>
  <CharactersWithSpaces>429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2026-04-20T08:05:00Z</dcterms:created>
  <dc:creator>Administrator</dc:creator>
  <cp:lastModifiedBy>肖先生</cp:lastModifiedBy>
  <dcterms:modified xsi:type="dcterms:W3CDTF">2026-05-06T09:11:06Z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eyJoZGlkIjoiZjE0ZTQxYjRjODcxMWRiOGM3MjM1YjAwNGQwNDRiNGEiLCJ1c2VySWQiOiIzNTUwNDA0OTMifQ==</vt:lpwstr>
  </property>
  <property fmtid="{D5CDD505-2E9C-101B-9397-08002B2CF9AE}" pid="4" name="ICV">
    <vt:lpwstr>EF5055A62B274BD0A11F5C431B0C9AEB_13</vt:lpwstr>
  </property>
</Properties>
</file>