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版本号：【KRDL】K5-2605061.1B120260820001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医院抖音官方账号运维及医生个人IP打造(二次)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【KRDL】K5-2605061.1B1</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医院抖音官方账号运维及医生个人IP打造(二次)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【KRDL】K5-2605061.1B1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医院抖音官方账号运维及医生个人IP打造(二次)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市第五医院医院抖音官方账号运维及医生个人IP打造，通过医院抖音官方账号运维、短视频制作、医生个人IP打造，提升医院品牌影响力、凸显优势学科与诊疗特色，扩大公众认知度，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采购包1（医院抖音官方账号运维及医生个人IP打造）：属于专门面向小微企业采购。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2025年6月1日以来任意3个月的社保缴纳证明，其他组织形式供应商(如个体工商户、合作社、自然人等)可提供法人或负责人个人2025年6月1日以来任意3个月的社保资金缴纳证明材料)</w:t>
      </w:r>
    </w:p>
    <w:p>
      <w:pPr>
        <w:pStyle w:val="null3"/>
      </w:pPr>
      <w:r>
        <w:rPr>
          <w:rFonts w:ascii="仿宋_GB2312" w:hAnsi="仿宋_GB2312" w:cs="仿宋_GB2312" w:eastAsia="仿宋_GB2312"/>
        </w:rPr>
        <w:t>4、纳税要求：纳税的缴费证明材料(供应商提供2025年6月1日以来任意3个月的纳税缴纳证明，免税企业提供税务机关出具相关的有效证明材料)</w:t>
      </w:r>
    </w:p>
    <w:p>
      <w:pPr>
        <w:pStyle w:val="null3"/>
      </w:pPr>
      <w:r>
        <w:rPr>
          <w:rFonts w:ascii="仿宋_GB2312" w:hAnsi="仿宋_GB2312" w:cs="仿宋_GB2312" w:eastAsia="仿宋_GB2312"/>
        </w:rPr>
        <w:t>5、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8、法定代表人或合法授权代表证明：法定代表人参加开标会议的，应出具法定代表人证明书； 法定代表人授权合法授权代表参加磋商会议的，应出具法定代表人证明书、法定代表人授权书,同时提供授权代表在响应文件递交截止时间前近6个月内任意1个月的在投标单位缴纳的社保证明材料；</w:t>
      </w:r>
    </w:p>
    <w:p>
      <w:pPr>
        <w:pStyle w:val="null3"/>
      </w:pPr>
      <w:r>
        <w:rPr>
          <w:rFonts w:ascii="仿宋_GB2312" w:hAnsi="仿宋_GB2312" w:cs="仿宋_GB2312" w:eastAsia="仿宋_GB2312"/>
        </w:rPr>
        <w:t>9、本项目不接受由西安市第五医院医院职工及其亲属投资举办的企业参加投：本项目不接受由西安市第五医院医院职工及其亲属投资举办的企业参加投标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029-84696321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857号）有关规定的基础上下浮20%向采购代理机构一次付清代理服务费（成交金额50万（不含）以下的项目不下浮）</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第五医院医院抖音官方账号运维及医生个人IP打造，通过医院抖音官方账号运维、短视频制作、医生个人IP打造，提升医院品牌影响力、凸显优势学科与诊疗特色，扩大公众认知度，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医院抖音官方账号运维及医生个人IP打造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标的名称：医院抖音官方账号运维及医生个人IP打造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color w:val="00B0F0"/>
              </w:rPr>
              <w:t>一、服务内容</w:t>
            </w:r>
          </w:p>
          <w:p>
            <w:pPr>
              <w:pStyle w:val="null3"/>
              <w:ind w:firstLine="400"/>
              <w:jc w:val="left"/>
            </w:pPr>
            <w:r>
              <w:rPr>
                <w:rFonts w:ascii="仿宋_GB2312" w:hAnsi="仿宋_GB2312" w:cs="仿宋_GB2312" w:eastAsia="仿宋_GB2312"/>
                <w:sz w:val="20"/>
                <w:color w:val="00B0F0"/>
              </w:rPr>
              <w:t>1.</w:t>
            </w:r>
            <w:r>
              <w:rPr>
                <w:rFonts w:ascii="仿宋_GB2312" w:hAnsi="仿宋_GB2312" w:cs="仿宋_GB2312" w:eastAsia="仿宋_GB2312"/>
                <w:sz w:val="20"/>
                <w:color w:val="00B0F0"/>
              </w:rPr>
              <w:t>短视频制作</w:t>
            </w:r>
          </w:p>
          <w:p>
            <w:pPr>
              <w:pStyle w:val="null3"/>
              <w:ind w:firstLine="400"/>
              <w:jc w:val="left"/>
            </w:pPr>
            <w:r>
              <w:rPr>
                <w:rFonts w:ascii="仿宋_GB2312" w:hAnsi="仿宋_GB2312" w:cs="仿宋_GB2312" w:eastAsia="仿宋_GB2312"/>
                <w:sz w:val="20"/>
                <w:color w:val="00B0F0"/>
              </w:rPr>
              <w:t>年度制作并交付短视频</w:t>
            </w:r>
            <w:r>
              <w:rPr>
                <w:rFonts w:ascii="仿宋_GB2312" w:hAnsi="仿宋_GB2312" w:cs="仿宋_GB2312" w:eastAsia="仿宋_GB2312"/>
                <w:sz w:val="20"/>
                <w:color w:val="00B0F0"/>
              </w:rPr>
              <w:t>≥</w:t>
            </w:r>
            <w:r>
              <w:rPr>
                <w:rFonts w:ascii="仿宋_GB2312" w:hAnsi="仿宋_GB2312" w:cs="仿宋_GB2312" w:eastAsia="仿宋_GB2312"/>
                <w:sz w:val="20"/>
                <w:color w:val="00B0F0"/>
              </w:rPr>
              <w:t>400条，形式含实景拍摄、情景剧、MG 动画、布景采访、二 / 三维动画等，成片满足</w:t>
            </w:r>
            <w:r>
              <w:rPr>
                <w:rFonts w:ascii="仿宋_GB2312" w:hAnsi="仿宋_GB2312" w:cs="仿宋_GB2312" w:eastAsia="仿宋_GB2312"/>
                <w:sz w:val="20"/>
                <w:color w:val="00B0F0"/>
              </w:rPr>
              <w:t>抖音、视频号、公众号等多平台分发标准要求</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2.</w:t>
            </w:r>
            <w:r>
              <w:rPr>
                <w:rFonts w:ascii="仿宋_GB2312" w:hAnsi="仿宋_GB2312" w:cs="仿宋_GB2312" w:eastAsia="仿宋_GB2312"/>
                <w:sz w:val="20"/>
                <w:color w:val="00B0F0"/>
              </w:rPr>
              <w:t>抖音官方账号运维</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w:t>
            </w:r>
            <w:r>
              <w:rPr>
                <w:rFonts w:ascii="仿宋_GB2312" w:hAnsi="仿宋_GB2312" w:cs="仿宋_GB2312" w:eastAsia="仿宋_GB2312"/>
                <w:sz w:val="20"/>
                <w:color w:val="00B0F0"/>
              </w:rPr>
              <w:t>）</w:t>
            </w:r>
            <w:r>
              <w:rPr>
                <w:rFonts w:ascii="仿宋_GB2312" w:hAnsi="仿宋_GB2312" w:cs="仿宋_GB2312" w:eastAsia="仿宋_GB2312"/>
                <w:sz w:val="20"/>
                <w:color w:val="00B0F0"/>
              </w:rPr>
              <w:t>年度发布非纯科普类原创作品</w:t>
            </w:r>
            <w:r>
              <w:rPr>
                <w:rFonts w:ascii="仿宋_GB2312" w:hAnsi="仿宋_GB2312" w:cs="仿宋_GB2312" w:eastAsia="仿宋_GB2312"/>
                <w:sz w:val="20"/>
                <w:color w:val="00B0F0"/>
              </w:rPr>
              <w:t>≥</w:t>
            </w:r>
            <w:r>
              <w:rPr>
                <w:rFonts w:ascii="仿宋_GB2312" w:hAnsi="仿宋_GB2312" w:cs="仿宋_GB2312" w:eastAsia="仿宋_GB2312"/>
                <w:sz w:val="20"/>
                <w:color w:val="00B0F0"/>
              </w:rPr>
              <w:t xml:space="preserve"> </w:t>
            </w:r>
            <w:r>
              <w:rPr>
                <w:rFonts w:ascii="仿宋_GB2312" w:hAnsi="仿宋_GB2312" w:cs="仿宋_GB2312" w:eastAsia="仿宋_GB2312"/>
                <w:sz w:val="20"/>
                <w:color w:val="00B0F0"/>
              </w:rPr>
              <w:t>100 条，贴合平台算法与推广机制；</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2</w:t>
            </w:r>
            <w:r>
              <w:rPr>
                <w:rFonts w:ascii="仿宋_GB2312" w:hAnsi="仿宋_GB2312" w:cs="仿宋_GB2312" w:eastAsia="仿宋_GB2312"/>
                <w:sz w:val="20"/>
                <w:color w:val="00B0F0"/>
              </w:rPr>
              <w:t>）</w:t>
            </w:r>
            <w:r>
              <w:rPr>
                <w:rFonts w:ascii="仿宋_GB2312" w:hAnsi="仿宋_GB2312" w:cs="仿宋_GB2312" w:eastAsia="仿宋_GB2312"/>
                <w:sz w:val="20"/>
                <w:color w:val="00B0F0"/>
              </w:rPr>
              <w:t>策划并落地</w:t>
            </w:r>
            <w:r>
              <w:rPr>
                <w:rFonts w:ascii="仿宋_GB2312" w:hAnsi="仿宋_GB2312" w:cs="仿宋_GB2312" w:eastAsia="仿宋_GB2312"/>
                <w:sz w:val="20"/>
                <w:color w:val="00B0F0"/>
              </w:rPr>
              <w:t>≥</w:t>
            </w:r>
            <w:r>
              <w:rPr>
                <w:rFonts w:ascii="仿宋_GB2312" w:hAnsi="仿宋_GB2312" w:cs="仿宋_GB2312" w:eastAsia="仿宋_GB2312"/>
                <w:sz w:val="20"/>
                <w:color w:val="00B0F0"/>
              </w:rPr>
              <w:t xml:space="preserve"> </w:t>
            </w:r>
            <w:r>
              <w:rPr>
                <w:rFonts w:ascii="仿宋_GB2312" w:hAnsi="仿宋_GB2312" w:cs="仿宋_GB2312" w:eastAsia="仿宋_GB2312"/>
                <w:sz w:val="20"/>
                <w:color w:val="00B0F0"/>
              </w:rPr>
              <w:t>3 个优质系列化内容专题，形成账号辨识度与传播矩阵；</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3）</w:t>
            </w:r>
            <w:r>
              <w:rPr>
                <w:rFonts w:ascii="仿宋_GB2312" w:hAnsi="仿宋_GB2312" w:cs="仿宋_GB2312" w:eastAsia="仿宋_GB2312"/>
                <w:sz w:val="20"/>
                <w:color w:val="00B0F0"/>
              </w:rPr>
              <w:t>对发布作品执行投流推广</w:t>
            </w:r>
            <w:r>
              <w:rPr>
                <w:rFonts w:ascii="仿宋_GB2312" w:hAnsi="仿宋_GB2312" w:cs="仿宋_GB2312" w:eastAsia="仿宋_GB2312"/>
                <w:sz w:val="20"/>
                <w:color w:val="00B0F0"/>
              </w:rPr>
              <w:t>≥</w:t>
            </w:r>
            <w:r>
              <w:rPr>
                <w:rFonts w:ascii="仿宋_GB2312" w:hAnsi="仿宋_GB2312" w:cs="仿宋_GB2312" w:eastAsia="仿宋_GB2312"/>
                <w:sz w:val="20"/>
                <w:color w:val="00B0F0"/>
              </w:rPr>
              <w:t xml:space="preserve"> </w:t>
            </w:r>
            <w:r>
              <w:rPr>
                <w:rFonts w:ascii="仿宋_GB2312" w:hAnsi="仿宋_GB2312" w:cs="仿宋_GB2312" w:eastAsia="仿宋_GB2312"/>
                <w:sz w:val="20"/>
                <w:color w:val="00B0F0"/>
              </w:rPr>
              <w:t>100 次，其中按效果投流</w:t>
            </w:r>
            <w:r>
              <w:rPr>
                <w:rFonts w:ascii="仿宋_GB2312" w:hAnsi="仿宋_GB2312" w:cs="仿宋_GB2312" w:eastAsia="仿宋_GB2312"/>
                <w:sz w:val="20"/>
                <w:color w:val="00B0F0"/>
              </w:rPr>
              <w:t>≥</w:t>
            </w:r>
            <w:r>
              <w:rPr>
                <w:rFonts w:ascii="仿宋_GB2312" w:hAnsi="仿宋_GB2312" w:cs="仿宋_GB2312" w:eastAsia="仿宋_GB2312"/>
                <w:sz w:val="20"/>
                <w:color w:val="00B0F0"/>
              </w:rPr>
              <w:t xml:space="preserve"> </w:t>
            </w:r>
            <w:r>
              <w:rPr>
                <w:rFonts w:ascii="仿宋_GB2312" w:hAnsi="仿宋_GB2312" w:cs="仿宋_GB2312" w:eastAsia="仿宋_GB2312"/>
                <w:sz w:val="20"/>
                <w:color w:val="00B0F0"/>
              </w:rPr>
              <w:t>20 次，投流策略、数据复盘需经</w:t>
            </w:r>
            <w:r>
              <w:rPr>
                <w:rFonts w:ascii="仿宋_GB2312" w:hAnsi="仿宋_GB2312" w:cs="仿宋_GB2312" w:eastAsia="仿宋_GB2312"/>
                <w:sz w:val="20"/>
                <w:color w:val="00B0F0"/>
              </w:rPr>
              <w:t>采购人</w:t>
            </w:r>
            <w:r>
              <w:rPr>
                <w:rFonts w:ascii="仿宋_GB2312" w:hAnsi="仿宋_GB2312" w:cs="仿宋_GB2312" w:eastAsia="仿宋_GB2312"/>
                <w:sz w:val="20"/>
                <w:color w:val="00B0F0"/>
              </w:rPr>
              <w:t>确认</w:t>
            </w:r>
            <w:r>
              <w:rPr>
                <w:rFonts w:ascii="仿宋_GB2312" w:hAnsi="仿宋_GB2312" w:cs="仿宋_GB2312" w:eastAsia="仿宋_GB2312"/>
                <w:sz w:val="20"/>
                <w:color w:val="00B0F0"/>
              </w:rPr>
              <w:t>方可执行，确保有据可依可控可查</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4）</w:t>
            </w:r>
            <w:r>
              <w:rPr>
                <w:rFonts w:ascii="仿宋_GB2312" w:hAnsi="仿宋_GB2312" w:cs="仿宋_GB2312" w:eastAsia="仿宋_GB2312"/>
                <w:sz w:val="20"/>
                <w:color w:val="00B0F0"/>
              </w:rPr>
              <w:t>服务期满确保：官方抖音账号粉丝量</w:t>
            </w:r>
            <w:r>
              <w:rPr>
                <w:rFonts w:ascii="仿宋_GB2312" w:hAnsi="仿宋_GB2312" w:cs="仿宋_GB2312" w:eastAsia="仿宋_GB2312"/>
                <w:sz w:val="20"/>
                <w:color w:val="00B0F0"/>
              </w:rPr>
              <w:t>净</w:t>
            </w:r>
            <w:r>
              <w:rPr>
                <w:rFonts w:ascii="仿宋_GB2312" w:hAnsi="仿宋_GB2312" w:cs="仿宋_GB2312" w:eastAsia="仿宋_GB2312"/>
                <w:sz w:val="20"/>
                <w:color w:val="00B0F0"/>
              </w:rPr>
              <w:t>增加</w:t>
            </w:r>
            <w:r>
              <w:rPr>
                <w:rFonts w:ascii="仿宋_GB2312" w:hAnsi="仿宋_GB2312" w:cs="仿宋_GB2312" w:eastAsia="仿宋_GB2312"/>
                <w:sz w:val="20"/>
                <w:color w:val="00B0F0"/>
              </w:rPr>
              <w:t>3</w:t>
            </w:r>
            <w:r>
              <w:rPr>
                <w:rFonts w:ascii="仿宋_GB2312" w:hAnsi="仿宋_GB2312" w:cs="仿宋_GB2312" w:eastAsia="仿宋_GB2312"/>
                <w:sz w:val="20"/>
                <w:color w:val="00B0F0"/>
              </w:rPr>
              <w:t>万、总点赞量</w:t>
            </w:r>
            <w:r>
              <w:rPr>
                <w:rFonts w:ascii="仿宋_GB2312" w:hAnsi="仿宋_GB2312" w:cs="仿宋_GB2312" w:eastAsia="仿宋_GB2312"/>
                <w:sz w:val="20"/>
                <w:color w:val="00B0F0"/>
              </w:rPr>
              <w:t>净</w:t>
            </w:r>
            <w:r>
              <w:rPr>
                <w:rFonts w:ascii="仿宋_GB2312" w:hAnsi="仿宋_GB2312" w:cs="仿宋_GB2312" w:eastAsia="仿宋_GB2312"/>
                <w:sz w:val="20"/>
                <w:color w:val="00B0F0"/>
              </w:rPr>
              <w:t>增加</w:t>
            </w:r>
            <w:r>
              <w:rPr>
                <w:rFonts w:ascii="仿宋_GB2312" w:hAnsi="仿宋_GB2312" w:cs="仿宋_GB2312" w:eastAsia="仿宋_GB2312"/>
                <w:sz w:val="20"/>
                <w:color w:val="00B0F0"/>
              </w:rPr>
              <w:t>3</w:t>
            </w:r>
            <w:r>
              <w:rPr>
                <w:rFonts w:ascii="仿宋_GB2312" w:hAnsi="仿宋_GB2312" w:cs="仿宋_GB2312" w:eastAsia="仿宋_GB2312"/>
                <w:sz w:val="20"/>
                <w:color w:val="00B0F0"/>
              </w:rPr>
              <w:t>万；按后台数据优化发布时段、互动策略，及时回复评论、引导舆</w:t>
            </w:r>
            <w:r>
              <w:rPr>
                <w:rFonts w:ascii="仿宋_GB2312" w:hAnsi="仿宋_GB2312" w:cs="仿宋_GB2312" w:eastAsia="仿宋_GB2312"/>
                <w:sz w:val="20"/>
                <w:color w:val="00B0F0"/>
              </w:rPr>
              <w:t>论</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3.</w:t>
            </w:r>
            <w:r>
              <w:rPr>
                <w:rFonts w:ascii="仿宋_GB2312" w:hAnsi="仿宋_GB2312" w:cs="仿宋_GB2312" w:eastAsia="仿宋_GB2312"/>
                <w:sz w:val="20"/>
                <w:color w:val="00B0F0"/>
              </w:rPr>
              <w:t>医生个人</w:t>
            </w:r>
            <w:r>
              <w:rPr>
                <w:rFonts w:ascii="仿宋_GB2312" w:hAnsi="仿宋_GB2312" w:cs="仿宋_GB2312" w:eastAsia="仿宋_GB2312"/>
                <w:sz w:val="20"/>
                <w:color w:val="00B0F0"/>
              </w:rPr>
              <w:t>IP打造</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w:t>
            </w:r>
            <w:r>
              <w:rPr>
                <w:rFonts w:ascii="仿宋_GB2312" w:hAnsi="仿宋_GB2312" w:cs="仿宋_GB2312" w:eastAsia="仿宋_GB2312"/>
                <w:sz w:val="20"/>
                <w:color w:val="00B0F0"/>
              </w:rPr>
              <w:t>）</w:t>
            </w:r>
            <w:r>
              <w:rPr>
                <w:rFonts w:ascii="仿宋_GB2312" w:hAnsi="仿宋_GB2312" w:cs="仿宋_GB2312" w:eastAsia="仿宋_GB2312"/>
                <w:sz w:val="20"/>
                <w:color w:val="00B0F0"/>
              </w:rPr>
              <w:t>医生个人</w:t>
            </w:r>
            <w:r>
              <w:rPr>
                <w:rFonts w:ascii="仿宋_GB2312" w:hAnsi="仿宋_GB2312" w:cs="仿宋_GB2312" w:eastAsia="仿宋_GB2312"/>
                <w:sz w:val="20"/>
                <w:color w:val="00B0F0"/>
              </w:rPr>
              <w:t>IP打造不限人数</w:t>
            </w:r>
            <w:r>
              <w:rPr>
                <w:rFonts w:ascii="仿宋_GB2312" w:hAnsi="仿宋_GB2312" w:cs="仿宋_GB2312" w:eastAsia="仿宋_GB2312"/>
                <w:sz w:val="20"/>
                <w:color w:val="00B0F0"/>
              </w:rPr>
              <w:t>，运维账号</w:t>
            </w:r>
            <w:r>
              <w:rPr>
                <w:rFonts w:ascii="仿宋_GB2312" w:hAnsi="仿宋_GB2312" w:cs="仿宋_GB2312" w:eastAsia="仿宋_GB2312"/>
                <w:sz w:val="20"/>
                <w:color w:val="00B0F0"/>
              </w:rPr>
              <w:t>≥</w:t>
            </w:r>
            <w:r>
              <w:rPr>
                <w:rFonts w:ascii="仿宋_GB2312" w:hAnsi="仿宋_GB2312" w:cs="仿宋_GB2312" w:eastAsia="仿宋_GB2312"/>
                <w:sz w:val="20"/>
                <w:color w:val="00B0F0"/>
              </w:rPr>
              <w:t>10</w:t>
            </w:r>
            <w:r>
              <w:rPr>
                <w:rFonts w:ascii="仿宋_GB2312" w:hAnsi="仿宋_GB2312" w:cs="仿宋_GB2312" w:eastAsia="仿宋_GB2312"/>
                <w:sz w:val="20"/>
                <w:color w:val="00B0F0"/>
              </w:rPr>
              <w:t>个</w:t>
            </w:r>
            <w:r>
              <w:rPr>
                <w:rFonts w:ascii="仿宋_GB2312" w:hAnsi="仿宋_GB2312" w:cs="仿宋_GB2312" w:eastAsia="仿宋_GB2312"/>
                <w:sz w:val="20"/>
                <w:color w:val="00B0F0"/>
              </w:rPr>
              <w:t>（</w:t>
            </w:r>
            <w:r>
              <w:rPr>
                <w:rFonts w:ascii="仿宋_GB2312" w:hAnsi="仿宋_GB2312" w:cs="仿宋_GB2312" w:eastAsia="仿宋_GB2312"/>
                <w:sz w:val="20"/>
                <w:color w:val="00B0F0"/>
              </w:rPr>
              <w:t>不限于抖音</w:t>
            </w:r>
            <w:r>
              <w:rPr>
                <w:rFonts w:ascii="仿宋_GB2312" w:hAnsi="仿宋_GB2312" w:cs="仿宋_GB2312" w:eastAsia="仿宋_GB2312"/>
                <w:sz w:val="20"/>
                <w:color w:val="00B0F0"/>
              </w:rPr>
              <w:t>、公众号等</w:t>
            </w:r>
            <w:r>
              <w:rPr>
                <w:rFonts w:ascii="仿宋_GB2312" w:hAnsi="仿宋_GB2312" w:cs="仿宋_GB2312" w:eastAsia="仿宋_GB2312"/>
                <w:sz w:val="20"/>
                <w:color w:val="00B0F0"/>
              </w:rPr>
              <w:t>）</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2</w:t>
            </w:r>
            <w:r>
              <w:rPr>
                <w:rFonts w:ascii="仿宋_GB2312" w:hAnsi="仿宋_GB2312" w:cs="仿宋_GB2312" w:eastAsia="仿宋_GB2312"/>
                <w:sz w:val="20"/>
                <w:color w:val="00B0F0"/>
              </w:rPr>
              <w:t>）</w:t>
            </w:r>
            <w:r>
              <w:rPr>
                <w:rFonts w:ascii="仿宋_GB2312" w:hAnsi="仿宋_GB2312" w:cs="仿宋_GB2312" w:eastAsia="仿宋_GB2312"/>
                <w:sz w:val="20"/>
                <w:color w:val="00B0F0"/>
              </w:rPr>
              <w:t>提供</w:t>
            </w:r>
            <w:r>
              <w:rPr>
                <w:rFonts w:ascii="仿宋_GB2312" w:hAnsi="仿宋_GB2312" w:cs="仿宋_GB2312" w:eastAsia="仿宋_GB2312"/>
                <w:sz w:val="20"/>
                <w:color w:val="00B0F0"/>
              </w:rPr>
              <w:t>IP</w:t>
            </w:r>
            <w:r>
              <w:rPr>
                <w:rFonts w:ascii="仿宋_GB2312" w:hAnsi="仿宋_GB2312" w:cs="仿宋_GB2312" w:eastAsia="仿宋_GB2312"/>
                <w:sz w:val="20"/>
                <w:color w:val="00B0F0"/>
              </w:rPr>
              <w:t>打造</w:t>
            </w:r>
            <w:r>
              <w:rPr>
                <w:rFonts w:ascii="仿宋_GB2312" w:hAnsi="仿宋_GB2312" w:cs="仿宋_GB2312" w:eastAsia="仿宋_GB2312"/>
                <w:sz w:val="20"/>
                <w:color w:val="00B0F0"/>
              </w:rPr>
              <w:t>定位、内容策划、拍摄制作、账号运营、互动维护</w:t>
            </w:r>
            <w:r>
              <w:rPr>
                <w:rFonts w:ascii="仿宋_GB2312" w:hAnsi="仿宋_GB2312" w:cs="仿宋_GB2312" w:eastAsia="仿宋_GB2312"/>
                <w:sz w:val="20"/>
                <w:color w:val="00B0F0"/>
              </w:rPr>
              <w:t>等</w:t>
            </w:r>
            <w:r>
              <w:rPr>
                <w:rFonts w:ascii="仿宋_GB2312" w:hAnsi="仿宋_GB2312" w:cs="仿宋_GB2312" w:eastAsia="仿宋_GB2312"/>
                <w:sz w:val="20"/>
                <w:color w:val="00B0F0"/>
              </w:rPr>
              <w:t>全流程服务。</w:t>
            </w:r>
          </w:p>
          <w:p>
            <w:pPr>
              <w:pStyle w:val="null3"/>
              <w:ind w:firstLine="402"/>
            </w:pPr>
            <w:r>
              <w:rPr>
                <w:rFonts w:ascii="仿宋_GB2312" w:hAnsi="仿宋_GB2312" w:cs="仿宋_GB2312" w:eastAsia="仿宋_GB2312"/>
                <w:b/>
                <w:color w:val="00B0F0"/>
              </w:rPr>
              <w:t>二、服务要求</w:t>
            </w:r>
          </w:p>
          <w:p>
            <w:pPr>
              <w:pStyle w:val="null3"/>
              <w:ind w:firstLine="400"/>
              <w:jc w:val="left"/>
            </w:pPr>
            <w:r>
              <w:rPr>
                <w:rFonts w:ascii="仿宋_GB2312" w:hAnsi="仿宋_GB2312" w:cs="仿宋_GB2312" w:eastAsia="仿宋_GB2312"/>
                <w:sz w:val="20"/>
                <w:color w:val="00B0F0"/>
              </w:rPr>
              <w:t>1.供应商配备专职服务团队≥5人，且为驻场服务，驻场人员日常在岗作息标准参照医院行政人员执行，人员排班、内部考勤、休假审批均由供应商全权管理；</w:t>
            </w:r>
          </w:p>
          <w:p>
            <w:pPr>
              <w:pStyle w:val="null3"/>
              <w:ind w:firstLine="400"/>
              <w:jc w:val="left"/>
            </w:pPr>
            <w:r>
              <w:rPr>
                <w:rFonts w:ascii="仿宋_GB2312" w:hAnsi="仿宋_GB2312" w:cs="仿宋_GB2312" w:eastAsia="仿宋_GB2312"/>
                <w:sz w:val="20"/>
                <w:color w:val="00B0F0"/>
              </w:rPr>
              <w:t>2.医院重大活动（含节假日重大活动） 全程提供拍摄、制作、技术支持</w:t>
            </w:r>
            <w:r>
              <w:rPr>
                <w:rFonts w:ascii="仿宋_GB2312" w:hAnsi="仿宋_GB2312" w:cs="仿宋_GB2312" w:eastAsia="仿宋_GB2312"/>
                <w:sz w:val="20"/>
                <w:color w:val="00B0F0"/>
              </w:rPr>
              <w:t>，内容完整，宣传及时</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3.严格按采购人需求与阶段性任务执行，不得以已达基础工作量为由拒绝或中止服务；</w:t>
            </w:r>
          </w:p>
          <w:p>
            <w:pPr>
              <w:pStyle w:val="null3"/>
              <w:ind w:firstLine="400"/>
              <w:jc w:val="left"/>
            </w:pPr>
            <w:r>
              <w:rPr>
                <w:rFonts w:ascii="仿宋_GB2312" w:hAnsi="仿宋_GB2312" w:cs="仿宋_GB2312" w:eastAsia="仿宋_GB2312"/>
                <w:sz w:val="20"/>
                <w:color w:val="00B0F0"/>
              </w:rPr>
              <w:t>4.拍摄画面</w:t>
            </w:r>
            <w:r>
              <w:rPr>
                <w:rFonts w:ascii="仿宋_GB2312" w:hAnsi="仿宋_GB2312" w:cs="仿宋_GB2312" w:eastAsia="仿宋_GB2312"/>
                <w:sz w:val="20"/>
                <w:color w:val="00B0F0"/>
              </w:rPr>
              <w:t>高清</w:t>
            </w:r>
            <w:r>
              <w:rPr>
                <w:rFonts w:ascii="仿宋_GB2312" w:hAnsi="仿宋_GB2312" w:cs="仿宋_GB2312" w:eastAsia="仿宋_GB2312"/>
                <w:sz w:val="20"/>
                <w:color w:val="00B0F0"/>
              </w:rPr>
              <w:t>4K 品质、声画同步、色调统一，成品分辨率</w:t>
            </w:r>
            <w:r>
              <w:rPr>
                <w:rFonts w:ascii="仿宋_GB2312" w:hAnsi="仿宋_GB2312" w:cs="仿宋_GB2312" w:eastAsia="仿宋_GB2312"/>
                <w:sz w:val="20"/>
                <w:color w:val="00B0F0"/>
              </w:rPr>
              <w:t>≥</w:t>
            </w:r>
            <w:r>
              <w:rPr>
                <w:rFonts w:ascii="仿宋_GB2312" w:hAnsi="仿宋_GB2312" w:cs="仿宋_GB2312" w:eastAsia="仿宋_GB2312"/>
                <w:sz w:val="20"/>
                <w:color w:val="00B0F0"/>
              </w:rPr>
              <w:t>1920*1080</w:t>
            </w:r>
            <w:r>
              <w:rPr>
                <w:rFonts w:ascii="仿宋_GB2312" w:hAnsi="仿宋_GB2312" w:cs="仿宋_GB2312" w:eastAsia="仿宋_GB2312"/>
                <w:sz w:val="20"/>
                <w:color w:val="00B0F0"/>
              </w:rPr>
              <w:t>（</w:t>
            </w:r>
            <w:r>
              <w:rPr>
                <w:rFonts w:ascii="仿宋_GB2312" w:hAnsi="仿宋_GB2312" w:cs="仿宋_GB2312" w:eastAsia="仿宋_GB2312"/>
                <w:sz w:val="20"/>
                <w:color w:val="00B0F0"/>
              </w:rPr>
              <w:t>16:9），</w:t>
            </w:r>
            <w:r>
              <w:rPr>
                <w:rFonts w:ascii="仿宋_GB2312" w:hAnsi="仿宋_GB2312" w:cs="仿宋_GB2312" w:eastAsia="仿宋_GB2312"/>
                <w:sz w:val="20"/>
                <w:color w:val="00B0F0"/>
              </w:rPr>
              <w:t>视频格式</w:t>
            </w:r>
            <w:r>
              <w:rPr>
                <w:rFonts w:ascii="仿宋_GB2312" w:hAnsi="仿宋_GB2312" w:cs="仿宋_GB2312" w:eastAsia="仿宋_GB2312"/>
                <w:sz w:val="20"/>
                <w:color w:val="00B0F0"/>
              </w:rPr>
              <w:t>适配</w:t>
            </w:r>
            <w:r>
              <w:rPr>
                <w:rFonts w:ascii="仿宋_GB2312" w:hAnsi="仿宋_GB2312" w:cs="仿宋_GB2312" w:eastAsia="仿宋_GB2312"/>
                <w:sz w:val="20"/>
                <w:color w:val="00B0F0"/>
              </w:rPr>
              <w:t>全平台高清传播要求</w:t>
            </w:r>
            <w:r>
              <w:rPr>
                <w:rFonts w:ascii="仿宋_GB2312" w:hAnsi="仿宋_GB2312" w:cs="仿宋_GB2312" w:eastAsia="仿宋_GB2312"/>
                <w:sz w:val="20"/>
                <w:color w:val="00B0F0"/>
              </w:rPr>
              <w:t>。</w:t>
            </w:r>
          </w:p>
          <w:p>
            <w:pPr>
              <w:pStyle w:val="null3"/>
              <w:ind w:firstLine="400"/>
              <w:jc w:val="left"/>
            </w:pPr>
            <w:r>
              <w:rPr>
                <w:rFonts w:ascii="仿宋_GB2312" w:hAnsi="仿宋_GB2312" w:cs="仿宋_GB2312" w:eastAsia="仿宋_GB2312"/>
                <w:sz w:val="20"/>
                <w:color w:val="00B0F0"/>
              </w:rPr>
              <w:t>5.驻场人员所有请假(事假、病假、调休等)，须经供应商内部审批完成后，提前向医院项目负责人报备请假事由、离岗时长、顶岗安排;未经报备擅自缺岗、脱岗，视为供应商服务履约瑕疵，应向医院承担违约责任。</w:t>
            </w:r>
          </w:p>
          <w:p>
            <w:pPr>
              <w:pStyle w:val="null3"/>
              <w:ind w:firstLine="402"/>
            </w:pPr>
            <w:r>
              <w:rPr>
                <w:rFonts w:ascii="仿宋_GB2312" w:hAnsi="仿宋_GB2312" w:cs="仿宋_GB2312" w:eastAsia="仿宋_GB2312"/>
                <w:b/>
                <w:color w:val="00B0F0"/>
              </w:rPr>
              <w:t>三、成果交付</w:t>
            </w:r>
          </w:p>
          <w:p>
            <w:pPr>
              <w:pStyle w:val="null3"/>
              <w:ind w:firstLine="400"/>
              <w:jc w:val="left"/>
            </w:pPr>
            <w:r>
              <w:rPr>
                <w:rFonts w:ascii="仿宋_GB2312" w:hAnsi="仿宋_GB2312" w:cs="仿宋_GB2312" w:eastAsia="仿宋_GB2312"/>
                <w:sz w:val="20"/>
                <w:color w:val="00B0F0"/>
              </w:rPr>
              <w:t>1.</w:t>
            </w:r>
            <w:r>
              <w:rPr>
                <w:rFonts w:ascii="仿宋_GB2312" w:hAnsi="仿宋_GB2312" w:cs="仿宋_GB2312" w:eastAsia="仿宋_GB2312"/>
                <w:sz w:val="20"/>
                <w:color w:val="00B0F0"/>
              </w:rPr>
              <w:t>对视频、媒体链接等应提供</w:t>
            </w:r>
            <w:r>
              <w:rPr>
                <w:rFonts w:ascii="仿宋_GB2312" w:hAnsi="仿宋_GB2312" w:cs="仿宋_GB2312" w:eastAsia="仿宋_GB2312"/>
                <w:sz w:val="20"/>
                <w:color w:val="00B0F0"/>
              </w:rPr>
              <w:t>完整</w:t>
            </w:r>
            <w:r>
              <w:rPr>
                <w:rFonts w:ascii="仿宋_GB2312" w:hAnsi="仿宋_GB2312" w:cs="仿宋_GB2312" w:eastAsia="仿宋_GB2312"/>
                <w:sz w:val="20"/>
                <w:color w:val="00B0F0"/>
              </w:rPr>
              <w:t>电子版（</w:t>
            </w:r>
            <w:r>
              <w:rPr>
                <w:rFonts w:ascii="仿宋_GB2312" w:hAnsi="仿宋_GB2312" w:cs="仿宋_GB2312" w:eastAsia="仿宋_GB2312"/>
                <w:sz w:val="20"/>
                <w:color w:val="00B0F0"/>
              </w:rPr>
              <w:t>mp4</w:t>
            </w:r>
            <w:r>
              <w:rPr>
                <w:rFonts w:ascii="仿宋_GB2312" w:hAnsi="仿宋_GB2312" w:cs="仿宋_GB2312" w:eastAsia="仿宋_GB2312"/>
                <w:sz w:val="20"/>
                <w:color w:val="00B0F0"/>
              </w:rPr>
              <w:t>标准</w:t>
            </w:r>
            <w:r>
              <w:rPr>
                <w:rFonts w:ascii="仿宋_GB2312" w:hAnsi="仿宋_GB2312" w:cs="仿宋_GB2312" w:eastAsia="仿宋_GB2312"/>
                <w:sz w:val="20"/>
                <w:color w:val="00B0F0"/>
              </w:rPr>
              <w:t>格式）成品存档，硬盘（一主一备）提交存档。</w:t>
            </w:r>
          </w:p>
          <w:p>
            <w:pPr>
              <w:pStyle w:val="null3"/>
              <w:ind w:firstLine="400"/>
              <w:jc w:val="left"/>
            </w:pPr>
            <w:r>
              <w:rPr>
                <w:rFonts w:ascii="仿宋_GB2312" w:hAnsi="仿宋_GB2312" w:cs="仿宋_GB2312" w:eastAsia="仿宋_GB2312"/>
                <w:sz w:val="20"/>
                <w:color w:val="00B0F0"/>
              </w:rPr>
              <w:t>2.</w:t>
            </w:r>
            <w:r>
              <w:rPr>
                <w:rFonts w:ascii="仿宋_GB2312" w:hAnsi="仿宋_GB2312" w:cs="仿宋_GB2312" w:eastAsia="仿宋_GB2312"/>
                <w:sz w:val="20"/>
                <w:color w:val="00B0F0"/>
              </w:rPr>
              <w:t>全部成品视频交付后，供应商根据其所提供的验收报告，汇总出服务内容的完成情况，抖音账号运维情况风险分析以及医生个人</w:t>
            </w:r>
            <w:r>
              <w:rPr>
                <w:rFonts w:ascii="仿宋_GB2312" w:hAnsi="仿宋_GB2312" w:cs="仿宋_GB2312" w:eastAsia="仿宋_GB2312"/>
                <w:sz w:val="20"/>
                <w:color w:val="00B0F0"/>
              </w:rPr>
              <w:t>IP打造情况汇总分析等相关数据，并提交评价报告。</w:t>
            </w:r>
          </w:p>
          <w:p>
            <w:pPr>
              <w:pStyle w:val="null3"/>
              <w:ind w:firstLine="400"/>
              <w:jc w:val="left"/>
            </w:pPr>
            <w:r>
              <w:rPr>
                <w:rFonts w:ascii="仿宋_GB2312" w:hAnsi="仿宋_GB2312" w:cs="仿宋_GB2312" w:eastAsia="仿宋_GB2312"/>
                <w:sz w:val="20"/>
                <w:color w:val="00B0F0"/>
              </w:rPr>
              <w:t>3.</w:t>
            </w:r>
            <w:r>
              <w:rPr>
                <w:rFonts w:ascii="仿宋_GB2312" w:hAnsi="仿宋_GB2312" w:cs="仿宋_GB2312" w:eastAsia="仿宋_GB2312"/>
                <w:sz w:val="20"/>
                <w:color w:val="00B0F0"/>
              </w:rPr>
              <w:t>所需设备均由供应商自行提供。</w:t>
            </w:r>
          </w:p>
          <w:p>
            <w:pPr>
              <w:pStyle w:val="null3"/>
              <w:ind w:left="405"/>
              <w:jc w:val="left"/>
            </w:pPr>
            <w:r>
              <w:rPr>
                <w:rFonts w:ascii="仿宋_GB2312" w:hAnsi="仿宋_GB2312" w:cs="仿宋_GB2312" w:eastAsia="仿宋_GB2312"/>
                <w:sz w:val="20"/>
                <w:color w:val="00B0F0"/>
              </w:rPr>
              <w:t>4.供应商交付</w:t>
            </w:r>
            <w:r>
              <w:rPr>
                <w:rFonts w:ascii="仿宋_GB2312" w:hAnsi="仿宋_GB2312" w:cs="仿宋_GB2312" w:eastAsia="仿宋_GB2312"/>
                <w:sz w:val="20"/>
                <w:color w:val="00B0F0"/>
              </w:rPr>
              <w:t>全部成果及素材</w:t>
            </w:r>
            <w:r>
              <w:rPr>
                <w:rFonts w:ascii="仿宋_GB2312" w:hAnsi="仿宋_GB2312" w:cs="仿宋_GB2312" w:eastAsia="仿宋_GB2312"/>
                <w:sz w:val="20"/>
                <w:color w:val="00B0F0"/>
              </w:rPr>
              <w:t>时，需同时提交以下知识产权相关文件：（</w:t>
            </w:r>
            <w:r>
              <w:rPr>
                <w:rFonts w:ascii="仿宋_GB2312" w:hAnsi="仿宋_GB2312" w:cs="仿宋_GB2312" w:eastAsia="仿宋_GB2312"/>
                <w:sz w:val="20"/>
                <w:color w:val="00B0F0"/>
              </w:rPr>
              <w:t>1）所有素材的版权授权书（若使用第三方素材）；</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2）知识产权成果清单（明确成果名称、类型、归属）；</w:t>
            </w:r>
          </w:p>
          <w:p>
            <w:pPr>
              <w:pStyle w:val="null3"/>
              <w:ind w:firstLine="400"/>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3）配合采购人办理知识产权登记所需的全部材料。</w:t>
            </w:r>
          </w:p>
          <w:p>
            <w:pPr>
              <w:pStyle w:val="null3"/>
              <w:ind w:firstLine="400"/>
              <w:jc w:val="left"/>
            </w:pPr>
            <w:r>
              <w:rPr>
                <w:rFonts w:ascii="仿宋_GB2312" w:hAnsi="仿宋_GB2312" w:cs="仿宋_GB2312" w:eastAsia="仿宋_GB2312"/>
                <w:sz w:val="20"/>
                <w:color w:val="00B0F0"/>
              </w:rPr>
              <w:t>5.采购人有权对交付成果的知识产权合法性进行验收，若发现供应商交付的成果存在知识产权瑕疵（如侵权、权属不清等），供应商应在采购人指定期限内整改，直至符合采购人要求，由此产生的费用由供应商承担，且不视为供应商完成对应的服务。</w:t>
            </w:r>
          </w:p>
          <w:p>
            <w:pPr>
              <w:pStyle w:val="null3"/>
            </w:pPr>
            <w:r>
              <w:rPr>
                <w:rFonts w:ascii="仿宋_GB2312" w:hAnsi="仿宋_GB2312" w:cs="仿宋_GB2312" w:eastAsia="仿宋_GB2312"/>
                <w:sz w:val="20"/>
                <w:color w:val="00B0F0"/>
              </w:rPr>
              <w:t>6.对于供应商</w:t>
            </w:r>
            <w:r>
              <w:rPr>
                <w:rFonts w:ascii="仿宋_GB2312" w:hAnsi="仿宋_GB2312" w:cs="仿宋_GB2312" w:eastAsia="仿宋_GB2312"/>
                <w:sz w:val="20"/>
                <w:color w:val="00B0F0"/>
              </w:rPr>
              <w:t>交付成品</w:t>
            </w:r>
            <w:r>
              <w:rPr>
                <w:rFonts w:ascii="仿宋_GB2312" w:hAnsi="仿宋_GB2312" w:cs="仿宋_GB2312" w:eastAsia="仿宋_GB2312"/>
                <w:sz w:val="20"/>
                <w:color w:val="00B0F0"/>
              </w:rPr>
              <w:t>的所有</w:t>
            </w:r>
            <w:r>
              <w:rPr>
                <w:rFonts w:ascii="仿宋_GB2312" w:hAnsi="仿宋_GB2312" w:cs="仿宋_GB2312" w:eastAsia="仿宋_GB2312"/>
                <w:sz w:val="20"/>
                <w:color w:val="00B0F0"/>
              </w:rPr>
              <w:t>所用素材不得有版权纠纷，</w:t>
            </w:r>
            <w:r>
              <w:rPr>
                <w:rFonts w:ascii="仿宋_GB2312" w:hAnsi="仿宋_GB2312" w:cs="仿宋_GB2312" w:eastAsia="仿宋_GB2312"/>
                <w:sz w:val="20"/>
                <w:color w:val="00B0F0"/>
              </w:rPr>
              <w:t>供应商对交付成品的真实性、合法性、有效性负责，</w:t>
            </w:r>
            <w:r>
              <w:rPr>
                <w:rFonts w:ascii="仿宋_GB2312" w:hAnsi="仿宋_GB2312" w:cs="仿宋_GB2312" w:eastAsia="仿宋_GB2312"/>
                <w:sz w:val="20"/>
                <w:color w:val="00B0F0"/>
              </w:rPr>
              <w:t>如果第三方提出侵权</w:t>
            </w:r>
            <w:r>
              <w:rPr>
                <w:rFonts w:ascii="仿宋_GB2312" w:hAnsi="仿宋_GB2312" w:cs="仿宋_GB2312" w:eastAsia="仿宋_GB2312"/>
                <w:sz w:val="20"/>
                <w:color w:val="00B0F0"/>
              </w:rPr>
              <w:t>等</w:t>
            </w:r>
            <w:r>
              <w:rPr>
                <w:rFonts w:ascii="仿宋_GB2312" w:hAnsi="仿宋_GB2312" w:cs="仿宋_GB2312" w:eastAsia="仿宋_GB2312"/>
                <w:sz w:val="20"/>
                <w:color w:val="00B0F0"/>
              </w:rPr>
              <w:t>指控，</w:t>
            </w:r>
            <w:r>
              <w:rPr>
                <w:rFonts w:ascii="仿宋_GB2312" w:hAnsi="仿宋_GB2312" w:cs="仿宋_GB2312" w:eastAsia="仿宋_GB2312"/>
                <w:sz w:val="20"/>
                <w:color w:val="00B0F0"/>
              </w:rPr>
              <w:t>供应商</w:t>
            </w:r>
            <w:r>
              <w:rPr>
                <w:rFonts w:ascii="仿宋_GB2312" w:hAnsi="仿宋_GB2312" w:cs="仿宋_GB2312" w:eastAsia="仿宋_GB2312"/>
                <w:sz w:val="20"/>
                <w:color w:val="00B0F0"/>
              </w:rPr>
              <w:t>应承担由此而引起的一切法律责任和费用，</w:t>
            </w:r>
            <w:r>
              <w:rPr>
                <w:rFonts w:ascii="仿宋_GB2312" w:hAnsi="仿宋_GB2312" w:cs="仿宋_GB2312" w:eastAsia="仿宋_GB2312"/>
                <w:sz w:val="20"/>
                <w:color w:val="00B0F0"/>
              </w:rPr>
              <w:t>如果因此导致采购人诉讼的，供应商承担采购人维权产生的律师费、诉讼费、鉴定费等，采购人如须承担赔偿责任的，最终由供应商承担，采购人有权向供应商追偿</w:t>
            </w:r>
            <w:r>
              <w:rPr>
                <w:rFonts w:ascii="仿宋_GB2312" w:hAnsi="仿宋_GB2312" w:cs="仿宋_GB2312" w:eastAsia="仿宋_GB2312"/>
                <w:sz w:val="20"/>
                <w:color w:val="00B0F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合同签订之日起至完成全部项目服务内容（合同签订日起对制作的视频按照采购人意见进行修改制作，并按采购人要求交付全部成品视频）</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达到合格（达到国家强制性合格标准），具体参照采购人相关制度执行。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派驻人员到位且完成120条视频，经医院审核合格后，供应商开具合法有效发票，医院于收到发票之日起10个工作日内支付合同款项的30%。，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成品视频交付后，所有抖音账号新增粉丝量≥3万且新增点赞量≥3万，经医院审核合格后，供应商开具合法有效发票，医院于收到发票之日起10个工作日内支付合同款项的30%。，达到付款条件起14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进度款，服务期满、整体服务验收合格，供应商提交完整结案资料并开具合法有效发票，医院于收到发票之日起10个工作日内支付合同款项的40%，达到付款条件起14个工作日内，支付合同总金额的40.0%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按合同约定时间完成各阶段合同义务，若发生延迟，采购人可进行书面催告，催告后供应商在合理期限内仍未履行，供应商应向采购人支付合同总价款10%的违约金，超过30日仍未履行的，采购人有权解除合同并要求供应商赔偿采购人的损失。但采购人书面同意延迟或因采购人原因导致延迟的，供应商不承担违约责任。 2.因供应商原因导致侵害采购人或第三方合法权益的，应由供应商承担相应赔偿责任，并向采购人支付合同总价款10%的违约金。 3.若供应商未经采购人同意泄露本合同约定的任何秘密信息的，供应商应按照合同总价款的30%向采购人支付违约金，并赔偿因此给采购人造成的损失。 4.供应商保证向采购人开具发票的真实性、合法性，若供应商向采购人开具的发票存在真实性、合法性问题，给采购人造成损失的，供应商应按合同总价款的10%向采购人支付违约金，违约金不足以弥补损失的，供应商还应承担相应赔偿责任。 5.供应商违反知识产权相关约定（包括但不限于擅自使用、转让、泄露知识产权成果，未配合办理知识产权登记等），采购人有权并要求供应商收回所有泄露、滥用的知识产权成果，消除不良影响。供应商逾期超过7日未及时响应的，采购人有权解除合同，并要求供应商支付本合同总价款30%的违约金，如果违约金不足以弥补采购人损失的，供应商还应赔偿采购人因此遭受的全部损失。 6.因供应商使用侵权素材、盗用他人创意等原因，采购人有权解除合同，并要求供应商支付本合同总价款30%的违约金。如因供应商侵权行为导致采购人被第三方提起知识产权诉讼、索赔的，供应商应承担采购人的全部损失。 7.本协议项下所列采购人的全部损失包括但不限于采购人的直接损失，采购人可能需为此支付的一切费用及为维权而支付的合理律师费、诉讼费、保全保险费、调查取证费、公证费和差旅费等。 8.驻场履约根本违约:本合同核心履约方式为供应商至少提供固定5人驻场服务。若供应商出现整体撤场、人员长期缺位、无法足额配齐5名驻场人员，经医院书面催告之日起的3日内仍无法恢复正常驻场服务的，视为供应商根本违约，医院有权单方解除本合同，未履行部分的服务费用医院不予支付。 9.因供应商无法正常驻场导致合同解除的，双方仅按供应商实际完成、经医院验收合格的服务工作量结算已产生费用;医院无需承担任何后续服务费、补偿金，并且供应商应向医院支付合同总价款30%的违约金，若该违约行为还给医院造成宣传中断、项目延误、第三方损失等损失，供应商应全额赔偿医院全部损失。 10.阶段性缺勤违约:供应商驻场人员出现无故缺岗、未经报备离岗、人员空缺且未及时补员的，医院有权按缺岗天数、空缺人数扣减对应服务费;单月累计缺岗/岗位空缺超过5个工作日，医院有权发出整改通知，供应商须在医院发出整改通知之日起的3日内补齐人员、补齐在岗工时;供应商逾期未整改，视为供应商违约，医院有权直接解除合同，供应商应向医院支付合同总价款30%的违约金，违约金不足以弥补医院全部损失的，供应商应补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（一）付款条件说明： 1.医院仅认可合同指定账户并向该账户付款，医院有权拒绝向指定账户以外的任何账户付款，并且有此导致的付款延迟责任由供应商承担。 2.供应商要如实开具发票，不得变更开票内容，开具发票出现税务争议时，供应商需承担税款、滞纳金、罚款等赔偿责任以及其他相关责任。 3.供应商持中标通知书、服务合同、发票、验收单、验收报告、服务完成汇总、账号运营数据、投流效果分析、IP打造总结、风险评估报告与医院进行结算。 供应商账户信息： 名 称： 开户行： 账 号： （二）知识产权 采购人在中华人民共和国境内使用供应商提供的货物或服务时免受第三方提出的侵犯其专利权或其它知识产权的起诉。如果第三方提出侵权指控，中标人应承担由此而引起的一切法律责任和费用。 1.本合同履行过程中产生的全部知识产权（包括但不限于著作权、商标权、肖像权、姓名权、邻接权等）均归采购人所有。前述“履行过程中产生的成果”包括但不限于：短视频成片、拍摄素材、脚本、文案、MG动画/二三维动画源文件、布景采访录像、系列专题策划方案、医生个人IP的相关内容（含文案、视频、头像、IP名称、Logo等）、投流推广素材、账号运营相关创意内容等（以下统称“知识产权成果”）。 2.供应商仅享有本合同履行期间，为完成本合同约定服务所必需的、非独占的、不可转让的使用权，该使用权不得超出本合同约定的服务范围（包括短视频制作、账号运维、医生IP打造等）。未经采购人书面许可，供应商不得将因本合同产生的任何知识产权成果用于本合同约定以外的用途（包括但不限于自身宣传、转让给第三方、复用至其他项目、授权第三方使用等）。 3.本合同终止前的5个工作日内，供应商应将所有账号的账号、密码、绑定手机等全部控制权移交采购人，不得留存任何控制权，不得擅自注销、修改账号信息。本合同终止后，供应商应立即停止使用因本合同产生的所有知识产权成果，不得留存、复制、传播任何知识产权成果；如需留存少量成果作为案例展示，需提前取得采购人书面许可，并在展示时注明采购人权属，且不得泄露采购人的任何保密信息。 4.供应商应配合采购人办理知识产权成果的登记手续（如有，如著作权登记、商标注册等），相关费用由采购人承担，供应商需提供必要的协助（包括但不限于提供相关素材、签署相关文件）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社保的缴费证明材料(供应商提供2025年6月1日以来任意3个月的社保缴纳证明，其他组织形式供应商(如个体工商户、合作社、自然人等)可提供法人或负责人个人2025年6月1日以来任意3个月的社保资金缴纳证明材料)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纳税的缴费证明材料(供应商提供2025年6月1日以来任意3个月的纳税缴纳证明，免税企业提供税务机关出具相关的有效证明材料)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 法定代表人授权合法授权代表参加磋商会议的，应出具法定代表人证明书、法定代表人授权书,同时提供授权代表在响应文件递交截止时间前近6个月内任意1个月的在投标单位缴纳的社保证明材料；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本项目不接受由西安市第五医院医院职工及其亲属投资举办的企业参加投</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商务应答表.docx 服务内容及服务要求应答表.docx 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是否与其他投标单位有交叉控股股东、有交叉兼任高级管理人员及涉嫌联合围标、串标行为，有采购单位和招标代理机构职工在单位兼职的情况,向采购单位和代理机构相关人员输送利益等行贿行为，一旦中标必须坚守诚信、认真履约</w:t>
            </w:r>
          </w:p>
        </w:tc>
        <w:tc>
          <w:tcPr>
            <w:tcW w:type="dxa" w:w="3322"/>
          </w:tcPr>
          <w:p>
            <w:pPr>
              <w:pStyle w:val="null3"/>
            </w:pPr>
            <w:r>
              <w:rPr>
                <w:rFonts w:ascii="仿宋_GB2312" w:hAnsi="仿宋_GB2312" w:cs="仿宋_GB2312" w:eastAsia="仿宋_GB2312"/>
              </w:rPr>
              <w:t>我单位与其他投标单位无交叉控股股东、无交叉兼任高级管理人员及涉嫌联合围标、串标行为，无采购单位和招标代理机构职工在我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响应文件封面 其他证明材料.docx 供应商应提交的相关资格证明文件.docx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根据供应商针对服务要求响应情况进行评审，完全响应并满足服务要求的得20分，有一项未响应或不满足采购需求的扣1分，扣完为止。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供应商提供的整体服务的思路及要点需包含①短视频制作方案；②抖音官方账号运维方案；③医生个人IP打造方案，共3项内容，每项满分3分，总分9分。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服务质量的保障方案</w:t>
            </w:r>
          </w:p>
        </w:tc>
        <w:tc>
          <w:tcPr>
            <w:tcW w:type="dxa" w:w="2492"/>
          </w:tcPr>
          <w:p>
            <w:pPr>
              <w:pStyle w:val="null3"/>
            </w:pPr>
            <w:r>
              <w:rPr>
                <w:rFonts w:ascii="仿宋_GB2312" w:hAnsi="仿宋_GB2312" w:cs="仿宋_GB2312" w:eastAsia="仿宋_GB2312"/>
              </w:rPr>
              <w:t>供应商提供的服务质量保障措施方案需包含①凸显医院的诊疗特色及优势学科保障方案；②提升医生品牌形象保障方案；③宣传总体要求及活动内容策划保障方案；④宣传素材的选材、制作保障方案，共4项内容，每项满分3分，总分12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针对本项目制定的进度计划方案和各阶段的实施计划表（包括但不限于项目服务期间的各阶段时间节点安排、工作内容安排、各阶段的人力物力投入实施计划等），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包含1.项目负责人；2.创意策划；3.后期制作；4.拍摄人员；5.投放宣传等人员提供姓名、工作职务及职能等）；②各流程节点岗位职责划分及岗位管理机制，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设备配置方案</w:t>
            </w:r>
          </w:p>
        </w:tc>
        <w:tc>
          <w:tcPr>
            <w:tcW w:type="dxa" w:w="2492"/>
          </w:tcPr>
          <w:p>
            <w:pPr>
              <w:pStyle w:val="null3"/>
            </w:pPr>
            <w:r>
              <w:rPr>
                <w:rFonts w:ascii="仿宋_GB2312" w:hAnsi="仿宋_GB2312" w:cs="仿宋_GB2312" w:eastAsia="仿宋_GB2312"/>
              </w:rPr>
              <w:t>供应商提供的设备配置方案需包含拍摄制作器材及辅助工具及后期制作设备等内容等内容，共1项内容，每项满分3分，总分3分。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成果交付方案</w:t>
            </w:r>
          </w:p>
        </w:tc>
        <w:tc>
          <w:tcPr>
            <w:tcW w:type="dxa" w:w="2492"/>
          </w:tcPr>
          <w:p>
            <w:pPr>
              <w:pStyle w:val="null3"/>
            </w:pPr>
            <w:r>
              <w:rPr>
                <w:rFonts w:ascii="仿宋_GB2312" w:hAnsi="仿宋_GB2312" w:cs="仿宋_GB2312" w:eastAsia="仿宋_GB2312"/>
              </w:rPr>
              <w:t>供应商提供的成果交付方案包含提交成品存档交付方案及验收报告交付方案，共1项内容，每项满分3分，总分3分。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提供书面承诺，承诺内容须包含：交付成果需要提交所有素材的版权授权书（若使用第三方素材），知识产权成果清单（明确成果名称、类型、归属），配合采购人办理知识产权登记所需的全部材料的知识产权相关文件 提供有效承诺的，得2.5分； 未提供或承诺内容不全的，不得分。 2.供应商提供书面承诺，承诺内容须包含：供应商须承诺视频作品须为原创，不得抄袭；如作品中含有的非原创性的内容（包括宣传画面、拍摄视频、歌曲以及音乐等）必须确保无知识产权争议，如有任何侵权行为均由供应商承担相应责任和赔偿。 提供有效承诺的，得2.5分； 未提供或承诺内容不全的，不得分。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供应商提供的应急预案需包含舆论需在2小时内完成“发现→核实→初步回应”闭环等内容，共1项内容，每项满分3分，总分3分。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供应商提供2023年6月1日以来的同类业绩证明材料，每提供一份有效同类业绩证明材料的得1分，满分6分。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