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版本号：SXZHZC2026-CS01820260525001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公安经开分局资产盘点服务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SXZHZC2026-CS018</w:t>
      </w:r>
      <w:r>
        <w:br/>
      </w:r>
      <w:r>
        <w:br/>
      </w:r>
      <w:r>
        <w:br/>
      </w:r>
    </w:p>
    <w:p>
      <w:pPr>
        <w:pStyle w:val="null3"/>
        <w:jc w:val="center"/>
        <w:outlineLvl w:val="2"/>
      </w:pPr>
      <w:r>
        <w:rPr>
          <w:rFonts w:ascii="仿宋_GB2312" w:hAnsi="仿宋_GB2312" w:cs="仿宋_GB2312" w:eastAsia="仿宋_GB2312"/>
          <w:sz w:val="28"/>
          <w:b/>
        </w:rPr>
        <w:t>西安市公安局经济技术开发区分局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西安市公安局经济技术开发区分局</w:t>
      </w:r>
      <w:r>
        <w:rPr>
          <w:rFonts w:ascii="仿宋_GB2312" w:hAnsi="仿宋_GB2312" w:cs="仿宋_GB2312" w:eastAsia="仿宋_GB2312"/>
        </w:rPr>
        <w:t>委托，拟对</w:t>
      </w:r>
      <w:r>
        <w:rPr>
          <w:rFonts w:ascii="仿宋_GB2312" w:hAnsi="仿宋_GB2312" w:cs="仿宋_GB2312" w:eastAsia="仿宋_GB2312"/>
        </w:rPr>
        <w:t>公安经开分局资产盘点服务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SXZHZC2026-CS018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公安经开分局资产盘点服务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公安经开分局资产盘点服务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采购包1（公安经开分局资产盘点服务）：属于专门面向中小企业采购。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西安市公安局经济技术开发区分局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029-86757365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采购包1：198,512.00元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代理服务费收费标准：定额收取人民币捌仟元整。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西安市公安局经济技术开发区分局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西安市公安局经济技术开发区分局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西安市公安局经济技术开发区分局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联系人：程康</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公安经开分局资产盘点服务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198,512.00</w:t>
      </w:r>
    </w:p>
    <w:p>
      <w:pPr>
        <w:pStyle w:val="null3"/>
      </w:pPr>
      <w:r>
        <w:rPr>
          <w:rFonts w:ascii="仿宋_GB2312" w:hAnsi="仿宋_GB2312" w:cs="仿宋_GB2312" w:eastAsia="仿宋_GB2312"/>
        </w:rPr>
        <w:t>采购包最高限价（元）: 198,512.00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公安经开分局资产盘点服务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198,512.00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标的名称：公安经开分局资产盘点服务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项目概况</w:t>
            </w:r>
          </w:p>
          <w:p>
            <w:pPr>
              <w:pStyle w:val="null3"/>
            </w:pPr>
            <w:r>
              <w:rPr>
                <w:rFonts w:ascii="仿宋_GB2312" w:hAnsi="仿宋_GB2312" w:cs="仿宋_GB2312" w:eastAsia="仿宋_GB2312"/>
                <w:sz w:val="24"/>
              </w:rPr>
              <w:t>当前，伴随单位业务的推进和体量的不断壮大，资产规模持续攀升，为切实保障资产管理工作的科学性、规范性与高效性，</w:t>
            </w:r>
            <w:r>
              <w:rPr>
                <w:rFonts w:ascii="仿宋_GB2312" w:hAnsi="仿宋_GB2312" w:cs="仿宋_GB2312" w:eastAsia="仿宋_GB2312"/>
                <w:sz w:val="24"/>
              </w:rPr>
              <w:t>我</w:t>
            </w:r>
            <w:r>
              <w:rPr>
                <w:rFonts w:ascii="仿宋_GB2312" w:hAnsi="仿宋_GB2312" w:cs="仿宋_GB2312" w:eastAsia="仿宋_GB2312"/>
                <w:sz w:val="24"/>
              </w:rPr>
              <w:t>单位决定启动资产清查</w:t>
            </w:r>
            <w:r>
              <w:rPr>
                <w:rFonts w:ascii="仿宋_GB2312" w:hAnsi="仿宋_GB2312" w:cs="仿宋_GB2312" w:eastAsia="仿宋_GB2312"/>
                <w:sz w:val="24"/>
              </w:rPr>
              <w:t>及赋码服务</w:t>
            </w:r>
            <w:r>
              <w:rPr>
                <w:rFonts w:ascii="仿宋_GB2312" w:hAnsi="仿宋_GB2312" w:cs="仿宋_GB2312" w:eastAsia="仿宋_GB2312"/>
                <w:sz w:val="24"/>
              </w:rPr>
              <w:t>专项工作。</w:t>
            </w:r>
            <w:r>
              <w:rPr>
                <w:rFonts w:ascii="仿宋_GB2312" w:hAnsi="仿宋_GB2312" w:cs="仿宋_GB2312" w:eastAsia="仿宋_GB2312"/>
                <w:sz w:val="24"/>
              </w:rPr>
              <w:t>此项目</w:t>
            </w:r>
            <w:r>
              <w:rPr>
                <w:rFonts w:ascii="仿宋_GB2312" w:hAnsi="仿宋_GB2312" w:cs="仿宋_GB2312" w:eastAsia="仿宋_GB2312"/>
                <w:sz w:val="24"/>
              </w:rPr>
              <w:t>致力于打造</w:t>
            </w:r>
            <w:r>
              <w:rPr>
                <w:rFonts w:ascii="仿宋_GB2312" w:hAnsi="仿宋_GB2312" w:cs="仿宋_GB2312" w:eastAsia="仿宋_GB2312"/>
                <w:sz w:val="24"/>
              </w:rPr>
              <w:t>"账账相符、账实相符、账卡相符"的账实平衡体系，从根本上杜绝资产冗余挤占编制</w:t>
            </w:r>
            <w:r>
              <w:rPr>
                <w:rFonts w:ascii="仿宋_GB2312" w:hAnsi="仿宋_GB2312" w:cs="仿宋_GB2312" w:eastAsia="仿宋_GB2312"/>
                <w:sz w:val="24"/>
              </w:rPr>
              <w:t>、实物资产账外流失</w:t>
            </w:r>
            <w:r>
              <w:rPr>
                <w:rFonts w:ascii="仿宋_GB2312" w:hAnsi="仿宋_GB2312" w:cs="仿宋_GB2312" w:eastAsia="仿宋_GB2312"/>
                <w:sz w:val="24"/>
              </w:rPr>
              <w:t>等隐患，并为新系统资产台账的精准录入提供可靠的数据支撑，从而为资产的循环高效利用保驾护航，最终达成资产账务、实物、动态二维码标签、数据一体化贯通。</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（一）全域资产盘查</w:t>
            </w:r>
          </w:p>
          <w:p>
            <w:pPr>
              <w:pStyle w:val="null3"/>
              <w:jc w:val="both"/>
            </w:pPr>
            <w:r>
              <w:rPr>
                <w:rFonts w:ascii="仿宋_GB2312" w:hAnsi="仿宋_GB2312" w:cs="仿宋_GB2312" w:eastAsia="仿宋_GB2312"/>
                <w:sz w:val="24"/>
              </w:rPr>
              <w:t>实施范围：覆盖全局</w:t>
            </w:r>
            <w:r>
              <w:rPr>
                <w:rFonts w:ascii="仿宋_GB2312" w:hAnsi="仿宋_GB2312" w:cs="仿宋_GB2312" w:eastAsia="仿宋_GB2312"/>
                <w:sz w:val="24"/>
              </w:rPr>
              <w:t>21个科所队，共计约16000余台件资产。</w:t>
            </w:r>
          </w:p>
          <w:p>
            <w:pPr>
              <w:pStyle w:val="null3"/>
              <w:jc w:val="both"/>
            </w:pPr>
            <w:r>
              <w:rPr>
                <w:rFonts w:ascii="仿宋_GB2312" w:hAnsi="仿宋_GB2312" w:cs="仿宋_GB2312" w:eastAsia="仿宋_GB2312"/>
                <w:sz w:val="24"/>
              </w:rPr>
              <w:t>基准时点：以</w:t>
            </w:r>
            <w:r>
              <w:rPr>
                <w:rFonts w:ascii="仿宋_GB2312" w:hAnsi="仿宋_GB2312" w:cs="仿宋_GB2312" w:eastAsia="仿宋_GB2312"/>
                <w:sz w:val="24"/>
              </w:rPr>
              <w:t>2025年12月31日为基准日。</w:t>
            </w:r>
          </w:p>
          <w:p>
            <w:pPr>
              <w:pStyle w:val="null3"/>
              <w:jc w:val="both"/>
            </w:pPr>
            <w:r>
              <w:rPr>
                <w:rFonts w:ascii="仿宋_GB2312" w:hAnsi="仿宋_GB2312" w:cs="仿宋_GB2312" w:eastAsia="仿宋_GB2312"/>
                <w:sz w:val="24"/>
              </w:rPr>
              <w:t>（二）资产台账录入并数据治理</w:t>
            </w:r>
          </w:p>
          <w:p>
            <w:pPr>
              <w:pStyle w:val="null3"/>
            </w:pPr>
            <w:r>
              <w:rPr>
                <w:rFonts w:ascii="仿宋_GB2312" w:hAnsi="仿宋_GB2312" w:cs="仿宋_GB2312" w:eastAsia="仿宋_GB2312"/>
                <w:sz w:val="24"/>
              </w:rPr>
              <w:t>完成资产账账务梳理，逐条以卡片的形式录入财政云</w:t>
            </w:r>
            <w:r>
              <w:rPr>
                <w:rFonts w:ascii="仿宋_GB2312" w:hAnsi="仿宋_GB2312" w:cs="仿宋_GB2312" w:eastAsia="仿宋_GB2312"/>
                <w:sz w:val="24"/>
              </w:rPr>
              <w:t>“资产管理”模块。同时修正约16000条资产卡片信息，根据清查盘点结果对我单位资产系统数据进行逐条完善、修正和更新，将资产落实到人。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技术要求</w:t>
            </w:r>
          </w:p>
          <w:p>
            <w:pPr>
              <w:pStyle w:val="null3"/>
            </w:pPr>
            <w:r>
              <w:rPr>
                <w:rFonts w:ascii="仿宋_GB2312" w:hAnsi="仿宋_GB2312" w:cs="仿宋_GB2312" w:eastAsia="仿宋_GB2312"/>
                <w:sz w:val="24"/>
              </w:rPr>
              <w:t>拥有</w:t>
            </w:r>
            <w:r>
              <w:rPr>
                <w:rFonts w:ascii="仿宋_GB2312" w:hAnsi="仿宋_GB2312" w:cs="仿宋_GB2312" w:eastAsia="仿宋_GB2312"/>
                <w:sz w:val="24"/>
              </w:rPr>
              <w:t>成熟的资产清查采集操作系统</w:t>
            </w:r>
            <w:r>
              <w:rPr>
                <w:rFonts w:ascii="仿宋_GB2312" w:hAnsi="仿宋_GB2312" w:cs="仿宋_GB2312" w:eastAsia="仿宋_GB2312"/>
                <w:sz w:val="24"/>
              </w:rPr>
              <w:t>及</w:t>
            </w:r>
            <w:r>
              <w:rPr>
                <w:rFonts w:ascii="仿宋_GB2312" w:hAnsi="仿宋_GB2312" w:cs="仿宋_GB2312" w:eastAsia="仿宋_GB2312"/>
                <w:sz w:val="24"/>
              </w:rPr>
              <w:t>动态刷新</w:t>
            </w:r>
            <w:r>
              <w:rPr>
                <w:rFonts w:ascii="仿宋_GB2312" w:hAnsi="仿宋_GB2312" w:cs="仿宋_GB2312" w:eastAsia="仿宋_GB2312"/>
                <w:sz w:val="24"/>
              </w:rPr>
              <w:t>标签制作技术能力</w:t>
            </w:r>
            <w:r>
              <w:rPr>
                <w:rFonts w:ascii="仿宋_GB2312" w:hAnsi="仿宋_GB2312" w:cs="仿宋_GB2312" w:eastAsia="仿宋_GB2312"/>
                <w:sz w:val="24"/>
              </w:rPr>
              <w:t>（以上两项均需提供著作权证书和成熟案例）</w:t>
            </w:r>
            <w:r>
              <w:rPr>
                <w:rFonts w:ascii="仿宋_GB2312" w:hAnsi="仿宋_GB2312" w:cs="仿宋_GB2312" w:eastAsia="仿宋_GB2312"/>
                <w:sz w:val="24"/>
              </w:rPr>
              <w:t>、熟悉国家资产管理相关政策、熟练操作陕西财政云预算管理一体化资产管理系统。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本项目需设立科学的清查组织机构，配备不少于6名专业工作人员，并进行合理分工。</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为本项目配置工作必须的笔记本电脑、清查采集平板、二维码打印机等有关设备。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 1.彻底解决账账、账卡、账实不符问题 2.全盘梳理实物使用状况 3.全面治理资产系统数据（按照财政文件资产数据治理要求） 4.报废资产得到及时处置（报废处置审批时间不固定） 5.资产赋码工作 6.资产数据的详细归纳 7.出具资产清查工作报告 （一）进度要求 合同生效后5个月内完成全流程服务，项目实施遵循“谁使用、谁负责、谁清查”和“以账查物、以物对账、不重不漏”的实施原则进行，需按照准备阶段、实施阶段、汇总阶段等分步详细制定时间表和任务书。 （二）成果交付要求 1、实现账账、账实、账卡相符，确保资产信息的准确性与一致性。 2、资产系统数据达到完整、准确、规范的标准，为资产管理提供可靠的数据支持。 3、所有资产均完成逐一赋码并张贴资产大卡，构建完善的资产标识与管理体系。 4、项目完结后，供应商需提供部门实物表、实物总表、账实相符表、盘亏表、盘盈表、待报废资产表、资产情况分析表等详细的各类资产数据及报表，全面呈现项目清查成果。 5、提交固定资产清查后的文字报告，清晰、详尽地记录本年度资产清查工作从立项、实施到验收的全过程，内容涵盖资产账实相符、盘亏、盘盈、毁损、闲置、处置计划等关键信息。 6、结合固定资产清查结果，提出具有针对性、可操作性的改进建议，为资产管理工作的持续优化提供有力保障。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保密承诺书 报价表 技术和商务偏离表 响应文件封面 资格证明文件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保密承诺书 报价表 技术和商务偏离表 响应文件封面 资格证明文件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保密承诺书</w:t>
            </w:r>
          </w:p>
        </w:tc>
        <w:tc>
          <w:tcPr>
            <w:tcW w:type="dxa" w:w="3322"/>
          </w:tcPr>
          <w:p>
            <w:pPr>
              <w:pStyle w:val="null3"/>
            </w:pPr>
            <w:r>
              <w:rPr>
                <w:rFonts w:ascii="仿宋_GB2312" w:hAnsi="仿宋_GB2312" w:cs="仿宋_GB2312" w:eastAsia="仿宋_GB2312"/>
              </w:rPr>
              <w:t>供应商需要提交保密承诺书（格式后附）</w:t>
            </w:r>
          </w:p>
        </w:tc>
        <w:tc>
          <w:tcPr>
            <w:tcW w:type="dxa" w:w="1661"/>
          </w:tcPr>
          <w:p>
            <w:pPr>
              <w:pStyle w:val="null3"/>
            </w:pPr>
            <w:r>
              <w:rPr>
                <w:rFonts w:ascii="仿宋_GB2312" w:hAnsi="仿宋_GB2312" w:cs="仿宋_GB2312" w:eastAsia="仿宋_GB2312"/>
              </w:rPr>
              <w:t>保密承诺书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中小企业声明函 保密承诺书 报价表 技术和商务偏离表 响应文件封面 资格证明文件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供应商需针对本项目提供完整的项目服务方案。内容包含①项目理解②项目重难点分析③项目服务工作计划④服务流程及管理⑤进度保障措施。 二、评审标准 1、完整性:方案须全面，对评审内容中的各项要求描述详细； 2、可实施性:切合本项目实际情况，实施步骤清晰、合理； 3、针对性:方案能够紧扣项目实际情况，内容科学合理。 三、赋分依据(满分24分) ①项目理解:每完全满足一个评审标准得1分，满分3分； ②项目重难点分析:每完全满足一个评审标准得1分，满分3分； ③)项目服务工作计划:每完全满足一个评审标准得2分，满分6分； ④服务流程及管理:每完全满足一个评审标准得2分，满分6分； ⑤进度保障措施:每完全满足一个评审标准得2分，满分6分。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一、评审内容 供应商需针对本项目提供保密管理方案。内容包含①保密制度②人员管理③从管理、人员、技术等各个方面，全面保证采购人数据及相关信息不泄密，并提供保密承诺。 二、评审标准 1、完整性:方案须全面，对评审内容中的各项要求描述详细； 2、可实施性:切合本项目实际情况，实施步骤清晰、合理； 3、针对性:方案能够紧扣项目实际情况，内容科学合理。 三、赋分依据(满分9分) ①保密制度:每完全满足一个评审标准得1分，满分3分； ②人员管理:每完全满足一个评审标准得1分，满分3分； ③从管理、人员、技术等各个方面，全面保证采购人数据及相关信息不泄密，并提供保密承诺:每完全满足一个评审标准得1分，满分3分。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供应商需针对本项目提供质量保障措施方案。内容包含①质量控制自查措施②质量控制及验收方案。 二、评审标准 1、完整性:方案须全面，对评审内容中的各项要求描述详细； 2、可实施性:切合本项目实际情况，实施步骤清晰、合理； 3、针对性:方案能够紧扣项目实际情况，内容科学合理。 三、赋分依据(满分6分) ①质量控制自查措施:每完全满足一个评审标准得1分，满分3分； ②质量控制及验收方案:每完全满足一个评审标准得1分，满分3分。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针对本项目提供拟投入的设备清单、证明材料、设备图片、设备与资产系统对接等方面内容，评审专家根据设备响应情况进行赋分需提供①设备清单②证明材料③设备图片④设备与资产系统对接。 二、评审标准 1、完整性:方案须全面，对评审内容中的各项要求描述详细； 2、可实施性:切合本项目实际情况，实施步骤清晰、合理； 3、针对性:方案能够紧扣项目实际情况，内容科学合理。 三、赋分依据(满分12分) ①设备清单:每完全满足一个评审标准得1分，满分3分； ②证明材料:每完全满足一个评审标准得1分，满分3分； ③设备图片:每完全满足一个评审标准得1分，满分3分； ④设备与资产系统对接:每完全满足一个评审标准得1分，满分3分。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供应商需针对本项目提供档案管理方案。内容包含①档案资料管理措施②移交工作制度。 二、评审标准 1、完整性:方案须全面，对评审内容中的各项要求描述详细； 2、可实施性:切合本项目实际情况，实施步骤清晰、合理； 3、针对性:方案能够紧扣项目实际情况，内容科学合理。 三、赋分依据(满分6分) ①档案资料管理措施:每完全满足一个评审标准得1分，满分3分； ②移交工作制度:每完全满足一个评审标准得1分，满分3分。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本科及以上学历且有3年类似项目服务管理经验得2分，每增加一年服务管理经验额外增加1分，最多可加3分。不提供不得分。（提供相应的证明材料及2026年1月以来拟派人员在本单位缴纳任意一个月社保缴纳证明或劳动合同，未提供或有遗漏的不计入相应分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 供应商需针对本项目项目团队配备方案。内容包含①拟派项目组成员结构②岗位职责及分工。 二、评审标准 1、完整性:方案须全面，对评审内容中的各项要求描述详细； 2、可实施性:切合本项目实际情况，实施步骤清晰、合理； 3、针对性:方案能够紧扣项目实际情况，内容科学合理。 三、赋分依据(满分6分) ①拟派项目组成员结构:每完全满足一个评审标准得1分，满分3分； ②岗位职责及分工:每完全满足一个评审标准得1分，满分3分。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供应商需针对本项目提供管理制度。内容包含①日常管理制度；②考勤制度；③考核制度；④奖惩制度。 二、评审标准 1、完整性:方案须全面，对评审内容中的各项要求描述详细； 2、可实施性:切合本项目实际情况，实施步骤清晰、合理； 3、针对性:方案能够紧扣项目实际情况，内容科学合理。 三、赋分依据(满分12分) ①日常管理制度:每完全满足一个评审标准得1分，满分3分； ②考勤制度:每完全满足一个评审标准得1分，满分3分； ③考核制度:每完全满足一个评审标准得1分，满分3分； ④奖惩制度:每完全满足一个评审标准得1分，满分3分。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全面、目标明确且完全符合本项目采购要求得2分。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供应商2023年1月至响应文件递交截止日类似项目业绩（以合同复印件为准），每提供一份业绩得2分，最高得8分。若提供虚假业绩，一经发现，按无效磋商处理。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详见附件：保密承诺书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详见附件：保密承诺书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