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版本号：【KRDL】K1-260407420260604001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南院1000KVA箱变安装工程项目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【KRDL】K1-2604074</w:t>
      </w:r>
      <w:r>
        <w:br/>
      </w:r>
      <w:r>
        <w:br/>
      </w:r>
      <w:r>
        <w:br/>
      </w:r>
    </w:p>
    <w:p>
      <w:pPr>
        <w:pStyle w:val="null3"/>
        <w:jc w:val="center"/>
        <w:outlineLvl w:val="2"/>
      </w:pPr>
      <w:r>
        <w:rPr>
          <w:rFonts w:ascii="仿宋_GB2312" w:hAnsi="仿宋_GB2312" w:cs="仿宋_GB2312" w:eastAsia="仿宋_GB2312"/>
          <w:sz w:val="28"/>
          <w:b/>
        </w:rPr>
        <w:t>陕西财经职业技术学院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陕西财经职业技术学院</w:t>
      </w:r>
      <w:r>
        <w:rPr>
          <w:rFonts w:ascii="仿宋_GB2312" w:hAnsi="仿宋_GB2312" w:cs="仿宋_GB2312" w:eastAsia="仿宋_GB2312"/>
        </w:rPr>
        <w:t>委托，拟对</w:t>
      </w:r>
      <w:r>
        <w:rPr>
          <w:rFonts w:ascii="仿宋_GB2312" w:hAnsi="仿宋_GB2312" w:cs="仿宋_GB2312" w:eastAsia="仿宋_GB2312"/>
        </w:rPr>
        <w:t>南院1000KVA箱变安装工程项目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【KRDL】K1-2604074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南院1000KVA箱变安装工程项目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提升南院电力供应容量与稳定性，满足新增教学实训设施的用电需求，保障教学、办公及师生生活用电安全可靠，为学院人才培养工作提供坚实的电力保障，需将现有的200KVA变压器更换为1000KVA。具体内容详见磋商文件、图纸和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采购包1（南院1000KVA箱变安装工程项目）：属于专门面向中小企业采购。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1、主体资格：供应商为向采购人提供工程及配套服务的法人或其他组织；</w:t>
      </w:r>
    </w:p>
    <w:p>
      <w:pPr>
        <w:pStyle w:val="null3"/>
      </w:pPr>
      <w:r>
        <w:rPr>
          <w:rFonts w:ascii="仿宋_GB2312" w:hAnsi="仿宋_GB2312" w:cs="仿宋_GB2312" w:eastAsia="仿宋_GB2312"/>
        </w:rPr>
        <w:t>2、企业信用查询：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3、资质证书：供应商具备建设行政主管部门颁发的输变电工程专业承包三级及以上资质；且具有承装（修、试）电力设施许可证三级及以上资质，同时具备有效的安全生产许可证，并在人员、设备、资金等方面具备相应的能力；</w:t>
      </w:r>
    </w:p>
    <w:p>
      <w:pPr>
        <w:pStyle w:val="null3"/>
      </w:pPr>
      <w:r>
        <w:rPr>
          <w:rFonts w:ascii="仿宋_GB2312" w:hAnsi="仿宋_GB2312" w:cs="仿宋_GB2312" w:eastAsia="仿宋_GB2312"/>
        </w:rPr>
        <w:t>4、项目经理：拟派项目经理应具备机电工程专业二级（含）以上注册建造师执业资格及合法有效的安全生产考核合格证（安全B证），在本单位注册且无在建工程；</w:t>
      </w:r>
    </w:p>
    <w:p>
      <w:pPr>
        <w:pStyle w:val="null3"/>
      </w:pPr>
      <w:r>
        <w:rPr>
          <w:rFonts w:ascii="仿宋_GB2312" w:hAnsi="仿宋_GB2312" w:cs="仿宋_GB2312" w:eastAsia="仿宋_GB2312"/>
        </w:rPr>
        <w:t>5、其他要求：供应商及其拟派项目经理须在“陕西省住房和城乡建设厅”官方网站可查询；如供应商为外省进陕企业，还须同时提供“陕西省住房和城乡建设厅”官网企业库外省进陕施工企业信息首页截图；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陕西财经职业技术学院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陕西省咸阳市秦都区文林路1号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029-33732421、029-33732426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彭熠豪、王昭、姚瑶、刘昆、张晨、代光艳、王森、靳祥德、成荔、彭明杨、王莉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029-89569197、15667250842、18740707410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采购包1：552,353.01元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发改革颁发的《关于招标代理服务收费有关问题的通知》（发改办价格[2003] 857号）的有关规定，不足5000.00元按5000.00元计取向采购代理机构一次付清代理服务费。 备注：供应商在缴纳服务费时请备注项目编号+采购代理服务费。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陕西财经职业技术学院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陕西财经职业技术学院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陕西财经职业技术学院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联系人：彭熠豪 王昭</w:t>
      </w:r>
    </w:p>
    <w:p>
      <w:pPr>
        <w:pStyle w:val="null3"/>
      </w:pPr>
      <w:r>
        <w:rPr>
          <w:rFonts w:ascii="仿宋_GB2312" w:hAnsi="仿宋_GB2312" w:cs="仿宋_GB2312" w:eastAsia="仿宋_GB2312"/>
        </w:rPr>
        <w:t>联系电话：18628498019</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552,353.01</w:t>
      </w:r>
    </w:p>
    <w:p>
      <w:pPr>
        <w:pStyle w:val="null3"/>
      </w:pPr>
      <w:r>
        <w:rPr>
          <w:rFonts w:ascii="仿宋_GB2312" w:hAnsi="仿宋_GB2312" w:cs="仿宋_GB2312" w:eastAsia="仿宋_GB2312"/>
        </w:rPr>
        <w:t>采购包最高限价（元）: 552,353.01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552,353.01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rPr>
              <w:t>本项目为学院后勤保障类建设项目，核心是更换南院老旧</w:t>
            </w:r>
            <w:r>
              <w:rPr>
                <w:rFonts w:ascii="仿宋_GB2312" w:hAnsi="仿宋_GB2312" w:cs="仿宋_GB2312" w:eastAsia="仿宋_GB2312"/>
              </w:rPr>
              <w:t>200KVA 变压器，安装1000KVA 箱式变压器并敷设配套低压电缆。项目建成后将把南院电力容量提升至 1000KVA，满足中西面点实训综合体、无人机实训室新增教学用电需求，同时保障办公、宿舍等区域现有用电。施工需在南院西北侧原200KVA变压器位置开展，施工中需保障校区正常供电，避免影响教学办公。变压器需选用 S13-1000KVA 油浸式节能型，符合国家电力设备安全及节能标准；低压电缆为 YJV22-4*120+1*70 型号，敷设长度 173 米。完成设备拆除、基础浇筑、安装调试全流程，确保项目验收后可直接投入使用。</w:t>
            </w:r>
          </w:p>
          <w:p>
            <w:pPr>
              <w:pStyle w:val="null3"/>
              <w:ind w:firstLine="480"/>
            </w:pPr>
            <w:r>
              <w:rPr>
                <w:rFonts w:ascii="仿宋_GB2312" w:hAnsi="仿宋_GB2312" w:cs="仿宋_GB2312" w:eastAsia="仿宋_GB2312"/>
              </w:rPr>
              <w:t>拆除南院现有</w:t>
            </w:r>
            <w:r>
              <w:rPr>
                <w:rFonts w:ascii="仿宋_GB2312" w:hAnsi="仿宋_GB2312" w:cs="仿宋_GB2312" w:eastAsia="仿宋_GB2312"/>
              </w:rPr>
              <w:t>200KVA 变压器及配套设施，浇筑 1000KVA 箱变基础，采购并安装 S13-1000KVA 油浸式箱式变压器，并敷设 173 米</w:t>
            </w:r>
            <w:r>
              <w:rPr>
                <w:rFonts w:ascii="仿宋_GB2312" w:hAnsi="仿宋_GB2312" w:cs="仿宋_GB2312" w:eastAsia="仿宋_GB2312"/>
              </w:rPr>
              <w:t>YJV22-4*120+1*70 型号</w:t>
            </w:r>
            <w:r>
              <w:rPr>
                <w:rFonts w:ascii="仿宋_GB2312" w:hAnsi="仿宋_GB2312" w:cs="仿宋_GB2312" w:eastAsia="仿宋_GB2312"/>
              </w:rPr>
              <w:t xml:space="preserve"> </w:t>
            </w:r>
            <w:r>
              <w:rPr>
                <w:rFonts w:ascii="仿宋_GB2312" w:hAnsi="仿宋_GB2312" w:cs="仿宋_GB2312" w:eastAsia="仿宋_GB2312"/>
              </w:rPr>
              <w:t>低压电缆，含向供电局办理增容手续以及后续相关验收、设备安装、调试及整体项目验收等相关服务。</w:t>
            </w:r>
          </w:p>
          <w:p>
            <w:pPr>
              <w:pStyle w:val="null3"/>
              <w:ind w:firstLine="480"/>
            </w:pPr>
            <w:r>
              <w:rPr>
                <w:rFonts w:ascii="仿宋_GB2312" w:hAnsi="仿宋_GB2312" w:cs="仿宋_GB2312" w:eastAsia="仿宋_GB2312"/>
              </w:rPr>
              <w:t>技术规格：</w:t>
            </w:r>
          </w:p>
          <w:p>
            <w:pPr>
              <w:pStyle w:val="null3"/>
              <w:ind w:firstLine="480"/>
            </w:pPr>
            <w:r>
              <w:rPr>
                <w:rFonts w:ascii="仿宋_GB2312" w:hAnsi="仿宋_GB2312" w:cs="仿宋_GB2312" w:eastAsia="仿宋_GB2312"/>
              </w:rPr>
              <w:t>1.变压器：采用 S13-1000KVA 油浸式箱式变压器，额定容量 1000KVA。</w:t>
            </w:r>
          </w:p>
          <w:p>
            <w:pPr>
              <w:pStyle w:val="null3"/>
              <w:ind w:firstLine="480"/>
            </w:pPr>
            <w:r>
              <w:rPr>
                <w:rFonts w:ascii="仿宋_GB2312" w:hAnsi="仿宋_GB2312" w:cs="仿宋_GB2312" w:eastAsia="仿宋_GB2312"/>
              </w:rPr>
              <w:t>2.低压电缆：规格为 YJV22-4*120+1*70，阻燃、抗腐蚀，敷设总长度 173 米，满足户外地下敷设技术要求。</w:t>
            </w:r>
          </w:p>
          <w:p>
            <w:pPr>
              <w:pStyle w:val="null3"/>
              <w:ind w:firstLine="480"/>
            </w:pPr>
            <w:r>
              <w:rPr>
                <w:rFonts w:ascii="仿宋_GB2312" w:hAnsi="仿宋_GB2312" w:cs="仿宋_GB2312" w:eastAsia="仿宋_GB2312"/>
              </w:rPr>
              <w:t>3.基础工程：箱变基础为混凝土浇筑，尺寸及深度匹配1000KVA 箱变安装要求，做好防腐、接地处理，接地电阻符合国家电力工程规范。</w:t>
            </w:r>
          </w:p>
          <w:p>
            <w:pPr>
              <w:pStyle w:val="null3"/>
              <w:ind w:firstLine="480"/>
            </w:pPr>
            <w:r>
              <w:rPr>
                <w:rFonts w:ascii="仿宋_GB2312" w:hAnsi="仿宋_GB2312" w:cs="仿宋_GB2312" w:eastAsia="仿宋_GB2312"/>
              </w:rPr>
              <w:t>4.参数：</w:t>
            </w:r>
          </w:p>
          <w:p>
            <w:pPr>
              <w:pStyle w:val="null3"/>
              <w:ind w:firstLine="480"/>
            </w:pPr>
            <w:r>
              <w:rPr>
                <w:rFonts w:ascii="仿宋_GB2312" w:hAnsi="仿宋_GB2312" w:cs="仿宋_GB2312" w:eastAsia="仿宋_GB2312"/>
              </w:rPr>
              <w:t>1.箱变基础规格：1000KVA，2.5m*5.5m*3.5m</w:t>
            </w:r>
          </w:p>
          <w:p>
            <w:pPr>
              <w:pStyle w:val="null3"/>
              <w:ind w:firstLine="480"/>
            </w:pPr>
            <w:r>
              <w:rPr>
                <w:rFonts w:ascii="仿宋_GB2312" w:hAnsi="仿宋_GB2312" w:cs="仿宋_GB2312" w:eastAsia="仿宋_GB2312"/>
              </w:rPr>
              <w:t>2.砖品种、规格、强度等级:防水水泥 砂浆抹面</w:t>
            </w:r>
          </w:p>
          <w:p>
            <w:pPr>
              <w:pStyle w:val="null3"/>
              <w:ind w:firstLine="480"/>
            </w:pPr>
            <w:r>
              <w:rPr>
                <w:rFonts w:ascii="仿宋_GB2312" w:hAnsi="仿宋_GB2312" w:cs="仿宋_GB2312" w:eastAsia="仿宋_GB2312"/>
              </w:rPr>
              <w:t>3.基础类型:240mm 条形基础</w:t>
            </w:r>
          </w:p>
          <w:p>
            <w:pPr>
              <w:pStyle w:val="null3"/>
              <w:ind w:firstLine="480"/>
            </w:pPr>
            <w:r>
              <w:rPr>
                <w:rFonts w:ascii="仿宋_GB2312" w:hAnsi="仿宋_GB2312" w:cs="仿宋_GB2312" w:eastAsia="仿宋_GB2312"/>
              </w:rPr>
              <w:t>4.基础深度:3.5M</w:t>
            </w:r>
          </w:p>
          <w:p>
            <w:pPr>
              <w:pStyle w:val="null3"/>
              <w:ind w:firstLine="480"/>
            </w:pPr>
            <w:r>
              <w:rPr>
                <w:rFonts w:ascii="仿宋_GB2312" w:hAnsi="仿宋_GB2312" w:cs="仿宋_GB2312" w:eastAsia="仿宋_GB2312"/>
              </w:rPr>
              <w:t>5.砂浆强度等级:M5</w:t>
            </w:r>
          </w:p>
          <w:p>
            <w:pPr>
              <w:pStyle w:val="null3"/>
              <w:ind w:firstLine="480"/>
            </w:pPr>
            <w:r>
              <w:rPr>
                <w:rFonts w:ascii="仿宋_GB2312" w:hAnsi="仿宋_GB2312" w:cs="仿宋_GB2312" w:eastAsia="仿宋_GB2312"/>
              </w:rPr>
              <w:t>6.集水坑:1:2防水砂浆抹面，厚20mm</w:t>
            </w:r>
          </w:p>
          <w:p>
            <w:pPr>
              <w:pStyle w:val="null3"/>
              <w:ind w:firstLine="480"/>
            </w:pPr>
            <w:r>
              <w:rPr>
                <w:rFonts w:ascii="仿宋_GB2312" w:hAnsi="仿宋_GB2312" w:cs="仿宋_GB2312" w:eastAsia="仿宋_GB2312"/>
              </w:rPr>
              <w:t>7.3:7灰土垫层:3:7灰土</w:t>
            </w:r>
          </w:p>
          <w:p>
            <w:pPr>
              <w:pStyle w:val="null3"/>
              <w:ind w:firstLine="480"/>
            </w:pPr>
            <w:r>
              <w:rPr>
                <w:rFonts w:ascii="仿宋_GB2312" w:hAnsi="仿宋_GB2312" w:cs="仿宋_GB2312" w:eastAsia="仿宋_GB2312"/>
              </w:rPr>
              <w:t>8.混凝土垫层:混凝土强度 C15</w:t>
            </w:r>
          </w:p>
          <w:p>
            <w:pPr>
              <w:pStyle w:val="null3"/>
              <w:ind w:firstLine="480"/>
            </w:pPr>
            <w:r>
              <w:rPr>
                <w:rFonts w:ascii="仿宋_GB2312" w:hAnsi="仿宋_GB2312" w:cs="仿宋_GB2312" w:eastAsia="仿宋_GB2312"/>
              </w:rPr>
              <w:t>9.通风窗:400mm*200mm</w:t>
            </w:r>
          </w:p>
          <w:p>
            <w:pPr>
              <w:pStyle w:val="null3"/>
              <w:ind w:firstLine="480"/>
            </w:pPr>
            <w:r>
              <w:rPr>
                <w:rFonts w:ascii="仿宋_GB2312" w:hAnsi="仿宋_GB2312" w:cs="仿宋_GB2312" w:eastAsia="仿宋_GB2312"/>
              </w:rPr>
              <w:t>服务要求：</w:t>
            </w:r>
          </w:p>
          <w:p>
            <w:pPr>
              <w:pStyle w:val="null3"/>
              <w:ind w:firstLine="480"/>
            </w:pPr>
            <w:r>
              <w:rPr>
                <w:rFonts w:ascii="仿宋_GB2312" w:hAnsi="仿宋_GB2312" w:cs="仿宋_GB2312" w:eastAsia="仿宋_GB2312"/>
              </w:rPr>
              <w:t>施工服务：组建专业施工团队，先拆除原有</w:t>
            </w:r>
            <w:r>
              <w:rPr>
                <w:rFonts w:ascii="仿宋_GB2312" w:hAnsi="仿宋_GB2312" w:cs="仿宋_GB2312" w:eastAsia="仿宋_GB2312"/>
              </w:rPr>
              <w:t>200KVA 变压器及变压器室、板房等配套设施，清理现场；再按要求完成基础浇筑、设备吊装安装、电缆地下敷设，施工中需采取防护措施，不破坏校区现有建筑、绿化及设施，且保障校区正常供电。</w:t>
            </w:r>
          </w:p>
          <w:p>
            <w:pPr>
              <w:pStyle w:val="null3"/>
              <w:ind w:firstLine="480"/>
            </w:pPr>
            <w:r>
              <w:rPr>
                <w:rFonts w:ascii="仿宋_GB2312" w:hAnsi="仿宋_GB2312" w:cs="仿宋_GB2312" w:eastAsia="仿宋_GB2312"/>
              </w:rPr>
              <w:t>调试服务：设备安装完成后，供应商负责进行单机调试、系统联动调试，测试变压器运行参数、电缆绝缘性能等指标，确保设备及线路运行正常。</w:t>
            </w:r>
          </w:p>
          <w:p>
            <w:pPr>
              <w:pStyle w:val="null3"/>
              <w:ind w:firstLine="480"/>
            </w:pPr>
            <w:r>
              <w:rPr>
                <w:rFonts w:ascii="仿宋_GB2312" w:hAnsi="仿宋_GB2312" w:cs="仿宋_GB2312" w:eastAsia="仿宋_GB2312"/>
              </w:rPr>
              <w:t>技术服务：供应商需提供设备使用操作指导，交付设备相关合格证书、检测报告、使用说明书等全套资料。</w:t>
            </w:r>
          </w:p>
          <w:p>
            <w:pPr>
              <w:pStyle w:val="null3"/>
              <w:ind w:firstLine="480"/>
            </w:pPr>
            <w:r>
              <w:rPr>
                <w:rFonts w:ascii="仿宋_GB2312" w:hAnsi="仿宋_GB2312" w:cs="仿宋_GB2312" w:eastAsia="仿宋_GB2312"/>
              </w:rPr>
              <w:t>验收要求：</w:t>
            </w:r>
          </w:p>
          <w:p>
            <w:pPr>
              <w:pStyle w:val="null3"/>
              <w:ind w:firstLine="480"/>
            </w:pPr>
            <w:r>
              <w:rPr>
                <w:rFonts w:ascii="仿宋_GB2312" w:hAnsi="仿宋_GB2312" w:cs="仿宋_GB2312" w:eastAsia="仿宋_GB2312"/>
              </w:rPr>
              <w:t>资料验收：供应商需提交项目施工资料、设备合格证书、检测报告、调试记录等全套资料，资料完整、规范、真实有效。</w:t>
            </w:r>
          </w:p>
          <w:p>
            <w:pPr>
              <w:pStyle w:val="null3"/>
              <w:ind w:firstLine="480"/>
            </w:pPr>
            <w:r>
              <w:rPr>
                <w:rFonts w:ascii="仿宋_GB2312" w:hAnsi="仿宋_GB2312" w:cs="仿宋_GB2312" w:eastAsia="仿宋_GB2312"/>
              </w:rPr>
              <w:t>现场验收：拆除工作彻底，建筑垃圾清理完毕；箱变基础浇筑牢固、防腐接地达标；变压器安装固定规范，运行参数符合设计及国家规范；电缆敷设路径合理，连接牢固，绝缘性能达标。</w:t>
            </w:r>
          </w:p>
          <w:p>
            <w:pPr>
              <w:pStyle w:val="null3"/>
            </w:pPr>
            <w:r>
              <w:rPr>
                <w:rFonts w:ascii="仿宋_GB2312" w:hAnsi="仿宋_GB2312" w:cs="仿宋_GB2312" w:eastAsia="仿宋_GB2312"/>
              </w:rPr>
              <w:t>整体验收：由学院总务处、国资处等相关部门联合验收，设备及线路试运行无故障，能完全满足中西面点实训综合体、无人机实训室及南院现有区域用电需求，验收合格后方可交付使用。</w:t>
            </w:r>
          </w:p>
          <w:p>
            <w:pPr>
              <w:pStyle w:val="null3"/>
              <w:ind w:firstLine="480"/>
            </w:pPr>
            <w:r>
              <w:rPr>
                <w:rFonts w:ascii="仿宋_GB2312" w:hAnsi="仿宋_GB2312" w:cs="仿宋_GB2312" w:eastAsia="仿宋_GB2312"/>
                <w:sz w:val="20"/>
              </w:rPr>
              <w:t>工程现场施工完毕后</w:t>
            </w:r>
            <w:r>
              <w:rPr>
                <w:rFonts w:ascii="仿宋_GB2312" w:hAnsi="仿宋_GB2312" w:cs="仿宋_GB2312" w:eastAsia="仿宋_GB2312"/>
                <w:sz w:val="20"/>
              </w:rPr>
              <w:t>30日内，供应商（乙方） 须向甲方提交完整、规范的全套竣工图纸及配套技术资料。图纸内容需如实反映现场实际施工状况，满足项目验收、国网备案及后期运维使用要求。图纸包含但不限于：箱变一次系统图、二次接线图、保护原理图、平面布置图、接地系统图、电缆走向图等。图纸缺失、有误的，乙方负责无偿整改补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满足现行《建筑与市政工程施工质量控制通用规范》、国家、省、市、行业及项目所在地的强制性规范要求，同时满足合同的要求，质量验收合格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（一）质量保修期：整体工程质保2年，自验收合格之日起计算。 （二）供应商需提供项目所用材料的合格证明、检测报告。 （三）施工过程中需接受校方的质量抽查，不合格部分需无条件返工。 （四）隐蔽工程验收需提供影像资料及检测报告。 （五）质保期内出现质量问题，供应商需在1小时内响应，6小时内到场处理，若超过48小时未解决，校方有权委托第三方维修，费用从质保金中扣除。</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（（一）本项目最高投标限价：552353.01元，磋商报价不得超过此金额，否则视为无效投标。 （二）付款方式： 乙方须在约定的合同期限内完成安装工作。经甲方验收合格后，须由甲方审计部门对结算金额进行审计，并以审计确认的金额为最终价款。甲方按照审计决算总额的97%支付款项。 剩余3%作为质保金，2年质保期满无质量问题后一次性付清余款。 （三）本项目工期：总工期45天。若因校方原因或其它客观因素影响需暂停施工，工期按实际暂停天数顺延。 （四）工程地点：陕西财经职业技术学院南校区。 （五）合同价款形式：固定总价合同。 5.1本项目采用工程量清单计价，签订总价合同。投标人综合考虑发包人要求、项目工程内容、措施项目内容、项目存在的市场物价波动等各类风险及本项目拟签订合同中的有关约定，结合现场踏勘所掌握的情况，自行完善和补充工程量清单，自主填报已标价工程量清单及投标报价。所有投标报价中的单价、合价及总价均以人民币表示。 5.2投标人在投标报价时应仔细对招标文件进行透彻地分析研究，投标报价视为是完成本项目全部内容的价格，除合同另有约定外，不予调整。 5.3.措施项目费在报价时投标人可以按自身编制的施工方案、施工组织设计对措施项目清单进行补充、完善，自主填报金额、风险自负，合同履行期间不予调整。 5.4.投标人应当按照招标文件及工程量清单编制说明、最高投标限价编制说明等要求填报暂列金额、材料暂估价、专业工程暂估价，未按照要求的金额或内容填报的，按照无效投标处理（如有）。 计日工按照工程量清单及最高投标限价编制说明中列出的项目和数量自主填报综合单价、合价、投标报价（如有）。 总承包服务费按照工程量清单中列出的具体内容和要求自主计算费用（如有）。 优质工程增加费等内容按照招标文件及拟签订合同的内容，综合考虑在投标报价中，不再另行计取（如有）。 5.5.投标人可自行前往工地现场踏勘，以便充分了解工地位置、情况、道路、储存空间、装卸限制及人和其他足以影响承包价的情况，任何因投标人疏忽或误解工地情况而导致的索赔或工期延长申请将不被批准。凡因投标人对招标文件阅读疏忽或误解，或因对施工现场、施工环境、市场行情等了解不清而造成的后果和风险，均由投标人负责。 5.6.增值税和安全文明施工措施费属不可竞争费用，按照现行有关规定填报。 5.7.本工程施工过程中产生的所有建筑垃圾均须运至场外，有关费用在投标报价中综合考虑，招标人不再另行支付； 5.8.临时围挡的施工，承包人需按照发包人提供或确认的图纸进行施工，在投标报价中综合考虑，招标人不再另行支付，且在施工过程中承包人所做围挡应满足现场安全和相关部门的检查等。 5.9.本项目计价依据及标准详见工程量清单编制说明及最高投标限价编制说明。其他报价需要注意的事项以招标文件及拟签订合同中的要求为准。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设行政主管部门颁发的输变电工程专业承包三级及以上资质；且具有承装（修、试）电力设施许可证三级及以上资质，同时具备有效的安全生产许可证，并在人员、设备、资金等方面具备相应的能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拟派项目经理应具备机电工程专业二级（含）以上注册建造师执业资格及合法有效的安全生产考核合格证（安全B证），在本单位注册且无在建工程；</w:t>
            </w:r>
          </w:p>
        </w:tc>
        <w:tc>
          <w:tcPr>
            <w:tcW w:type="dxa" w:w="1661"/>
          </w:tcPr>
          <w:p>
            <w:pPr>
              <w:pStyle w:val="null3"/>
            </w:pPr>
            <w:r>
              <w:rPr>
                <w:rFonts w:ascii="仿宋_GB2312" w:hAnsi="仿宋_GB2312" w:cs="仿宋_GB2312" w:eastAsia="仿宋_GB2312"/>
              </w:rPr>
              <w:t>施工组织设计方案.docx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施工组织设计方案.docx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与营业执照、资质证书、安全生产许可证一致。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投标函签字盖章</w:t>
            </w:r>
          </w:p>
        </w:tc>
        <w:tc>
          <w:tcPr>
            <w:tcW w:type="dxa" w:w="3322"/>
          </w:tcPr>
          <w:p>
            <w:pPr>
              <w:pStyle w:val="null3"/>
            </w:pPr>
            <w:r>
              <w:rPr>
                <w:rFonts w:ascii="仿宋_GB2312" w:hAnsi="仿宋_GB2312" w:cs="仿宋_GB2312" w:eastAsia="仿宋_GB2312"/>
              </w:rPr>
              <w:t>供应商需在项目电子化交易系统中按要求填写《响应函》、《报价函》、《法定代表人证明书》、《法定代表人授权书》完成承诺并进行电子签章。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每次报价只能有一个有效报价。</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符合本项目工期的要求。</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或合法授权代表证明：法定代表人参加开标会议的，应出具法定代表人证明书。法定代表人授权合法授权代表参加磋商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响应文件封面 供应商应提交的相关资格证明材料.docx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供应商提供2023年1月1日以来至今已承接的类似业绩证明材料，每提供1项得3分，最多得15分。 评审依据：提供类似业绩合同扫描件或复印件（包含合同主要内容及签字盖章等关键信息），时间以合同体现时间为准，未提供或提供不全的不得分。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1.拟派项目经理的职称（满分3分） 拟派项目经理具备中级（含）以上职称的得3分，初级的得1分；其余情况不得分。 评审依据：评审时以供应商提供的拟派项目经理的职称证扫描件或复印件，提供多个职称证明材料的，以最高职称证书的扫描件或复印件。 2.拟派项目经理学历（满分3分） 具有本科学历及以上得3分，大专学历及以上得1分，其他情况不得分。 评审依据：评审时以供应商提供的拟派项目经理的最高学历证书复印件或扫描件为准。 3.拟派项目经理业绩（满分4分） 供应商提供拟派项目经理自2023年1月1日以来至今已完成的类似业绩证明材料，（在该项目中担任项目经理一职）提供1项得2分，最高得4分，未提供不得分。 评审依据：提供类似业绩合同扫描件或复印件（包含合同主要内容及签字盖章等关键信息）及竣工验收证明材料，以合同签订时间所体现的时间为准，合同中应体现的项目经理姓名。拟派项目经理业绩与企业业绩可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施工总体规划部署及施工方案</w:t>
            </w:r>
          </w:p>
        </w:tc>
        <w:tc>
          <w:tcPr>
            <w:tcW w:type="dxa" w:w="2492"/>
          </w:tcPr>
          <w:p>
            <w:pPr>
              <w:pStyle w:val="null3"/>
            </w:pPr>
            <w:r>
              <w:rPr>
                <w:rFonts w:ascii="仿宋_GB2312" w:hAnsi="仿宋_GB2312" w:cs="仿宋_GB2312" w:eastAsia="仿宋_GB2312"/>
              </w:rPr>
              <w:t>供应商提供的施工总体规划部署及施工方案需包含①项目施工总体思路；②施工实施阶段划分；③关键工序技术把控措施，共3项内容，每项满分3分，总分9分。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质量管控体系方案</w:t>
            </w:r>
          </w:p>
        </w:tc>
        <w:tc>
          <w:tcPr>
            <w:tcW w:type="dxa" w:w="2492"/>
          </w:tcPr>
          <w:p>
            <w:pPr>
              <w:pStyle w:val="null3"/>
            </w:pPr>
            <w:r>
              <w:rPr>
                <w:rFonts w:ascii="仿宋_GB2312" w:hAnsi="仿宋_GB2312" w:cs="仿宋_GB2312" w:eastAsia="仿宋_GB2312"/>
              </w:rPr>
              <w:t>供应商提供的质量管控体系方案需包含①质量目标及管控措施；②全流程质量检验、整改机制；③质量通病防治措施，共3项内容，每项满分3分，总分9分。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进度管控与应急方案</w:t>
            </w:r>
          </w:p>
        </w:tc>
        <w:tc>
          <w:tcPr>
            <w:tcW w:type="dxa" w:w="2492"/>
          </w:tcPr>
          <w:p>
            <w:pPr>
              <w:pStyle w:val="null3"/>
            </w:pPr>
            <w:r>
              <w:rPr>
                <w:rFonts w:ascii="仿宋_GB2312" w:hAnsi="仿宋_GB2312" w:cs="仿宋_GB2312" w:eastAsia="仿宋_GB2312"/>
              </w:rPr>
              <w:t>供应商提供的进度管控与应急方案需包含①进度管控节点设置、动态调整；②工期延误风险预判及应对措施；③季节性施工（雨期、冬期）适配措施，共3项内容，每项满分3分，总分9分。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安全文明施工方案</w:t>
            </w:r>
          </w:p>
        </w:tc>
        <w:tc>
          <w:tcPr>
            <w:tcW w:type="dxa" w:w="2492"/>
          </w:tcPr>
          <w:p>
            <w:pPr>
              <w:pStyle w:val="null3"/>
            </w:pPr>
            <w:r>
              <w:rPr>
                <w:rFonts w:ascii="仿宋_GB2312" w:hAnsi="仿宋_GB2312" w:cs="仿宋_GB2312" w:eastAsia="仿宋_GB2312"/>
              </w:rPr>
              <w:t>供应商提供的安全文明施工方案需包含①安全生产管理制度、责任分工；②安全风险防控、应急处置方案；③文明施工、环保措施（扬尘、噪音管控等），共3项内容，每项满分3分，总分9分。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资源配置保障方案</w:t>
            </w:r>
          </w:p>
        </w:tc>
        <w:tc>
          <w:tcPr>
            <w:tcW w:type="dxa" w:w="2492"/>
          </w:tcPr>
          <w:p>
            <w:pPr>
              <w:pStyle w:val="null3"/>
            </w:pPr>
            <w:r>
              <w:rPr>
                <w:rFonts w:ascii="仿宋_GB2312" w:hAnsi="仿宋_GB2312" w:cs="仿宋_GB2312" w:eastAsia="仿宋_GB2312"/>
              </w:rPr>
              <w:t>供应商提供的资源配置保障方案需包含①施工队伍、管理人员及经验；②施工机械设备、材料供应；③人力、设备调度方案，共3项内容，每项满分3分，总分9分。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磋商报价采用低价优先法计算，即满足磋商文件要求且最后磋商报价最低的报价为评审基准价，其价格分为满分。其他供应商的价格分统一按照下列公式计算：磋商报价得分=（评标基准价/最后磋商报价×30）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