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版本号：ZX2026-06-6220260708001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长安校区西区健身广场提升改造项目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ZX2026-06-62</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长安校区西区健身广场提升改造项目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长安校区西区健身广场提升改造项目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西区健身广场提升改造项目，1项，具体详见磋商文件第3章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采购包1（长安校区西区健身广场提升改造项目）：属于专门面向中小企业采购。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参加磋商的，须提供法定代表人身份证；法定代表人授权本单位他人参加磋商的，须提供法定代表人授权委托书及被授权人身份证明及被授权人磋商截止前六个月内任意一个月（不含磋商当月）在本公司缴纳的社保证明。</w:t>
      </w:r>
    </w:p>
    <w:p>
      <w:pPr>
        <w:pStyle w:val="null3"/>
      </w:pPr>
      <w:r>
        <w:rPr>
          <w:rFonts w:ascii="仿宋_GB2312" w:hAnsi="仿宋_GB2312" w:cs="仿宋_GB2312" w:eastAsia="仿宋_GB2312"/>
        </w:rPr>
        <w:t>2、不接受联合体磋商，不允许分包：本项目不接受联合体磋商，不允许分包。供应商应提供《非联合体不分包投标声明》。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3、施工资质：供应商须具备建筑工程施工总承包三级以上（含三级）资质或建筑装修装饰工程专业承包二级以上（含二级）资质，同时具备有效的安全生产许可证。</w:t>
      </w:r>
    </w:p>
    <w:p>
      <w:pPr>
        <w:pStyle w:val="null3"/>
      </w:pPr>
      <w:r>
        <w:rPr>
          <w:rFonts w:ascii="仿宋_GB2312" w:hAnsi="仿宋_GB2312" w:cs="仿宋_GB2312" w:eastAsia="仿宋_GB2312"/>
        </w:rPr>
        <w:t>4、项目负责人资质和专业要求：拟派项目经理具有建筑工程专业二级以上（含二级）注册建造师执业资格，并具有合法有效的安全生产考核合格证（建安B证），须在本单位注册，且无其他在建工程（提供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曹婷 王宇轩 崔文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采购包1：306,395.85元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采购包1保证金金额：5,662.00元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说明：要求提供，本项目履约保证金为合同金额的5%，项目验收合格后及时退还。交纳形式为银行转账等非现金形式，供应商以银行、保险公司出具保函形式提交履约保证金的，采购单位不得拒收。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代理服务费收费标准：参照国家计委计价格[2002]1980号通知规定按标准收取，由成交供应商支付代理服务费。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踏勘时间：2026-07-16 10:00:00</w:t>
            </w:r>
          </w:p>
          <w:p>
            <w:pPr>
              <w:pStyle w:val="null3"/>
              <w:ind w:firstLine="975"/>
            </w:pPr>
            <w:r>
              <w:rPr>
                <w:rFonts w:ascii="仿宋_GB2312" w:hAnsi="仿宋_GB2312" w:cs="仿宋_GB2312" w:eastAsia="仿宋_GB2312"/>
              </w:rPr>
              <w:t>踏勘地点：西安邮电大学长安校区西区健身广场</w:t>
            </w:r>
          </w:p>
          <w:p>
            <w:pPr>
              <w:pStyle w:val="null3"/>
              <w:ind w:firstLine="975"/>
            </w:pPr>
            <w:r>
              <w:rPr>
                <w:rFonts w:ascii="仿宋_GB2312" w:hAnsi="仿宋_GB2312" w:cs="仿宋_GB2312" w:eastAsia="仿宋_GB2312"/>
              </w:rPr>
              <w:t>联系人：杨老师</w:t>
            </w:r>
          </w:p>
          <w:p>
            <w:pPr>
              <w:pStyle w:val="null3"/>
              <w:ind w:firstLine="975"/>
            </w:pPr>
            <w:r>
              <w:rPr>
                <w:rFonts w:ascii="仿宋_GB2312" w:hAnsi="仿宋_GB2312" w:cs="仿宋_GB2312" w:eastAsia="仿宋_GB2312"/>
              </w:rPr>
              <w:t>联系电话号码：029-88166209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按磋商文件、响应文件及合同约定执行。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一、按照磋商文件、供应商响应文件及合同文本执行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306,395.85</w:t>
      </w:r>
    </w:p>
    <w:p>
      <w:pPr>
        <w:pStyle w:val="null3"/>
      </w:pPr>
      <w:r>
        <w:rPr>
          <w:rFonts w:ascii="仿宋_GB2312" w:hAnsi="仿宋_GB2312" w:cs="仿宋_GB2312" w:eastAsia="仿宋_GB2312"/>
        </w:rPr>
        <w:t>采购包最高限价（元）: 306,395.85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长安校区西区健身广场提升改造项目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306,395.85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标的名称：长安校区西区健身广场提升改造项目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长安校区西区健身广场提升改造，具体</w:t>
            </w: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1.工期要求：30日历日内。 2.施工地点：西安邮电大学指定地点。 3.质保期：项目质保2年。 4.工程质量：合格。 5.采购资金的支付方式及时间： （1）工程完成后，供应商报采购人及监理进行初验，初验合格后，供应商向采购人申请正式验收，采购人收到申请后组织相关专业人员对项目进行验收，验收合格后甲方支付到合同金额50%的工程款。 （2）供应商向采购人报送结算资料，经采购人审计结算且供应商确认结算金额后，甲方付款至结算审定金额的97%，待质保期满且无质量问题后付款至结算审定金额的100%。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清单报价编制要求：（1）按照本项目清单及《陕西省建设工程工程量清单计价规则》、《陕西省建筑装饰工程消耗量定额》、《陕西省安装工程消耗量定额》、《陕西省建设工程消耗量定额勘误及补充定额》、《陕西省建筑装饰安装工程价目表》计价及其配套文件等编制。（2）供应商应充分考虑磋商文件的各项要求和本工程的实际情况，根据自身实力，充分考虑材料价格、人工费、物价上涨等市场变化的风险，自主报价，风险自担。（3）不可竞争的规费、税金、安全文明施工费按计价规则的规定计取，营改增按陕建发调整陕西省建设工程计价依据的通知执行，磋商报价中包含所有费用。（4）本工程材料采购需采购人进行认质。 3.3.2本项目工程量清单详见附件。 3.3.3本项目为固定综合单价合同，清单所列工程量是预计数量，实际结算按实际完成的工程量进行结算。3.3.4踏勘注意事项：（1）请各供应商在踏勘时间前，将踏勘⼈员姓名及⼿机号码发送⾄代理机构邮箱（1053910307@qq.com）；（2）供应商因⾃⾝原因未按时进⾏现场踏勘，⽽导致的任何⻛险，由供应商⾃⾏承担；（3）凡因对施⼯现场、施⼯环境、市场⾏情等了解不清⽽造成的后果和⻛险，由供应商⾃⾏承担；（4）踏勘相关费⽤及安全由供应商⾃⾏承担；（5）踏勘时各供应商有疑问可以在现场提出，由采购⼈当场解答，否则视为供应商再⽆疑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 ：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提供法定代表人身份证；法定代表人授权本单位他人参加磋商的，须提供法定代表人授权委托书及被授权人身份证明及被授权人磋商截止前六个月内任意一个月（不含磋商当月）在本公司缴纳的社保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供应商须具备建筑工程施工总承包三级以上（含三级）资质或建筑装修装饰工程专业承包二级以上（含二级）资质，同时具备有效的安全生产许可证。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 已标价工程量清单 实质性商务部分偏离表.docx 中小企业声明函 残疾人福利性单位声明函 报价函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报价未超过磋商文件中规定的采购预算或最高限价的</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实质性商务条款</w:t>
            </w:r>
          </w:p>
        </w:tc>
        <w:tc>
          <w:tcPr>
            <w:tcW w:type="dxa" w:w="3322"/>
          </w:tcPr>
          <w:p>
            <w:pPr>
              <w:pStyle w:val="null3"/>
            </w:pPr>
            <w:r>
              <w:rPr>
                <w:rFonts w:ascii="仿宋_GB2312" w:hAnsi="仿宋_GB2312" w:cs="仿宋_GB2312" w:eastAsia="仿宋_GB2312"/>
              </w:rPr>
              <w:t>满足本磋商文件中第三章“三、针对本项目的其他技术服务要求”条款内容的</w:t>
            </w:r>
          </w:p>
        </w:tc>
        <w:tc>
          <w:tcPr>
            <w:tcW w:type="dxa" w:w="1661"/>
          </w:tcPr>
          <w:p>
            <w:pPr>
              <w:pStyle w:val="null3"/>
            </w:pPr>
            <w:r>
              <w:rPr>
                <w:rFonts w:ascii="仿宋_GB2312" w:hAnsi="仿宋_GB2312" w:cs="仿宋_GB2312" w:eastAsia="仿宋_GB2312"/>
              </w:rPr>
              <w:t>响应文件封面 实质性商务部分偏离表.docx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12其他资料.docx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供应商提供针对本项目的施工方案，至少包含①施工前检查准备②整体施工流程 ③关键部位施工方案④施工工艺⑤劳动力配置计划⑥施工现场设施保护及成品保护方案⑦环境保护。 满足项目实施要求，无瑕疵：14分； 内容每存在1处瑕疵扣1分； 内容存在14处及以上瑕疵或未提供计0分。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供应商针对本项目工期要求及施工特点，提供施工进度计划，至少包含①工程各阶段进度施工计划②提供施工进度计划横道图③进度控制保证措施。 满足项目实施要求，无瑕疵：9分； 内容每存在1处瑕疵扣1分； 内容存在9处及以上瑕疵或未提供计0分。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供应商提供针对本项目的质量技术组织措施，包括①质量目标②施工前期、中期、后期质量保障措施③质量全过程检查制度④材料质量保障体系⑤施工质量保证承诺。 满足项目实施要求，无瑕疵：10分； 内容每存在1处瑕疵扣1分；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3质量技术组织措施.docx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供应商提供针对本项目的施工组织设计，内容至少包括①施工资源投入计划②雨季施工方案③新技术、新产品、新工艺、新材料的应用④工程竣工验收、结算、移交的组织和配合措施。 满足项目实施要求，无瑕疵：8分； 内容每存在1处瑕疵扣1分； 内容存在8处及以上瑕疵或未提供计0分。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4施工组织设计.docx</w:t>
            </w:r>
          </w:p>
        </w:tc>
      </w:tr>
      <w:tr>
        <w:tc>
          <w:tcPr>
            <w:tcW w:type="dxa" w:w="831"/>
            <w:vMerge/>
          </w:tcPr>
          <w:p/>
        </w:tc>
        <w:tc>
          <w:tcPr>
            <w:tcW w:type="dxa" w:w="1661"/>
          </w:tcPr>
          <w:p>
            <w:pPr>
              <w:pStyle w:val="null3"/>
            </w:pPr>
            <w:r>
              <w:rPr>
                <w:rFonts w:ascii="仿宋_GB2312" w:hAnsi="仿宋_GB2312" w:cs="仿宋_GB2312" w:eastAsia="仿宋_GB2312"/>
              </w:rPr>
              <w:t>安全施工方案</w:t>
            </w:r>
          </w:p>
        </w:tc>
        <w:tc>
          <w:tcPr>
            <w:tcW w:type="dxa" w:w="2492"/>
          </w:tcPr>
          <w:p>
            <w:pPr>
              <w:pStyle w:val="null3"/>
            </w:pPr>
            <w:r>
              <w:rPr>
                <w:rFonts w:ascii="仿宋_GB2312" w:hAnsi="仿宋_GB2312" w:cs="仿宋_GB2312" w:eastAsia="仿宋_GB2312"/>
              </w:rPr>
              <w:t>供应商提供针对本项目的安全文明施工方案，内容至少包括①安全管理体系②安全保障措施③现场安全管控方案及应急处理能力。 满足项目实施要求，无瑕疵：6分； 内容每存在1处瑕疵扣1分；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5安全施工方案.docx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供应商提供针对本项目的项目组织机构，至少包括①组织机构框架②项目人员构成情况（岗位设置、专业种类及能力、有技术职称的人员比例）。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6项目组织机构.docx</w:t>
            </w:r>
          </w:p>
        </w:tc>
      </w:tr>
      <w:tr>
        <w:tc>
          <w:tcPr>
            <w:tcW w:type="dxa" w:w="831"/>
            <w:vMerge/>
          </w:tcPr>
          <w:p/>
        </w:tc>
        <w:tc>
          <w:tcPr>
            <w:tcW w:type="dxa" w:w="1661"/>
          </w:tcPr>
          <w:p>
            <w:pPr>
              <w:pStyle w:val="null3"/>
            </w:pPr>
            <w:r>
              <w:rPr>
                <w:rFonts w:ascii="仿宋_GB2312" w:hAnsi="仿宋_GB2312" w:cs="仿宋_GB2312" w:eastAsia="仿宋_GB2312"/>
              </w:rPr>
              <w:t>安全文明措施</w:t>
            </w:r>
          </w:p>
        </w:tc>
        <w:tc>
          <w:tcPr>
            <w:tcW w:type="dxa" w:w="2492"/>
          </w:tcPr>
          <w:p>
            <w:pPr>
              <w:pStyle w:val="null3"/>
            </w:pPr>
            <w:r>
              <w:rPr>
                <w:rFonts w:ascii="仿宋_GB2312" w:hAnsi="仿宋_GB2312" w:cs="仿宋_GB2312" w:eastAsia="仿宋_GB2312"/>
              </w:rPr>
              <w:t>供应商结合工程环境、特点，提供针对本项目的安全文明施工措施，包括①施工过程中安全保护措施②文明施工控制措施③工程产生垃圾处理方案等。 满足项目实施要求，无瑕疵：6分； 内容每存在1处瑕疵扣1分；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7安全文明施工措施.docx</w:t>
            </w:r>
          </w:p>
        </w:tc>
      </w:tr>
      <w:tr>
        <w:tc>
          <w:tcPr>
            <w:tcW w:type="dxa" w:w="831"/>
            <w:vMerge/>
          </w:tcPr>
          <w:p/>
        </w:tc>
        <w:tc>
          <w:tcPr>
            <w:tcW w:type="dxa" w:w="1661"/>
          </w:tcPr>
          <w:p>
            <w:pPr>
              <w:pStyle w:val="null3"/>
            </w:pPr>
            <w:r>
              <w:rPr>
                <w:rFonts w:ascii="仿宋_GB2312" w:hAnsi="仿宋_GB2312" w:cs="仿宋_GB2312" w:eastAsia="仿宋_GB2312"/>
              </w:rPr>
              <w:t>主材选择</w:t>
            </w:r>
          </w:p>
        </w:tc>
        <w:tc>
          <w:tcPr>
            <w:tcW w:type="dxa" w:w="2492"/>
          </w:tcPr>
          <w:p>
            <w:pPr>
              <w:pStyle w:val="null3"/>
            </w:pPr>
            <w:r>
              <w:rPr>
                <w:rFonts w:ascii="仿宋_GB2312" w:hAnsi="仿宋_GB2312" w:cs="仿宋_GB2312" w:eastAsia="仿宋_GB2312"/>
              </w:rPr>
              <w:t>供应商提供本项目主材清单（混凝土和透水混凝土），至少包含品牌信息计3分，未提供计0分。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8主材选择.docx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已完工），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供应商根据本项目需求，提供施工单位的施工保修承诺书，内容至少包括①保修内容、范围②质量保修责任。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10保修承诺.docx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详见附件：实质性商务部分偏离表.docx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详见附件：1施工方案.docx</w:t>
      </w:r>
    </w:p>
    <w:p>
      <w:pPr>
        <w:pStyle w:val="null3"/>
        <w:ind w:firstLine="960"/>
      </w:pPr>
      <w:r>
        <w:rPr>
          <w:rFonts w:ascii="仿宋_GB2312" w:hAnsi="仿宋_GB2312" w:cs="仿宋_GB2312" w:eastAsia="仿宋_GB2312"/>
        </w:rPr>
        <w:t>详见附件：2施工进度计划.docx</w:t>
      </w:r>
    </w:p>
    <w:p>
      <w:pPr>
        <w:pStyle w:val="null3"/>
        <w:ind w:firstLine="960"/>
      </w:pPr>
      <w:r>
        <w:rPr>
          <w:rFonts w:ascii="仿宋_GB2312" w:hAnsi="仿宋_GB2312" w:cs="仿宋_GB2312" w:eastAsia="仿宋_GB2312"/>
        </w:rPr>
        <w:t>详见附件：3质量技术组织措施.docx</w:t>
      </w:r>
    </w:p>
    <w:p>
      <w:pPr>
        <w:pStyle w:val="null3"/>
        <w:ind w:firstLine="960"/>
      </w:pPr>
      <w:r>
        <w:rPr>
          <w:rFonts w:ascii="仿宋_GB2312" w:hAnsi="仿宋_GB2312" w:cs="仿宋_GB2312" w:eastAsia="仿宋_GB2312"/>
        </w:rPr>
        <w:t>详见附件：4施工组织设计.docx</w:t>
      </w:r>
    </w:p>
    <w:p>
      <w:pPr>
        <w:pStyle w:val="null3"/>
        <w:ind w:firstLine="960"/>
      </w:pPr>
      <w:r>
        <w:rPr>
          <w:rFonts w:ascii="仿宋_GB2312" w:hAnsi="仿宋_GB2312" w:cs="仿宋_GB2312" w:eastAsia="仿宋_GB2312"/>
        </w:rPr>
        <w:t>详见附件：5安全施工方案.docx</w:t>
      </w:r>
    </w:p>
    <w:p>
      <w:pPr>
        <w:pStyle w:val="null3"/>
        <w:ind w:firstLine="960"/>
      </w:pPr>
      <w:r>
        <w:rPr>
          <w:rFonts w:ascii="仿宋_GB2312" w:hAnsi="仿宋_GB2312" w:cs="仿宋_GB2312" w:eastAsia="仿宋_GB2312"/>
        </w:rPr>
        <w:t>详见附件：6项目组织机构.docx</w:t>
      </w:r>
    </w:p>
    <w:p>
      <w:pPr>
        <w:pStyle w:val="null3"/>
        <w:ind w:firstLine="960"/>
      </w:pPr>
      <w:r>
        <w:rPr>
          <w:rFonts w:ascii="仿宋_GB2312" w:hAnsi="仿宋_GB2312" w:cs="仿宋_GB2312" w:eastAsia="仿宋_GB2312"/>
        </w:rPr>
        <w:t>详见附件：7安全文明施工措施.docx</w:t>
      </w:r>
    </w:p>
    <w:p>
      <w:pPr>
        <w:pStyle w:val="null3"/>
        <w:ind w:firstLine="960"/>
      </w:pPr>
      <w:r>
        <w:rPr>
          <w:rFonts w:ascii="仿宋_GB2312" w:hAnsi="仿宋_GB2312" w:cs="仿宋_GB2312" w:eastAsia="仿宋_GB2312"/>
        </w:rPr>
        <w:t>详见附件：8主材选择.docx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详见附件：10保修承诺.docx</w:t>
      </w:r>
    </w:p>
    <w:p>
      <w:pPr>
        <w:pStyle w:val="null3"/>
        <w:ind w:firstLine="960"/>
      </w:pPr>
      <w:r>
        <w:rPr>
          <w:rFonts w:ascii="仿宋_GB2312" w:hAnsi="仿宋_GB2312" w:cs="仿宋_GB2312" w:eastAsia="仿宋_GB2312"/>
        </w:rPr>
        <w:t>详见附件：11节能环保.docx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