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5F1FA">
      <w:pPr>
        <w:jc w:val="center"/>
        <w:rPr>
          <w:rFonts w:hint="eastAsia" w:ascii="仿宋" w:hAnsi="仿宋" w:eastAsia="仿宋" w:cs="仿宋"/>
          <w:b/>
          <w:spacing w:val="4"/>
          <w:sz w:val="44"/>
          <w:szCs w:val="40"/>
        </w:rPr>
      </w:pPr>
      <w:r>
        <w:rPr>
          <w:rFonts w:hint="eastAsia" w:ascii="仿宋" w:hAnsi="仿宋" w:eastAsia="仿宋" w:cs="仿宋"/>
          <w:b/>
          <w:spacing w:val="4"/>
          <w:sz w:val="44"/>
          <w:szCs w:val="40"/>
        </w:rPr>
        <w:t>西安市精神卫生中心</w:t>
      </w:r>
      <w:r>
        <w:rPr>
          <w:rFonts w:hint="eastAsia" w:ascii="仿宋" w:hAnsi="仿宋" w:eastAsia="仿宋" w:cs="仿宋"/>
          <w:b/>
          <w:spacing w:val="4"/>
          <w:sz w:val="44"/>
          <w:szCs w:val="40"/>
          <w:lang w:eastAsia="zh-CN"/>
        </w:rPr>
        <w:t>维保</w:t>
      </w:r>
      <w:r>
        <w:rPr>
          <w:rFonts w:hint="eastAsia" w:ascii="仿宋" w:hAnsi="仿宋" w:eastAsia="仿宋" w:cs="仿宋"/>
          <w:b/>
          <w:spacing w:val="4"/>
          <w:sz w:val="44"/>
          <w:szCs w:val="40"/>
        </w:rPr>
        <w:t>服务</w:t>
      </w:r>
    </w:p>
    <w:p w14:paraId="408F93EE">
      <w:pPr>
        <w:ind w:firstLine="3233" w:firstLineChars="350"/>
        <w:rPr>
          <w:rFonts w:hint="eastAsia" w:ascii="仿宋" w:hAnsi="仿宋" w:eastAsia="仿宋" w:cs="仿宋"/>
          <w:b/>
          <w:spacing w:val="-20"/>
          <w:sz w:val="96"/>
          <w:szCs w:val="58"/>
        </w:rPr>
      </w:pPr>
    </w:p>
    <w:p w14:paraId="444034E4">
      <w:pPr>
        <w:jc w:val="center"/>
        <w:rPr>
          <w:rFonts w:hint="eastAsia" w:ascii="仿宋" w:hAnsi="仿宋" w:eastAsia="仿宋" w:cs="仿宋"/>
          <w:b/>
          <w:sz w:val="72"/>
          <w:szCs w:val="72"/>
        </w:rPr>
      </w:pPr>
      <w:r>
        <w:rPr>
          <w:rFonts w:hint="eastAsia" w:ascii="仿宋" w:hAnsi="仿宋" w:eastAsia="仿宋" w:cs="仿宋"/>
          <w:b/>
          <w:sz w:val="72"/>
          <w:szCs w:val="72"/>
        </w:rPr>
        <w:t xml:space="preserve"> 合 同</w:t>
      </w:r>
    </w:p>
    <w:p w14:paraId="17DA07A9">
      <w:pPr>
        <w:jc w:val="center"/>
        <w:rPr>
          <w:rFonts w:hint="eastAsia" w:ascii="仿宋" w:hAnsi="仿宋" w:eastAsia="仿宋" w:cs="仿宋"/>
          <w:b/>
          <w:sz w:val="72"/>
          <w:szCs w:val="72"/>
        </w:rPr>
      </w:pPr>
    </w:p>
    <w:p w14:paraId="1183CBCF">
      <w:pPr>
        <w:ind w:firstLine="1120" w:firstLineChars="400"/>
        <w:rPr>
          <w:rFonts w:hint="eastAsia" w:ascii="仿宋" w:hAnsi="仿宋" w:eastAsia="仿宋" w:cs="仿宋"/>
          <w:sz w:val="28"/>
          <w:szCs w:val="30"/>
          <w:u w:val="single"/>
          <w:lang w:eastAsia="zh-CN"/>
        </w:rPr>
      </w:pPr>
      <w:r>
        <w:rPr>
          <w:rFonts w:hint="eastAsia" w:ascii="仿宋" w:hAnsi="仿宋" w:eastAsia="仿宋" w:cs="仿宋"/>
          <w:sz w:val="28"/>
          <w:szCs w:val="30"/>
        </w:rPr>
        <w:t>项目名称：</w:t>
      </w:r>
      <w:r>
        <w:rPr>
          <w:rFonts w:hint="eastAsia" w:ascii="仿宋" w:hAnsi="仿宋" w:eastAsia="仿宋" w:cs="仿宋"/>
          <w:sz w:val="28"/>
          <w:szCs w:val="30"/>
          <w:u w:val="single"/>
          <w:lang w:eastAsia="zh-CN"/>
        </w:rPr>
        <w:t>MR维保服务项目</w:t>
      </w:r>
    </w:p>
    <w:p w14:paraId="46347F34">
      <w:pPr>
        <w:ind w:firstLine="1120" w:firstLineChars="400"/>
        <w:rPr>
          <w:rFonts w:hint="eastAsia" w:ascii="仿宋" w:hAnsi="仿宋" w:eastAsia="仿宋" w:cs="仿宋"/>
          <w:sz w:val="28"/>
          <w:szCs w:val="30"/>
          <w:u w:val="single"/>
        </w:rPr>
      </w:pPr>
      <w:r>
        <w:rPr>
          <w:rFonts w:hint="eastAsia" w:ascii="仿宋" w:hAnsi="仿宋" w:eastAsia="仿宋" w:cs="仿宋"/>
          <w:sz w:val="28"/>
          <w:szCs w:val="30"/>
        </w:rPr>
        <w:t>项目编号：</w:t>
      </w:r>
      <w:r>
        <w:rPr>
          <w:rFonts w:hint="eastAsia" w:ascii="仿宋" w:hAnsi="仿宋" w:eastAsia="仿宋" w:cs="仿宋"/>
          <w:sz w:val="28"/>
          <w:szCs w:val="30"/>
          <w:u w:val="single"/>
        </w:rPr>
        <w:t xml:space="preserve">                           </w:t>
      </w:r>
    </w:p>
    <w:p w14:paraId="16FB44EA">
      <w:pPr>
        <w:jc w:val="center"/>
        <w:rPr>
          <w:rFonts w:hint="eastAsia" w:ascii="仿宋" w:hAnsi="仿宋" w:eastAsia="仿宋" w:cs="仿宋"/>
          <w:sz w:val="28"/>
          <w:szCs w:val="30"/>
        </w:rPr>
      </w:pPr>
    </w:p>
    <w:p w14:paraId="4C4913D5">
      <w:pPr>
        <w:jc w:val="center"/>
        <w:rPr>
          <w:rFonts w:hint="eastAsia" w:ascii="仿宋" w:hAnsi="仿宋" w:eastAsia="仿宋" w:cs="仿宋"/>
          <w:sz w:val="28"/>
          <w:szCs w:val="30"/>
        </w:rPr>
      </w:pPr>
    </w:p>
    <w:p w14:paraId="681120C7">
      <w:pPr>
        <w:jc w:val="center"/>
        <w:rPr>
          <w:rFonts w:hint="eastAsia" w:ascii="仿宋" w:hAnsi="仿宋" w:eastAsia="仿宋" w:cs="仿宋"/>
          <w:sz w:val="28"/>
          <w:szCs w:val="30"/>
        </w:rPr>
      </w:pPr>
    </w:p>
    <w:p w14:paraId="425C79BA">
      <w:pPr>
        <w:jc w:val="center"/>
        <w:rPr>
          <w:rFonts w:hint="eastAsia" w:ascii="仿宋" w:hAnsi="仿宋" w:eastAsia="仿宋" w:cs="仿宋"/>
          <w:sz w:val="28"/>
          <w:szCs w:val="30"/>
        </w:rPr>
      </w:pPr>
    </w:p>
    <w:p w14:paraId="44E5ED5E">
      <w:pPr>
        <w:ind w:firstLine="2700" w:firstLineChars="900"/>
        <w:jc w:val="left"/>
        <w:rPr>
          <w:rFonts w:hint="eastAsia" w:ascii="仿宋" w:hAnsi="仿宋" w:eastAsia="仿宋" w:cs="仿宋"/>
          <w:sz w:val="30"/>
          <w:szCs w:val="30"/>
          <w:lang w:eastAsia="zh-CN"/>
        </w:rPr>
      </w:pPr>
      <w:r>
        <w:rPr>
          <w:rFonts w:hint="eastAsia" w:ascii="仿宋" w:hAnsi="仿宋" w:eastAsia="仿宋" w:cs="仿宋"/>
          <w:sz w:val="30"/>
          <w:szCs w:val="30"/>
        </w:rPr>
        <w:t>甲  方：</w:t>
      </w:r>
      <w:r>
        <w:rPr>
          <w:rFonts w:hint="eastAsia" w:ascii="仿宋" w:hAnsi="仿宋" w:eastAsia="仿宋" w:cs="仿宋"/>
          <w:sz w:val="30"/>
          <w:szCs w:val="30"/>
          <w:lang w:eastAsia="zh-CN"/>
        </w:rPr>
        <w:t>西安市精神卫生中心</w:t>
      </w:r>
    </w:p>
    <w:p w14:paraId="3E5D576A">
      <w:pPr>
        <w:tabs>
          <w:tab w:val="left" w:pos="480"/>
        </w:tabs>
        <w:ind w:firstLine="2700" w:firstLineChars="900"/>
        <w:jc w:val="left"/>
        <w:rPr>
          <w:rFonts w:hint="eastAsia" w:ascii="仿宋" w:hAnsi="仿宋" w:eastAsia="仿宋" w:cs="仿宋"/>
          <w:sz w:val="30"/>
          <w:szCs w:val="30"/>
        </w:rPr>
      </w:pPr>
      <w:r>
        <w:rPr>
          <w:rFonts w:hint="eastAsia" w:ascii="仿宋" w:hAnsi="仿宋" w:eastAsia="仿宋" w:cs="仿宋"/>
          <w:sz w:val="30"/>
          <w:szCs w:val="30"/>
        </w:rPr>
        <w:t>乙  方：</w:t>
      </w:r>
    </w:p>
    <w:p w14:paraId="53536215">
      <w:pPr>
        <w:tabs>
          <w:tab w:val="left" w:pos="480"/>
        </w:tabs>
        <w:ind w:firstLine="2700" w:firstLineChars="900"/>
        <w:jc w:val="left"/>
        <w:rPr>
          <w:rFonts w:hint="eastAsia" w:ascii="仿宋" w:hAnsi="仿宋" w:eastAsia="仿宋" w:cs="仿宋"/>
          <w:sz w:val="30"/>
          <w:szCs w:val="30"/>
        </w:rPr>
      </w:pPr>
    </w:p>
    <w:p w14:paraId="2874F28C">
      <w:pPr>
        <w:ind w:firstLine="2700" w:firstLineChars="900"/>
        <w:jc w:val="left"/>
        <w:rPr>
          <w:rFonts w:hint="eastAsia" w:ascii="仿宋" w:hAnsi="仿宋" w:eastAsia="仿宋" w:cs="仿宋"/>
          <w:sz w:val="30"/>
          <w:szCs w:val="30"/>
        </w:rPr>
      </w:pPr>
    </w:p>
    <w:p w14:paraId="5A080A27">
      <w:pPr>
        <w:rPr>
          <w:rFonts w:hint="eastAsia" w:ascii="仿宋" w:hAnsi="仿宋" w:eastAsia="仿宋" w:cs="仿宋"/>
          <w:sz w:val="28"/>
          <w:szCs w:val="30"/>
        </w:rPr>
      </w:pPr>
      <w:r>
        <w:rPr>
          <w:rFonts w:hint="eastAsia" w:ascii="仿宋" w:hAnsi="仿宋" w:eastAsia="仿宋" w:cs="仿宋"/>
          <w:sz w:val="32"/>
          <w:szCs w:val="32"/>
        </w:rPr>
        <w:t xml:space="preserve">            </w:t>
      </w:r>
    </w:p>
    <w:p w14:paraId="043A22D6">
      <w:pPr>
        <w:ind w:firstLine="3520" w:firstLineChars="1100"/>
        <w:rPr>
          <w:rFonts w:hint="eastAsia" w:ascii="仿宋" w:hAnsi="仿宋" w:eastAsia="仿宋" w:cs="仿宋"/>
          <w:sz w:val="32"/>
          <w:szCs w:val="32"/>
        </w:rPr>
      </w:pPr>
    </w:p>
    <w:p w14:paraId="1FED90BF">
      <w:pPr>
        <w:ind w:firstLine="3520" w:firstLineChars="1100"/>
        <w:rPr>
          <w:rFonts w:hint="eastAsia" w:ascii="仿宋" w:hAnsi="仿宋" w:eastAsia="仿宋" w:cs="仿宋"/>
          <w:sz w:val="32"/>
          <w:szCs w:val="32"/>
        </w:rPr>
      </w:pPr>
      <w:r>
        <w:rPr>
          <w:rFonts w:hint="eastAsia" w:ascii="仿宋" w:hAnsi="仿宋" w:eastAsia="仿宋" w:cs="仿宋"/>
          <w:sz w:val="32"/>
          <w:szCs w:val="32"/>
        </w:rPr>
        <w:t>二O二</w:t>
      </w:r>
      <w:r>
        <w:rPr>
          <w:rFonts w:hint="eastAsia" w:ascii="仿宋" w:hAnsi="仿宋" w:eastAsia="仿宋" w:cs="仿宋"/>
          <w:sz w:val="32"/>
          <w:szCs w:val="32"/>
          <w:lang w:eastAsia="zh-CN"/>
        </w:rPr>
        <w:t>六</w:t>
      </w:r>
      <w:r>
        <w:rPr>
          <w:rFonts w:hint="eastAsia" w:ascii="仿宋" w:hAnsi="仿宋" w:eastAsia="仿宋" w:cs="仿宋"/>
          <w:sz w:val="32"/>
          <w:szCs w:val="32"/>
        </w:rPr>
        <w:t>年  月</w:t>
      </w:r>
    </w:p>
    <w:p w14:paraId="7CDC97D6">
      <w:pPr>
        <w:rPr>
          <w:rFonts w:hint="eastAsia" w:ascii="仿宋" w:hAnsi="仿宋" w:eastAsia="仿宋" w:cs="仿宋"/>
        </w:rPr>
      </w:pPr>
      <w:r>
        <w:rPr>
          <w:rFonts w:hint="eastAsia" w:ascii="仿宋" w:hAnsi="仿宋" w:eastAsia="仿宋" w:cs="仿宋"/>
        </w:rPr>
        <w:br w:type="page"/>
      </w:r>
    </w:p>
    <w:p w14:paraId="60804C99">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甲方：</w:t>
      </w:r>
      <w:r>
        <w:rPr>
          <w:rFonts w:hint="eastAsia" w:ascii="仿宋" w:hAnsi="仿宋" w:eastAsia="仿宋" w:cs="仿宋"/>
          <w:lang w:eastAsia="zh-CN"/>
        </w:rPr>
        <w:t>西安市精神卫生中心</w:t>
      </w:r>
      <w:r>
        <w:rPr>
          <w:rFonts w:hint="eastAsia" w:ascii="仿宋" w:hAnsi="仿宋" w:eastAsia="仿宋" w:cs="仿宋"/>
        </w:rPr>
        <w:t xml:space="preserve"> </w:t>
      </w:r>
    </w:p>
    <w:p w14:paraId="08136BC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乙方：</w:t>
      </w:r>
    </w:p>
    <w:p w14:paraId="23334475">
      <w:pPr>
        <w:keepNext w:val="0"/>
        <w:keepLines w:val="0"/>
        <w:pageBreakBefore w:val="0"/>
        <w:widowControl/>
        <w:kinsoku/>
        <w:wordWrap/>
        <w:overflowPunct/>
        <w:topLinePunct w:val="0"/>
        <w:autoSpaceDE/>
        <w:autoSpaceDN/>
        <w:bidi w:val="0"/>
        <w:adjustRightInd w:val="0"/>
        <w:snapToGrid w:val="0"/>
        <w:spacing w:after="120" w:line="360" w:lineRule="auto"/>
        <w:ind w:firstLine="420" w:firstLineChars="200"/>
        <w:jc w:val="left"/>
        <w:textAlignment w:val="auto"/>
        <w:rPr>
          <w:rFonts w:hint="eastAsia" w:ascii="仿宋" w:hAnsi="仿宋" w:eastAsia="仿宋" w:cs="仿宋"/>
        </w:rPr>
      </w:pPr>
      <w:r>
        <w:rPr>
          <w:rFonts w:hint="eastAsia" w:ascii="仿宋" w:hAnsi="仿宋" w:eastAsia="仿宋" w:cs="仿宋"/>
        </w:rPr>
        <w:t>就甲方所需服务，按照政府采购程序，确定乙方</w:t>
      </w:r>
      <w:r>
        <w:rPr>
          <w:rFonts w:hint="eastAsia" w:ascii="仿宋" w:hAnsi="仿宋" w:eastAsia="仿宋" w:cs="仿宋"/>
          <w:u w:val="single"/>
        </w:rPr>
        <w:t xml:space="preserve">     </w:t>
      </w:r>
      <w:r>
        <w:rPr>
          <w:rFonts w:hint="eastAsia" w:ascii="仿宋" w:hAnsi="仿宋" w:eastAsia="仿宋" w:cs="仿宋"/>
        </w:rPr>
        <w:t>为GE Discovery 750MR 3T维保服务项目成交供应商。依据《中华人民共和国政府采购法》、《中华人民共和国民法典》,经甲、乙双方协商，达成如下条款。</w:t>
      </w:r>
    </w:p>
    <w:p w14:paraId="56AF5A1E">
      <w:pPr>
        <w:keepNext w:val="0"/>
        <w:keepLines w:val="0"/>
        <w:pageBreakBefore w:val="0"/>
        <w:numPr>
          <w:ilvl w:val="0"/>
          <w:numId w:val="1"/>
        </w:numPr>
        <w:tabs>
          <w:tab w:val="left" w:pos="480"/>
        </w:tabs>
        <w:kinsoku/>
        <w:wordWrap/>
        <w:overflowPunct/>
        <w:topLinePunct w:val="0"/>
        <w:autoSpaceDE/>
        <w:autoSpaceDN/>
        <w:bidi w:val="0"/>
        <w:spacing w:line="360" w:lineRule="auto"/>
        <w:ind w:left="709"/>
        <w:textAlignment w:val="auto"/>
        <w:rPr>
          <w:rFonts w:hint="eastAsia" w:ascii="仿宋" w:hAnsi="仿宋" w:eastAsia="仿宋" w:cs="仿宋"/>
          <w:b/>
        </w:rPr>
      </w:pPr>
      <w:r>
        <w:rPr>
          <w:rFonts w:hint="eastAsia" w:ascii="仿宋" w:hAnsi="仿宋" w:eastAsia="仿宋" w:cs="仿宋"/>
          <w:b/>
        </w:rPr>
        <w:t>设备维保情况说明：</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2314"/>
        <w:gridCol w:w="2601"/>
        <w:gridCol w:w="1064"/>
        <w:gridCol w:w="753"/>
        <w:gridCol w:w="846"/>
        <w:gridCol w:w="476"/>
      </w:tblGrid>
      <w:tr w14:paraId="14325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75" w:type="pct"/>
            <w:vAlign w:val="center"/>
          </w:tcPr>
          <w:p w14:paraId="665207FD">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序号</w:t>
            </w:r>
          </w:p>
        </w:tc>
        <w:tc>
          <w:tcPr>
            <w:tcW w:w="1358" w:type="pct"/>
            <w:vAlign w:val="center"/>
          </w:tcPr>
          <w:p w14:paraId="443F5E10">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服务项目名称</w:t>
            </w:r>
          </w:p>
        </w:tc>
        <w:tc>
          <w:tcPr>
            <w:tcW w:w="1526" w:type="pct"/>
            <w:vAlign w:val="center"/>
          </w:tcPr>
          <w:p w14:paraId="50F77B98">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服务范围</w:t>
            </w:r>
          </w:p>
        </w:tc>
        <w:tc>
          <w:tcPr>
            <w:tcW w:w="624" w:type="pct"/>
            <w:vAlign w:val="center"/>
          </w:tcPr>
          <w:p w14:paraId="05DC9AAB">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数量</w:t>
            </w:r>
          </w:p>
        </w:tc>
        <w:tc>
          <w:tcPr>
            <w:tcW w:w="442" w:type="pct"/>
            <w:vAlign w:val="center"/>
          </w:tcPr>
          <w:p w14:paraId="2B1065E2">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单价</w:t>
            </w:r>
          </w:p>
        </w:tc>
        <w:tc>
          <w:tcPr>
            <w:tcW w:w="496" w:type="pct"/>
            <w:vAlign w:val="center"/>
          </w:tcPr>
          <w:p w14:paraId="1DDBC372">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总金额</w:t>
            </w:r>
          </w:p>
          <w:p w14:paraId="2DAC9C30">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（元）</w:t>
            </w:r>
          </w:p>
        </w:tc>
        <w:tc>
          <w:tcPr>
            <w:tcW w:w="276" w:type="pct"/>
            <w:vAlign w:val="center"/>
          </w:tcPr>
          <w:p w14:paraId="620BC160">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备注</w:t>
            </w:r>
          </w:p>
        </w:tc>
      </w:tr>
      <w:tr w14:paraId="61CD9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410EA4B5">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1</w:t>
            </w:r>
          </w:p>
        </w:tc>
        <w:tc>
          <w:tcPr>
            <w:tcW w:w="1358" w:type="pct"/>
            <w:vAlign w:val="center"/>
          </w:tcPr>
          <w:p w14:paraId="3F11320A">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1526" w:type="pct"/>
            <w:vAlign w:val="center"/>
          </w:tcPr>
          <w:p w14:paraId="4175C179">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624" w:type="pct"/>
            <w:vAlign w:val="center"/>
          </w:tcPr>
          <w:p w14:paraId="6CCF7518">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442" w:type="pct"/>
            <w:vAlign w:val="center"/>
          </w:tcPr>
          <w:p w14:paraId="4F53F1D4">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496" w:type="pct"/>
            <w:vAlign w:val="center"/>
          </w:tcPr>
          <w:p w14:paraId="3EF048A8">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276" w:type="pct"/>
            <w:vAlign w:val="center"/>
          </w:tcPr>
          <w:p w14:paraId="5321DFDC">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r>
      <w:tr w14:paraId="5595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vAlign w:val="center"/>
          </w:tcPr>
          <w:p w14:paraId="3C71F7C2">
            <w:pPr>
              <w:keepNext w:val="0"/>
              <w:keepLines w:val="0"/>
              <w:pageBreakBefore w:val="0"/>
              <w:tabs>
                <w:tab w:val="left" w:pos="480"/>
              </w:tabs>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合计（人民币）大写：</w:t>
            </w:r>
            <w:r>
              <w:rPr>
                <w:rFonts w:hint="eastAsia" w:ascii="仿宋" w:hAnsi="仿宋" w:eastAsia="仿宋" w:cs="仿宋"/>
                <w:u w:val="single"/>
              </w:rPr>
              <w:t xml:space="preserve">            </w:t>
            </w:r>
            <w:r>
              <w:rPr>
                <w:rFonts w:hint="eastAsia" w:ascii="仿宋" w:hAnsi="仿宋" w:eastAsia="仿宋" w:cs="仿宋"/>
              </w:rPr>
              <w:t>整</w:t>
            </w:r>
          </w:p>
        </w:tc>
      </w:tr>
      <w:tr w14:paraId="647C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75" w:type="pct"/>
            <w:vAlign w:val="center"/>
          </w:tcPr>
          <w:p w14:paraId="2D9C6020">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说明</w:t>
            </w:r>
          </w:p>
        </w:tc>
        <w:tc>
          <w:tcPr>
            <w:tcW w:w="4724" w:type="pct"/>
            <w:gridSpan w:val="6"/>
            <w:vAlign w:val="center"/>
          </w:tcPr>
          <w:p w14:paraId="52D0C665">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1、服务内容：GE Discovery 750MR 3T 整机软、硬件全保，包含：设备紧急故障维修、原厂备件更换、定期预防性保养、开机率保障、所有人工服务费、保养服务费及约定范围内常规备件与核心部件全保服务。</w:t>
            </w:r>
          </w:p>
          <w:p w14:paraId="2B36ADC2">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2、GE Discovery 750MR 3T 整机软、硬件全保范围:</w:t>
            </w:r>
          </w:p>
          <w:p w14:paraId="0A797DA3">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2.1 电子部分：操作台、系统柜、病床整机软硬件维修、检</w:t>
            </w:r>
            <w:bookmarkStart w:id="3" w:name="_GoBack"/>
            <w:bookmarkEnd w:id="3"/>
            <w:r>
              <w:rPr>
                <w:rFonts w:hint="eastAsia" w:ascii="仿宋" w:hAnsi="仿宋" w:eastAsia="仿宋" w:cs="仿宋"/>
              </w:rPr>
              <w:t>测及备件更换；线圈部分：所有原厂配置线圈的维修、检测、备件更换；制冷部分：冷头、吸附器、液氦（免费无限量）、氦压缩机、高低压氦气管路、室外水冷机及机房空调的维修与备件更换；磁体。</w:t>
            </w:r>
          </w:p>
          <w:p w14:paraId="2AA3BF28">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2.2 外围设备：室外水冷机及机房空调等维修与备件更换；</w:t>
            </w:r>
          </w:p>
          <w:p w14:paraId="53AEE57A">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2.3 维保范围不包括：激光相机、高压注射器。</w:t>
            </w:r>
          </w:p>
        </w:tc>
      </w:tr>
    </w:tbl>
    <w:p w14:paraId="4EE8D6F9">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二、合同价款</w:t>
      </w:r>
    </w:p>
    <w:p w14:paraId="276648A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（一）合同总价款为人民币（大写）</w:t>
      </w:r>
      <w:r>
        <w:rPr>
          <w:rFonts w:hint="eastAsia" w:ascii="仿宋" w:hAnsi="仿宋" w:eastAsia="仿宋" w:cs="仿宋"/>
          <w:u w:val="single"/>
        </w:rPr>
        <w:t xml:space="preserve">            </w:t>
      </w:r>
      <w:r>
        <w:rPr>
          <w:rFonts w:hint="eastAsia" w:ascii="仿宋" w:hAnsi="仿宋" w:eastAsia="仿宋" w:cs="仿宋"/>
        </w:rPr>
        <w:t>元整（￥       元）。</w:t>
      </w:r>
    </w:p>
    <w:p w14:paraId="191D2CF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（二）合同总价包括：税费、服务工时费、交通费、更换配件费、检测验收费及其它乙方为履行本合同所需支出的全部费用。合同总价一次性包死，不受市场变化因素的影响。 </w:t>
      </w:r>
    </w:p>
    <w:p w14:paraId="4718FD38">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rPr>
        <w:t>三、款项结算</w:t>
      </w:r>
    </w:p>
    <w:p w14:paraId="06ADC569">
      <w:pPr>
        <w:pStyle w:val="10"/>
        <w:keepNext w:val="0"/>
        <w:keepLines w:val="0"/>
        <w:pageBreakBefore w:val="0"/>
        <w:kinsoku/>
        <w:wordWrap/>
        <w:overflowPunct/>
        <w:topLinePunct w:val="0"/>
        <w:autoSpaceDE/>
        <w:autoSpaceDN/>
        <w:bidi w:val="0"/>
        <w:spacing w:line="360" w:lineRule="auto"/>
        <w:ind w:firstLine="630" w:firstLineChars="300"/>
        <w:textAlignment w:val="auto"/>
        <w:rPr>
          <w:rFonts w:hint="default"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合同签订生效后，乙方进行维保工作。每半年维保工作结束后，乙方向甲方提供维保报告，甲方支付合同当年维保总金额的50%。乙方应在甲方每次付款前提供等额合规发票，否则甲方有权拒付合同款项，且无须承担任何责任。</w:t>
      </w:r>
    </w:p>
    <w:p w14:paraId="44F979D7">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bCs/>
        </w:rPr>
      </w:pPr>
      <w:r>
        <w:rPr>
          <w:rFonts w:hint="eastAsia" w:ascii="仿宋" w:hAnsi="仿宋" w:eastAsia="仿宋" w:cs="仿宋"/>
          <w:b/>
        </w:rPr>
        <w:t>四、</w:t>
      </w:r>
      <w:r>
        <w:rPr>
          <w:rFonts w:hint="eastAsia" w:ascii="仿宋" w:hAnsi="仿宋" w:eastAsia="仿宋" w:cs="仿宋"/>
          <w:b/>
          <w:bCs/>
        </w:rPr>
        <w:t>双方的权利和义务</w:t>
      </w:r>
    </w:p>
    <w:p w14:paraId="5E418EFD">
      <w:pPr>
        <w:keepNext w:val="0"/>
        <w:keepLines w:val="0"/>
        <w:pageBreakBefore w:val="0"/>
        <w:kinsoku/>
        <w:wordWrap/>
        <w:overflowPunct/>
        <w:topLinePunct w:val="0"/>
        <w:autoSpaceDE/>
        <w:autoSpaceDN/>
        <w:bidi w:val="0"/>
        <w:spacing w:line="360" w:lineRule="auto"/>
        <w:ind w:firstLine="210" w:firstLineChars="100"/>
        <w:textAlignment w:val="auto"/>
        <w:rPr>
          <w:rFonts w:hint="eastAsia" w:ascii="仿宋" w:hAnsi="仿宋" w:eastAsia="仿宋" w:cs="仿宋"/>
        </w:rPr>
      </w:pPr>
      <w:r>
        <w:rPr>
          <w:rFonts w:hint="eastAsia" w:ascii="仿宋" w:hAnsi="仿宋" w:eastAsia="仿宋" w:cs="仿宋"/>
        </w:rPr>
        <w:t>（一）甲方的权利和义务</w:t>
      </w:r>
    </w:p>
    <w:p w14:paraId="12D70FB6">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甲方提供所需要的专人及场地配合乙方进行</w:t>
      </w:r>
      <w:bookmarkStart w:id="0" w:name="_Hlk179559389"/>
      <w:r>
        <w:rPr>
          <w:rFonts w:hint="eastAsia" w:ascii="仿宋" w:hAnsi="仿宋" w:eastAsia="仿宋" w:cs="仿宋"/>
        </w:rPr>
        <w:t>维保</w:t>
      </w:r>
      <w:bookmarkEnd w:id="0"/>
      <w:r>
        <w:rPr>
          <w:rFonts w:hint="eastAsia" w:ascii="仿宋" w:hAnsi="仿宋" w:eastAsia="仿宋" w:cs="仿宋"/>
        </w:rPr>
        <w:t>工作。</w:t>
      </w:r>
    </w:p>
    <w:p w14:paraId="254C3E8C">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甲方提供乙方维保过程中所必须的各项技术资料。</w:t>
      </w:r>
    </w:p>
    <w:p w14:paraId="7AC946B2">
      <w:pPr>
        <w:keepNext w:val="0"/>
        <w:keepLines w:val="0"/>
        <w:pageBreakBefore w:val="0"/>
        <w:kinsoku/>
        <w:wordWrap/>
        <w:overflowPunct/>
        <w:topLinePunct w:val="0"/>
        <w:autoSpaceDE/>
        <w:autoSpaceDN/>
        <w:bidi w:val="0"/>
        <w:spacing w:line="360" w:lineRule="auto"/>
        <w:ind w:firstLine="210" w:firstLineChars="100"/>
        <w:textAlignment w:val="auto"/>
        <w:rPr>
          <w:rFonts w:hint="eastAsia" w:ascii="仿宋" w:hAnsi="仿宋" w:eastAsia="仿宋" w:cs="仿宋"/>
        </w:rPr>
      </w:pPr>
      <w:r>
        <w:rPr>
          <w:rFonts w:hint="eastAsia" w:ascii="仿宋" w:hAnsi="仿宋" w:eastAsia="仿宋" w:cs="仿宋"/>
        </w:rPr>
        <w:t>（二）乙方的权利和义务</w:t>
      </w:r>
    </w:p>
    <w:p w14:paraId="041BFB6E">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乙方按照合同约定保证维保后设备完好，确保设备高效、安全、正常运行，保障设备整机及零部件完整无损，按照甲方要求进行验收。</w:t>
      </w:r>
    </w:p>
    <w:p w14:paraId="30857100">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乙方在维保过程中负责维保工程师、设备及配件的安全，出现设备及人员安全意外由乙方自行承担后果，由此给甲方造成任何损失的，乙方承担全部责任。</w:t>
      </w:r>
    </w:p>
    <w:p w14:paraId="445BEA48">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14:paraId="1EFCFD55">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w:t>
      </w:r>
    </w:p>
    <w:p w14:paraId="228DA182">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rPr>
      </w:pPr>
      <w:r>
        <w:rPr>
          <w:rFonts w:hint="eastAsia" w:ascii="仿宋" w:hAnsi="仿宋" w:eastAsia="仿宋" w:cs="仿宋"/>
          <w:b/>
        </w:rPr>
        <w:t>五、维保服务条件：</w:t>
      </w:r>
    </w:p>
    <w:p w14:paraId="31A4158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（一）维保地点：</w:t>
      </w:r>
      <w:r>
        <w:rPr>
          <w:rFonts w:hint="eastAsia" w:ascii="仿宋" w:hAnsi="仿宋" w:eastAsia="仿宋" w:cs="仿宋"/>
          <w:lang w:eastAsia="zh-CN"/>
        </w:rPr>
        <w:t>西安市精神卫生中心</w:t>
      </w:r>
      <w:r>
        <w:rPr>
          <w:rFonts w:hint="eastAsia" w:ascii="仿宋" w:hAnsi="仿宋" w:eastAsia="仿宋" w:cs="仿宋"/>
        </w:rPr>
        <w:t>。</w:t>
      </w:r>
    </w:p>
    <w:p w14:paraId="004B3719">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（二）维保期限：</w:t>
      </w:r>
      <w:r>
        <w:rPr>
          <w:rFonts w:hint="eastAsia" w:ascii="仿宋" w:hAnsi="仿宋" w:eastAsia="仿宋" w:cs="仿宋"/>
          <w:u w:val="single"/>
        </w:rPr>
        <w:t xml:space="preserve"> </w:t>
      </w:r>
      <w:r>
        <w:rPr>
          <w:rFonts w:hint="eastAsia" w:ascii="仿宋" w:hAnsi="仿宋" w:eastAsia="仿宋" w:cs="仿宋"/>
          <w:u w:val="single"/>
          <w:lang w:val="en-US" w:eastAsia="zh-CN"/>
        </w:rPr>
        <w:t>3年</w:t>
      </w:r>
      <w:r>
        <w:rPr>
          <w:rFonts w:hint="eastAsia" w:ascii="仿宋" w:hAnsi="仿宋" w:eastAsia="仿宋" w:cs="仿宋"/>
        </w:rPr>
        <w:t>（自XXXX年X月X日至XXXX年X月X日止）完成设备维保、调试并正常运行。</w:t>
      </w:r>
    </w:p>
    <w:p w14:paraId="1F570E5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（三）服务交付条件：</w:t>
      </w:r>
    </w:p>
    <w:p w14:paraId="3CBFB91F">
      <w:pPr>
        <w:keepNext w:val="0"/>
        <w:keepLines w:val="0"/>
        <w:pageBreakBefore w:val="0"/>
        <w:tabs>
          <w:tab w:val="left" w:pos="480"/>
        </w:tabs>
        <w:kinsoku/>
        <w:wordWrap/>
        <w:overflowPunct/>
        <w:topLinePunct w:val="0"/>
        <w:autoSpaceDE/>
        <w:autoSpaceDN/>
        <w:bidi w:val="0"/>
        <w:spacing w:line="360" w:lineRule="auto"/>
        <w:ind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维保服务范围：整机保修服务（含电子部分：操作台、系统柜、病床整机软硬件维修、检测及备件更换；线圈部分：所有原厂配置线圈的维修、检测、备件更换；制冷部分：冷头、吸附器、液氦（免费无限量）、氦压缩机、高低压氦气管路、室外水冷机及机房空调的维修与备件更换；磁体；不含激光相机、高压注射器）；</w:t>
      </w:r>
    </w:p>
    <w:p w14:paraId="63E5AEF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u w:val="single"/>
          <w:lang w:val="en-US" w:eastAsia="zh-CN"/>
        </w:rPr>
      </w:pPr>
      <w:r>
        <w:rPr>
          <w:rFonts w:hint="eastAsia" w:ascii="仿宋" w:hAnsi="仿宋" w:eastAsia="仿宋" w:cs="仿宋"/>
          <w:lang w:val="en-US" w:eastAsia="zh-CN"/>
        </w:rPr>
        <w:t>2、服务期内需提供全天24小时技术电话支持（含周末），技术电话为：</w:t>
      </w:r>
      <w:r>
        <w:rPr>
          <w:rFonts w:hint="eastAsia" w:ascii="仿宋" w:hAnsi="仿宋" w:eastAsia="仿宋" w:cs="仿宋"/>
          <w:u w:val="single"/>
          <w:lang w:val="en-US" w:eastAsia="zh-CN"/>
        </w:rPr>
        <w:t xml:space="preserve">           ；</w:t>
      </w:r>
    </w:p>
    <w:p w14:paraId="560FD0DF">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3、响应时间：接到报修电话1小时内提供电话支持，若远程无法解决，须在24小时内到达现场进行维修，排除故障；</w:t>
      </w:r>
    </w:p>
    <w:p w14:paraId="05159DF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4、开机率要求：≥95%，以365天计算，即每年因设备故障原因造成的停机不超过18个日历日，如未达到，需通过1：5延长服务期补足，即以停机天数的5倍天数补足；单次故障排除时间不超过72小时，每超过1天，维保期顺延5天。</w:t>
      </w:r>
    </w:p>
    <w:p w14:paraId="320BD7C6">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5、专职工程师：</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名；</w:t>
      </w:r>
    </w:p>
    <w:p w14:paraId="4B46EBB9">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6、备件库：设有专业的备件库，备件库地址：</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w:t>
      </w:r>
    </w:p>
    <w:p w14:paraId="171C4DC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default" w:ascii="仿宋" w:hAnsi="仿宋" w:eastAsia="仿宋" w:cs="仿宋"/>
          <w:lang w:val="en-US" w:eastAsia="zh-CN"/>
        </w:rPr>
      </w:pPr>
      <w:r>
        <w:rPr>
          <w:rFonts w:hint="eastAsia" w:ascii="仿宋" w:hAnsi="仿宋" w:eastAsia="仿宋" w:cs="仿宋"/>
          <w:lang w:val="en-US" w:eastAsia="zh-CN"/>
        </w:rPr>
        <w:t>7、零备件供应：更换的零部件为原厂全新备件，维修后的技术参数需达到原厂技术要求；</w:t>
      </w:r>
    </w:p>
    <w:p w14:paraId="6D2D2A3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8、一年内至少提供每季度一次，共至少4次定期维护，每次维护保养完成后，3个工作日内须向甲方提供书面维护保养报告；</w:t>
      </w:r>
    </w:p>
    <w:p w14:paraId="6486A5E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9、服务期内，若维修更换配件时引发CT机其他新故障时，由乙方自行解决故障及配件，费用由乙方承担；</w:t>
      </w:r>
    </w:p>
    <w:p w14:paraId="2DBEFC4C">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10、在保修期内负责向甲方提供4人次临床应用交流和工程师维修胜任力培训。</w:t>
      </w:r>
    </w:p>
    <w:p w14:paraId="3AA9BE91">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11、定期保养：每年提供4次保养，并提供保养报告单；定期的维护保养服务包括：设备的安全检查、影像质量检查、设备清洁保养、性能测试及校准、 运行状态检查及相关的临床技术支持服务等。保养中需更换的损耗品由中标人免费提供。</w:t>
      </w:r>
    </w:p>
    <w:p w14:paraId="2A9D790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12、每次更换核心配件后需要对整机进行质控，并提供质控报告。</w:t>
      </w:r>
    </w:p>
    <w:p w14:paraId="383DBCE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13、备件保障：所有更换的零部件必须是与原厂型号一致的原厂全新合格备件。</w:t>
      </w:r>
    </w:p>
    <w:p w14:paraId="6BF9FC0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14、投标人必须提供海关进出口货物收发货人回执，提供核磁头颈线圈、腹部线圈、梯度放大器、冷头、射频放大器、压缩机等重大备件的报关单扫描件；</w:t>
      </w:r>
    </w:p>
    <w:p w14:paraId="0C51458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15.包含线圈保用，由原厂合格维修修复使用，如不能及时修复必须提供原厂合格备用线圈。</w:t>
      </w:r>
    </w:p>
    <w:p w14:paraId="307322A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16.在维保期间，如果甲方有移机需求，投标人应具备相应移机能力。</w:t>
      </w:r>
    </w:p>
    <w:p w14:paraId="720E4F2B">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17.投标人在设有专门服务机构，服务机构在具有不少于5名工程师，包括不少于2名原厂 MR维修常驻工程师，具有专项设备的原厂培训资质，并提供工程师与投标人的劳动关系。 </w:t>
      </w:r>
    </w:p>
    <w:p w14:paraId="2B2EE59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18.投标人具有全职的原厂认证合格的应用培训专家，满足 MR 3.0T 磁共振设备临床培训、扫描程序优化调整，支持维修保障服务，并能以现场或远程的形式，提供临床扫描、图像处理和相应业务拓展的专业支持，提供培训人员姓名、资质证明资料。</w:t>
      </w:r>
    </w:p>
    <w:p w14:paraId="46B3A3AC">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19.投标人具备相应的技术维修培训能力，包括原理讲解、上机模拟、故障诊断等。 </w:t>
      </w:r>
    </w:p>
    <w:p w14:paraId="7674995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20.投标人必须能提供全部服务类型：定期保养、远程服务（电话支持、宽带远程支持、宽带自动预警保障系统）、现场服务。</w:t>
      </w:r>
    </w:p>
    <w:p w14:paraId="3CF7397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21.通过远程系统24小时不间断监测设备运行健康状况（液氦、磁体制冷、温湿度、数据库系统、梯度、射频等等核心信息），提供自动预警、主动预防型保障和维修方案。</w:t>
      </w:r>
    </w:p>
    <w:p w14:paraId="7F7A134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lang w:val="en-US" w:eastAsia="zh-CN"/>
        </w:rPr>
        <w:t>22.投标人每位工程师须具有静电防护工具 1 套和相应安全防护用品，保证服务过程的安全性。</w:t>
      </w:r>
    </w:p>
    <w:p w14:paraId="238C0950">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六、质量保证</w:t>
      </w:r>
    </w:p>
    <w:p w14:paraId="6196A479">
      <w:pPr>
        <w:keepNext w:val="0"/>
        <w:keepLines w:val="0"/>
        <w:pageBreakBefore w:val="0"/>
        <w:tabs>
          <w:tab w:val="left" w:pos="480"/>
        </w:tabs>
        <w:kinsoku/>
        <w:wordWrap/>
        <w:overflowPunct/>
        <w:topLinePunct w:val="0"/>
        <w:autoSpaceDE/>
        <w:autoSpaceDN/>
        <w:bidi w:val="0"/>
        <w:spacing w:line="360" w:lineRule="auto"/>
        <w:ind w:firstLine="411" w:firstLineChars="196"/>
        <w:textAlignment w:val="auto"/>
        <w:rPr>
          <w:rFonts w:hint="eastAsia" w:ascii="仿宋" w:hAnsi="仿宋" w:eastAsia="仿宋" w:cs="仿宋"/>
        </w:rPr>
      </w:pPr>
      <w:r>
        <w:rPr>
          <w:rFonts w:hint="eastAsia" w:ascii="仿宋" w:hAnsi="仿宋" w:eastAsia="仿宋" w:cs="仿宋"/>
        </w:rPr>
        <w:t>乙方所维保设备必须执行下列条款：</w:t>
      </w:r>
    </w:p>
    <w:p w14:paraId="4D3E077C">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（一）符合有关规范要求，确保维保后排除故障，设备达到最佳运行状态。</w:t>
      </w:r>
    </w:p>
    <w:p w14:paraId="66EB55E9">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（二）合同有效期内（自合同签订之日起至维保服务期满）：</w:t>
      </w:r>
    </w:p>
    <w:p w14:paraId="14F8B0AF">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有关维保部件、配件出现故障无法正常使用，须由乙方免费更换同型号、同规格的配件或继续进行故障排除，解决问题不超过24小时（工作日）。一周内不能解决的，甲方有权指定第三方维保，第三方维保费用及因此给甲方造成的损失由乙方承担，甲方有权在未付合同款中予以扣除。</w:t>
      </w:r>
    </w:p>
    <w:p w14:paraId="275A39E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（三）如乙方提供的配件作为医疗器械管理，乙方应依法取得相关经营许可，同时向甲方出具该产品的相关注册证。</w:t>
      </w:r>
    </w:p>
    <w:p w14:paraId="6F596272">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七、验收</w:t>
      </w:r>
    </w:p>
    <w:p w14:paraId="7122625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（一）维保完成后，由甲乙双方共同验收，并填写书面验收单，若验收不合格的，乙方应在【</w:t>
      </w:r>
      <w:r>
        <w:rPr>
          <w:rFonts w:hint="eastAsia" w:ascii="仿宋" w:hAnsi="仿宋" w:eastAsia="仿宋" w:cs="仿宋"/>
          <w:u w:val="single"/>
        </w:rPr>
        <w:t xml:space="preserve">    </w:t>
      </w:r>
      <w:r>
        <w:rPr>
          <w:rFonts w:hint="eastAsia" w:ascii="仿宋" w:hAnsi="仿宋" w:eastAsia="仿宋" w:cs="仿宋"/>
        </w:rPr>
        <w:t>】小时内免费返修。</w:t>
      </w:r>
    </w:p>
    <w:p w14:paraId="05052D7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（二）乙方向甲方提交设备维保过程中的所有资料及换下的故障配件。</w:t>
      </w:r>
    </w:p>
    <w:p w14:paraId="4EEBFE9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（三）验收标准：本合同、招标文件、响应文件/投标文件。</w:t>
      </w:r>
    </w:p>
    <w:p w14:paraId="0F9F9F32">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八、违约责任</w:t>
      </w:r>
    </w:p>
    <w:p w14:paraId="5DBC30C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（一）按《中华人民共和国民法典》中的相关条款执行。</w:t>
      </w:r>
    </w:p>
    <w:p w14:paraId="4B6E2FE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（二）未按合同要求提供维保设备服务或维保质量不能满足</w:t>
      </w:r>
      <w:bookmarkStart w:id="1" w:name="OLE_LINK2"/>
      <w:bookmarkStart w:id="2" w:name="OLE_LINK1"/>
      <w:r>
        <w:rPr>
          <w:rFonts w:hint="eastAsia" w:ascii="仿宋" w:hAnsi="仿宋" w:eastAsia="仿宋" w:cs="仿宋"/>
        </w:rPr>
        <w:t>合同、竞争性磋商文件、响应文件等的</w:t>
      </w:r>
      <w:bookmarkEnd w:id="1"/>
      <w:bookmarkEnd w:id="2"/>
      <w:r>
        <w:rPr>
          <w:rFonts w:hint="eastAsia" w:ascii="仿宋" w:hAnsi="仿宋" w:eastAsia="仿宋" w:cs="仿宋"/>
        </w:rPr>
        <w:t>要求，乙方必须无条件按甲方要求的实现进行整改，否则，甲方有权单方解除本合同，解除合同书面通知书到达乙方之日视为合同已解除，按以下两种方式追究乙方的违约责任，并对乙方的违约行为报监管机构进行相应的处罚。</w:t>
      </w:r>
    </w:p>
    <w:p w14:paraId="5C02FF3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1、乙方赔偿甲方解除合同的全部损失（包括但不限于重新采购产生的费用、合同未履行导致设备不能使用可能产生的租赁费用及其它由此造成的甲方对第三方的违约损失）；</w:t>
      </w:r>
    </w:p>
    <w:p w14:paraId="257EB27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2、乙方支付甲方违约金，违约金计算方法：以合同总价为基数，支付甲方合同总价的【】%为违约金。</w:t>
      </w:r>
    </w:p>
    <w:p w14:paraId="5F6BAA11">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（三）由于乙方技术或其他原因造成甲方设备原有故障之外的其他故障或配件损坏，乙方负责免费修复或更换配件，无法修复的，乙方除应照价赔偿外，还应赔偿由此给甲方造成的全部损失。</w:t>
      </w:r>
    </w:p>
    <w:p w14:paraId="7F9BDE57">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四）若乙方未按照合同第六条约定的时间响应并排除故障的，工期每超过一天，扣除乙方合同总价款的1‰。累计超过【】日，视为乙方根本违约，甲方有权单方解除合同，解除合同书面通知书到达乙方之日视为合同已解除，并要求乙方按本条第（二）款之约定承担违约责任。</w:t>
      </w:r>
    </w:p>
    <w:p w14:paraId="24D9FA0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（五）对于本合同项下约定的需乙方支付的任何费用及合同违约金，甲方均有权利从应支付合同款项中直接扣除。</w:t>
      </w:r>
    </w:p>
    <w:p w14:paraId="236BD3B8">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十二、合同争议解决的方式</w:t>
      </w:r>
    </w:p>
    <w:p w14:paraId="754A2D3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本合同在履行过程中发生的争议，由甲、乙双方当事人协商解决，协商不成的按以下第</w:t>
      </w:r>
      <w:r>
        <w:rPr>
          <w:rFonts w:hint="eastAsia" w:ascii="仿宋" w:hAnsi="仿宋" w:eastAsia="仿宋" w:cs="仿宋"/>
          <w:u w:val="single"/>
        </w:rPr>
        <w:sym w:font="Wingdings" w:char="F082"/>
      </w:r>
      <w:r>
        <w:rPr>
          <w:rFonts w:hint="eastAsia" w:ascii="仿宋" w:hAnsi="仿宋" w:eastAsia="仿宋" w:cs="仿宋"/>
        </w:rPr>
        <w:t>种方式解决：</w:t>
      </w:r>
    </w:p>
    <w:p w14:paraId="29D1FACB">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1、提交</w:t>
      </w:r>
      <w:r>
        <w:rPr>
          <w:rFonts w:hint="eastAsia" w:ascii="仿宋" w:hAnsi="仿宋" w:eastAsia="仿宋" w:cs="仿宋"/>
          <w:u w:val="single"/>
          <w:lang w:eastAsia="zh-CN"/>
        </w:rPr>
        <w:t>西安</w:t>
      </w:r>
      <w:r>
        <w:rPr>
          <w:rFonts w:hint="eastAsia" w:ascii="仿宋" w:hAnsi="仿宋" w:eastAsia="仿宋" w:cs="仿宋"/>
        </w:rPr>
        <w:t>仲裁委员会仲裁；</w:t>
      </w:r>
    </w:p>
    <w:p w14:paraId="6404255B">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2、依法向</w:t>
      </w:r>
      <w:r>
        <w:rPr>
          <w:rFonts w:hint="eastAsia" w:ascii="仿宋" w:hAnsi="仿宋" w:eastAsia="仿宋" w:cs="仿宋"/>
          <w:u w:val="single"/>
        </w:rPr>
        <w:t>甲方所在地</w:t>
      </w:r>
      <w:r>
        <w:rPr>
          <w:rFonts w:hint="eastAsia" w:ascii="仿宋" w:hAnsi="仿宋" w:eastAsia="仿宋" w:cs="仿宋"/>
        </w:rPr>
        <w:t>人民法院起诉。</w:t>
      </w:r>
    </w:p>
    <w:p w14:paraId="34850E50">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十三、合同生效</w:t>
      </w:r>
    </w:p>
    <w:p w14:paraId="7C0130B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本合同一式</w:t>
      </w:r>
      <w:r>
        <w:rPr>
          <w:rFonts w:hint="eastAsia" w:ascii="仿宋" w:hAnsi="仿宋" w:eastAsia="仿宋" w:cs="仿宋"/>
          <w:u w:val="single"/>
        </w:rPr>
        <w:t xml:space="preserve">  </w:t>
      </w:r>
      <w:r>
        <w:rPr>
          <w:rFonts w:hint="eastAsia" w:ascii="仿宋" w:hAnsi="仿宋" w:eastAsia="仿宋" w:cs="仿宋"/>
        </w:rPr>
        <w:t>份，甲方执</w:t>
      </w:r>
      <w:r>
        <w:rPr>
          <w:rFonts w:hint="eastAsia" w:ascii="仿宋" w:hAnsi="仿宋" w:eastAsia="仿宋" w:cs="仿宋"/>
          <w:u w:val="single"/>
        </w:rPr>
        <w:t xml:space="preserve">  </w:t>
      </w:r>
      <w:r>
        <w:rPr>
          <w:rFonts w:hint="eastAsia" w:ascii="仿宋" w:hAnsi="仿宋" w:eastAsia="仿宋" w:cs="仿宋"/>
        </w:rPr>
        <w:t>份，乙方执</w:t>
      </w:r>
      <w:r>
        <w:rPr>
          <w:rFonts w:hint="eastAsia" w:ascii="仿宋" w:hAnsi="仿宋" w:eastAsia="仿宋" w:cs="仿宋"/>
          <w:u w:val="single"/>
        </w:rPr>
        <w:t xml:space="preserve">  </w:t>
      </w:r>
      <w:r>
        <w:rPr>
          <w:rFonts w:hint="eastAsia" w:ascii="仿宋" w:hAnsi="仿宋" w:eastAsia="仿宋" w:cs="仿宋"/>
        </w:rPr>
        <w:t>份，本合同甲、乙双方签字盖章后生效，合同执行完毕后，自动终止（合同的服务承诺则长期有效）。</w:t>
      </w:r>
    </w:p>
    <w:p w14:paraId="564E2781">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十四、其他事项</w:t>
      </w:r>
    </w:p>
    <w:p w14:paraId="0979D00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（一）合同未尽事宜，由甲、乙双方协商、确认后，作为合同补充，与原合同具有同等法律效力。</w:t>
      </w:r>
    </w:p>
    <w:p w14:paraId="344104C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（二）合同一经签订，不得擅自变更、中止或终止合同。对确需变更、调整或中止、终止合同的，应按规定履行相应的手续。</w:t>
      </w:r>
    </w:p>
    <w:p w14:paraId="5D08FAF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（三）本合同按照中华人民共和国的现行法律进行解释。</w:t>
      </w:r>
    </w:p>
    <w:p w14:paraId="08C49FF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（四）竞争性磋商文件、响应（投标）文件、澄清函（表）均为本合同不可分割的一部分，与本合同具有同等法律效力。</w:t>
      </w:r>
    </w:p>
    <w:p w14:paraId="58AA18E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（五）供应商规模：</w:t>
      </w:r>
      <w:r>
        <w:rPr>
          <w:rFonts w:hint="eastAsia" w:ascii="仿宋" w:hAnsi="仿宋" w:eastAsia="仿宋" w:cs="仿宋"/>
          <w:u w:val="single"/>
        </w:rPr>
        <w:t xml:space="preserve">                </w:t>
      </w:r>
      <w:r>
        <w:rPr>
          <w:rFonts w:hint="eastAsia" w:ascii="仿宋" w:hAnsi="仿宋" w:eastAsia="仿宋" w:cs="仿宋"/>
        </w:rPr>
        <w:t>（大型企业/中型企业/小微型企业）</w:t>
      </w:r>
    </w:p>
    <w:p w14:paraId="393E60E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u w:val="single"/>
        </w:rPr>
      </w:pPr>
      <w:r>
        <w:rPr>
          <w:rFonts w:hint="eastAsia" w:ascii="仿宋" w:hAnsi="仿宋" w:eastAsia="仿宋" w:cs="仿宋"/>
        </w:rPr>
        <w:t>（六） 甲方联系人：</w:t>
      </w:r>
      <w:r>
        <w:rPr>
          <w:rFonts w:hint="eastAsia" w:ascii="仿宋" w:hAnsi="仿宋" w:eastAsia="仿宋" w:cs="仿宋"/>
          <w:u w:val="single"/>
        </w:rPr>
        <w:t xml:space="preserve">           </w:t>
      </w:r>
      <w:r>
        <w:rPr>
          <w:rFonts w:hint="eastAsia" w:ascii="仿宋" w:hAnsi="仿宋" w:eastAsia="仿宋" w:cs="仿宋"/>
        </w:rPr>
        <w:t>；联系电话：</w:t>
      </w:r>
      <w:r>
        <w:rPr>
          <w:rFonts w:hint="eastAsia" w:ascii="仿宋" w:hAnsi="仿宋" w:eastAsia="仿宋" w:cs="仿宋"/>
          <w:u w:val="single"/>
        </w:rPr>
        <w:t xml:space="preserve">            </w:t>
      </w:r>
    </w:p>
    <w:p w14:paraId="1E1C2F01">
      <w:pPr>
        <w:keepNext w:val="0"/>
        <w:keepLines w:val="0"/>
        <w:pageBreakBefore w:val="0"/>
        <w:tabs>
          <w:tab w:val="left" w:pos="480"/>
        </w:tabs>
        <w:kinsoku/>
        <w:wordWrap/>
        <w:overflowPunct/>
        <w:topLinePunct w:val="0"/>
        <w:autoSpaceDE/>
        <w:autoSpaceDN/>
        <w:bidi w:val="0"/>
        <w:spacing w:line="360" w:lineRule="auto"/>
        <w:ind w:firstLine="1050" w:firstLineChars="500"/>
        <w:textAlignment w:val="auto"/>
        <w:rPr>
          <w:rFonts w:hint="eastAsia" w:ascii="仿宋" w:hAnsi="仿宋" w:eastAsia="仿宋" w:cs="仿宋"/>
        </w:rPr>
      </w:pPr>
      <w:r>
        <w:rPr>
          <w:rFonts w:hint="eastAsia" w:ascii="仿宋" w:hAnsi="仿宋" w:eastAsia="仿宋" w:cs="仿宋"/>
        </w:rPr>
        <w:t xml:space="preserve"> 乙方联系人：</w:t>
      </w:r>
      <w:r>
        <w:rPr>
          <w:rFonts w:hint="eastAsia" w:ascii="仿宋" w:hAnsi="仿宋" w:eastAsia="仿宋" w:cs="仿宋"/>
          <w:u w:val="single"/>
        </w:rPr>
        <w:t xml:space="preserve">           </w:t>
      </w:r>
      <w:r>
        <w:rPr>
          <w:rFonts w:hint="eastAsia" w:ascii="仿宋" w:hAnsi="仿宋" w:eastAsia="仿宋" w:cs="仿宋"/>
        </w:rPr>
        <w:t>；联系电话：</w:t>
      </w:r>
      <w:r>
        <w:rPr>
          <w:rFonts w:hint="eastAsia" w:ascii="仿宋" w:hAnsi="仿宋" w:eastAsia="仿宋" w:cs="仿宋"/>
          <w:u w:val="single"/>
        </w:rPr>
        <w:t xml:space="preserve">            </w:t>
      </w:r>
    </w:p>
    <w:p w14:paraId="06926639">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p>
    <w:p w14:paraId="760FA56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（以下无正文）</w:t>
      </w:r>
    </w:p>
    <w:p w14:paraId="27E76820">
      <w:pPr>
        <w:keepNext w:val="0"/>
        <w:keepLines w:val="0"/>
        <w:pageBreakBefore w:val="0"/>
        <w:tabs>
          <w:tab w:val="left" w:pos="480"/>
        </w:tabs>
        <w:kinsoku/>
        <w:wordWrap/>
        <w:overflowPunct/>
        <w:topLinePunct w:val="0"/>
        <w:autoSpaceDE/>
        <w:autoSpaceDN/>
        <w:bidi w:val="0"/>
        <w:spacing w:line="360" w:lineRule="auto"/>
        <w:textAlignment w:val="auto"/>
        <w:rPr>
          <w:rFonts w:hint="eastAsia" w:ascii="仿宋" w:hAnsi="仿宋" w:eastAsia="仿宋" w:cs="仿宋"/>
        </w:rPr>
      </w:pPr>
    </w:p>
    <w:p w14:paraId="2963D22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  方（法人公章）                          乙  方（法人公章）</w:t>
      </w:r>
    </w:p>
    <w:p w14:paraId="594B46DF">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p>
    <w:p w14:paraId="53C8871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法定代表人：                                法定代表人： </w:t>
      </w:r>
    </w:p>
    <w:p w14:paraId="46CD2B01">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代理人：                                    代理人：</w:t>
      </w:r>
    </w:p>
    <w:p w14:paraId="2209EA44">
      <w:pPr>
        <w:keepNext w:val="0"/>
        <w:keepLines w:val="0"/>
        <w:pageBreakBefore w:val="0"/>
        <w:tabs>
          <w:tab w:val="left" w:pos="480"/>
        </w:tabs>
        <w:kinsoku/>
        <w:wordWrap/>
        <w:overflowPunct/>
        <w:topLinePunct w:val="0"/>
        <w:autoSpaceDE/>
        <w:autoSpaceDN/>
        <w:bidi w:val="0"/>
        <w:spacing w:line="360" w:lineRule="auto"/>
        <w:ind w:firstLine="5040" w:firstLineChars="2400"/>
        <w:textAlignment w:val="auto"/>
        <w:rPr>
          <w:rFonts w:hint="eastAsia" w:ascii="仿宋" w:hAnsi="仿宋" w:eastAsia="仿宋" w:cs="仿宋"/>
        </w:rPr>
      </w:pPr>
      <w:r>
        <w:rPr>
          <w:rFonts w:hint="eastAsia" w:ascii="仿宋" w:hAnsi="仿宋" w:eastAsia="仿宋" w:cs="仿宋"/>
        </w:rPr>
        <w:t>开户银行：</w:t>
      </w:r>
    </w:p>
    <w:p w14:paraId="00A267BC">
      <w:pPr>
        <w:keepNext w:val="0"/>
        <w:keepLines w:val="0"/>
        <w:pageBreakBefore w:val="0"/>
        <w:tabs>
          <w:tab w:val="left" w:pos="480"/>
        </w:tabs>
        <w:kinsoku/>
        <w:wordWrap/>
        <w:overflowPunct/>
        <w:topLinePunct w:val="0"/>
        <w:autoSpaceDE/>
        <w:autoSpaceDN/>
        <w:bidi w:val="0"/>
        <w:spacing w:line="360" w:lineRule="auto"/>
        <w:ind w:firstLine="5040" w:firstLineChars="2400"/>
        <w:textAlignment w:val="auto"/>
        <w:rPr>
          <w:rFonts w:hint="eastAsia" w:ascii="仿宋" w:hAnsi="仿宋" w:eastAsia="仿宋" w:cs="仿宋"/>
        </w:rPr>
      </w:pPr>
      <w:r>
        <w:rPr>
          <w:rFonts w:hint="eastAsia" w:ascii="仿宋" w:hAnsi="仿宋" w:eastAsia="仿宋" w:cs="仿宋"/>
        </w:rPr>
        <w:t>帐  号：</w:t>
      </w:r>
    </w:p>
    <w:p w14:paraId="0D2AFB7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单位名称：                                  单位名称：</w:t>
      </w:r>
    </w:p>
    <w:p w14:paraId="66B7249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地  址：                                    地  址：</w:t>
      </w:r>
    </w:p>
    <w:p w14:paraId="21FDEB9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联系电话：                                  联系电话：</w:t>
      </w:r>
    </w:p>
    <w:p w14:paraId="146AA5A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highlight w:val="none"/>
        </w:rPr>
      </w:pPr>
      <w:r>
        <w:rPr>
          <w:rFonts w:hint="eastAsia" w:ascii="仿宋" w:hAnsi="仿宋" w:eastAsia="仿宋" w:cs="仿宋"/>
        </w:rPr>
        <w:t xml:space="preserve">签订日期：                                  签订日期：  </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8F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3F92A7">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3F92A7">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264CF"/>
    <w:multiLevelType w:val="multilevel"/>
    <w:tmpl w:val="16F264CF"/>
    <w:lvl w:ilvl="0" w:tentative="0">
      <w:start w:val="1"/>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9293C"/>
    <w:rsid w:val="1D073193"/>
    <w:rsid w:val="1FE136D4"/>
    <w:rsid w:val="3C096491"/>
    <w:rsid w:val="4E5D09F9"/>
    <w:rsid w:val="5AAA7770"/>
    <w:rsid w:val="7499293C"/>
    <w:rsid w:val="75501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sz w:val="28"/>
    </w:rPr>
  </w:style>
  <w:style w:type="paragraph" w:styleId="3">
    <w:name w:val="annotation text"/>
    <w:basedOn w:val="1"/>
    <w:qFormat/>
    <w:uiPriority w:val="0"/>
    <w:pPr>
      <w:jc w:val="left"/>
    </w:pPr>
  </w:style>
  <w:style w:type="paragraph" w:styleId="4">
    <w:name w:val="Body Text"/>
    <w:basedOn w:val="1"/>
    <w:next w:val="1"/>
    <w:qFormat/>
    <w:uiPriority w:val="0"/>
    <w:pPr>
      <w:spacing w:after="120" w:afterLines="0"/>
    </w:p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qFormat/>
    <w:uiPriority w:val="34"/>
    <w:pPr>
      <w:widowControl w:val="0"/>
      <w:ind w:firstLine="420" w:firstLineChars="200"/>
      <w:jc w:val="both"/>
    </w:pPr>
    <w:rPr>
      <w:rFonts w:ascii="Calibri" w:hAnsi="Calibri" w:eastAsia="宋体" w:cs="黑体"/>
      <w:kern w:val="2"/>
      <w:sz w:val="24"/>
      <w:szCs w:val="22"/>
      <w:lang w:val="en-US" w:eastAsia="zh-CN" w:bidi="ar-SA"/>
    </w:rPr>
  </w:style>
  <w:style w:type="paragraph" w:customStyle="1" w:styleId="12">
    <w:name w:val="正文（缩进 2 字符）"/>
    <w:basedOn w:val="1"/>
    <w:qFormat/>
    <w:uiPriority w:val="0"/>
    <w:pPr>
      <w:spacing w:line="360" w:lineRule="auto"/>
      <w:ind w:firstLine="200" w:firstLineChars="200"/>
    </w:pPr>
    <w:rPr>
      <w:rFonts w:ascii="Calibri" w:hAnsi="Calibri" w:eastAsia="宋体"/>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4050</Words>
  <Characters>4172</Characters>
  <Lines>0</Lines>
  <Paragraphs>0</Paragraphs>
  <TotalTime>0</TotalTime>
  <ScaleCrop>false</ScaleCrop>
  <LinksUpToDate>false</LinksUpToDate>
  <CharactersWithSpaces>4628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2025-06-27T06:37:00Z</dcterms:created>
  <dc:creator>十</dc:creator>
  <cp:lastModifiedBy>Li_JF</cp:lastModifiedBy>
  <dcterms:modified xsi:type="dcterms:W3CDTF">2026-06-15T09:10:52Z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1FD0FAD603A84534AEF6F636D080BAE4_11</vt:lpwstr>
  </property>
  <property fmtid="{D5CDD505-2E9C-101B-9397-08002B2CF9AE}" pid="4" name="KSOTemplateDocerSaveRecord">
    <vt:lpwstr>eyJoZGlkIjoiMGEyMzlhN2VhYTZmZDVjZjJjMTAyOTgwYzBjNTM2YTgiLCJ1c2VySWQiOiIxMDMxMjc4NzA5In0=</vt:lpwstr>
  </property>
</Properties>
</file>