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版本号：LYHJ-2026-02120260729001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2026年粮油绿色高效提单产项目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LYHJ-2026-021</w:t>
      </w:r>
      <w:r>
        <w:br/>
      </w:r>
      <w:r>
        <w:br/>
      </w:r>
      <w:r>
        <w:br/>
      </w:r>
    </w:p>
    <w:p>
      <w:pPr>
        <w:pStyle w:val="null3"/>
        <w:jc w:val="center"/>
        <w:outlineLvl w:val="2"/>
      </w:pPr>
      <w:r>
        <w:rPr>
          <w:rFonts w:ascii="仿宋_GB2312" w:hAnsi="仿宋_GB2312" w:cs="仿宋_GB2312" w:eastAsia="仿宋_GB2312"/>
          <w:sz w:val="28"/>
          <w:b/>
        </w:rPr>
        <w:t>乾县农业技术推广站</w:t>
      </w:r>
    </w:p>
    <w:p>
      <w:pPr>
        <w:pStyle w:val="null3"/>
        <w:jc w:val="center"/>
        <w:outlineLvl w:val="2"/>
      </w:pPr>
      <w:r>
        <w:rPr>
          <w:rFonts w:ascii="仿宋_GB2312" w:hAnsi="仿宋_GB2312" w:cs="仿宋_GB2312" w:eastAsia="仿宋_GB2312"/>
          <w:sz w:val="28"/>
          <w:b/>
        </w:rPr>
        <w:t>陕西朗屹恒基项目咨询管理有限公司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陕西朗屹恒基项目咨询管理有限公司</w:t>
      </w:r>
      <w:r>
        <w:rPr>
          <w:rFonts w:ascii="仿宋_GB2312" w:hAnsi="仿宋_GB2312" w:cs="仿宋_GB2312" w:eastAsia="仿宋_GB2312"/>
        </w:rPr>
        <w:t>（以下简称“代理机构”）受</w:t>
      </w:r>
      <w:r>
        <w:rPr>
          <w:rFonts w:ascii="仿宋_GB2312" w:hAnsi="仿宋_GB2312" w:cs="仿宋_GB2312" w:eastAsia="仿宋_GB2312"/>
        </w:rPr>
        <w:t>乾县农业技术推广站</w:t>
      </w:r>
      <w:r>
        <w:rPr>
          <w:rFonts w:ascii="仿宋_GB2312" w:hAnsi="仿宋_GB2312" w:cs="仿宋_GB2312" w:eastAsia="仿宋_GB2312"/>
        </w:rPr>
        <w:t>委托，拟对</w:t>
      </w:r>
      <w:r>
        <w:rPr>
          <w:rFonts w:ascii="仿宋_GB2312" w:hAnsi="仿宋_GB2312" w:cs="仿宋_GB2312" w:eastAsia="仿宋_GB2312"/>
        </w:rPr>
        <w:t>2026年粮油绿色高效提单产项目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LYHJ-2026-021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2026年粮油绿色高效提单产项目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咸农计财【2026】8号咸阳市农业农村局《关于印发2026年度第一批省级财政农业专项资金实施方案的通知》文件要求，聚焦冬小麦-夏玉米周年轮作区，建设水肥精准调控示范区，破解大水漫灌、盲目施肥、肥料利用率偏低、干旱减产等痛点问题。现需采购小麦玉米水肥一体化精准调控区首部系统、田间灌溉管网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采购包1（2026年粮油绿色高效提单产项目）：属于专门面向中小企业采购。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1、授权委托：非法人参加投标，须出具法定代表人授权书（附法定代表人、被授权人身份证复印件）及授权代表身份证；法定代表人参加投标的，须提供法定代表人身份证明书及身份证。</w:t>
      </w:r>
    </w:p>
    <w:p>
      <w:pPr>
        <w:pStyle w:val="null3"/>
      </w:pPr>
      <w:r>
        <w:rPr>
          <w:rFonts w:ascii="仿宋_GB2312" w:hAnsi="仿宋_GB2312" w:cs="仿宋_GB2312" w:eastAsia="仿宋_GB2312"/>
        </w:rPr>
        <w:t>2、信用查询：投标人不得为“信用中国”网站（www.creditchina.gov.cn）中列入失信被执行人和重大税收违法失信主体名单的供应商，不得为中国政府采购网 （www.ccgp.gov.cn）政府采购严重违法失信行为记录名单中被财政部门禁止参加政府采购活动的投标人。</w:t>
      </w:r>
    </w:p>
    <w:p>
      <w:pPr>
        <w:pStyle w:val="null3"/>
      </w:pPr>
      <w:r>
        <w:rPr>
          <w:rFonts w:ascii="仿宋_GB2312" w:hAnsi="仿宋_GB2312" w:cs="仿宋_GB2312" w:eastAsia="仿宋_GB2312"/>
        </w:rPr>
        <w:t>3、企业关联声明：单位负责人为同一人或者存在直接控股、管理关系的不同投标人，不得参加同一招标项目的投标活动。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乾县农业技术推广站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乾县城关街办宏学街十字（青少年校外活动中心）四楼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乾县农业技术推广站经办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13659103997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陕西朗屹恒基项目咨询管理有限公司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陕西省咸阳市秦都区滨河西路5号咸阳非金属矿研究设计院院内办公楼8楼中段中户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19299397951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吴翼臻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采购包1：1,199,915.40元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根据成交金额，参照国家计委2002年颁发的《招标代理服务收费管理暂行办法》(计价格〔2002〕1980号)及《调整后的招标代理服务收费标准》(发改价格〔2011〕534号)的规定收取，代理服务费由成交单位在领取成交通知书前向代理公司支付。 户名：陕西朗屹恒基项目咨询管理有限公司 开户行：中国农业银行咸阳中华广场支行 账号：26475001040028833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乾县农业技术推广站</w:t>
      </w:r>
      <w:r>
        <w:rPr>
          <w:rFonts w:ascii="仿宋_GB2312" w:hAnsi="仿宋_GB2312" w:cs="仿宋_GB2312" w:eastAsia="仿宋_GB2312"/>
        </w:rPr>
        <w:t>和</w:t>
      </w:r>
      <w:r>
        <w:rPr>
          <w:rFonts w:ascii="仿宋_GB2312" w:hAnsi="仿宋_GB2312" w:cs="仿宋_GB2312" w:eastAsia="仿宋_GB2312"/>
        </w:rPr>
        <w:t>陕西朗屹恒基项目咨询管理有限公司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乾县农业技术推广站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陕西朗屹恒基项目咨询管理有限公司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乾县农业技术推广站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陕西朗屹恒基项目咨询管理有限公司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所有产品符合国家节水灌溉相关标准，附带合格证明资料，按照采购规格参数要求供货，安装后通水试压无渗漏，整机提供正规质保服务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陕西朗屹恒基项目咨询管理有限公司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联系人：刘乐</w:t>
      </w:r>
    </w:p>
    <w:p>
      <w:pPr>
        <w:pStyle w:val="null3"/>
      </w:pPr>
      <w:r>
        <w:rPr>
          <w:rFonts w:ascii="仿宋_GB2312" w:hAnsi="仿宋_GB2312" w:cs="仿宋_GB2312" w:eastAsia="仿宋_GB2312"/>
        </w:rPr>
        <w:t>联系电话：19299397951</w:t>
      </w:r>
    </w:p>
    <w:p>
      <w:pPr>
        <w:pStyle w:val="null3"/>
      </w:pPr>
      <w:r>
        <w:rPr>
          <w:rFonts w:ascii="仿宋_GB2312" w:hAnsi="仿宋_GB2312" w:cs="仿宋_GB2312" w:eastAsia="仿宋_GB2312"/>
        </w:rPr>
        <w:t>地址：咸阳市秦都区滨河西路5号咸阳非金属矿研究设计院院内办公楼8楼中段中户</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根据咸农计财【2026】8号咸阳市农业农村局《关于印发2026年度第一批省级财政农业专项资金实施方案的通知》文件要求，聚焦冬小麦-夏玉米周年轮作区，建设水肥精准调控示范区，破解大水漫灌、盲目施肥、肥料利用率偏低、干旱减产等痛点问题。现需采购小麦玉米水肥一体化精准调控区首部系统、田间灌溉管网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1,199,915.40</w:t>
      </w:r>
    </w:p>
    <w:p>
      <w:pPr>
        <w:pStyle w:val="null3"/>
      </w:pPr>
      <w:r>
        <w:rPr>
          <w:rFonts w:ascii="仿宋_GB2312" w:hAnsi="仿宋_GB2312" w:cs="仿宋_GB2312" w:eastAsia="仿宋_GB2312"/>
        </w:rPr>
        <w:t>采购包最高限价（元）: 1,199,915.40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采购2026年粮油绿色高效单产提升项目水肥一体化精准调控区首部系统、田间灌溉管网一批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1,199,915.40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标的名称：采购2026年粮油绿色高效单产提升项目水肥一体化精准调控区首部系统、田间灌溉管网一批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right="1035"/>
            </w:pPr>
            <w:r>
              <w:rPr>
                <w:rFonts w:ascii="仿宋_GB2312" w:hAnsi="仿宋_GB2312" w:cs="仿宋_GB2312" w:eastAsia="仿宋_GB2312"/>
                <w:sz w:val="24"/>
              </w:rPr>
              <w:t>1、采购项目概括：2026年粮油绿色高效单产提升项目水肥一体化精准调控区首部系统、田间灌溉管网一批。</w:t>
            </w:r>
          </w:p>
          <w:p>
            <w:pPr>
              <w:pStyle w:val="null3"/>
              <w:spacing w:before="90"/>
              <w:ind w:right="1035"/>
            </w:pPr>
            <w:r>
              <w:rPr>
                <w:rFonts w:ascii="仿宋_GB2312" w:hAnsi="仿宋_GB2312" w:cs="仿宋_GB2312" w:eastAsia="仿宋_GB2312"/>
                <w:sz w:val="24"/>
              </w:rPr>
              <w:t>2、</w:t>
            </w:r>
            <w:r>
              <w:rPr>
                <w:rFonts w:ascii="仿宋_GB2312" w:hAnsi="仿宋_GB2312" w:cs="仿宋_GB2312" w:eastAsia="仿宋_GB2312"/>
                <w:sz w:val="24"/>
              </w:rPr>
              <w:t>交货期：</w:t>
            </w:r>
            <w:r>
              <w:rPr>
                <w:rFonts w:ascii="仿宋_GB2312" w:hAnsi="仿宋_GB2312" w:cs="仿宋_GB2312" w:eastAsia="仿宋_GB2312"/>
                <w:sz w:val="24"/>
              </w:rPr>
              <w:t>20日历天。</w:t>
            </w:r>
          </w:p>
          <w:p>
            <w:pPr>
              <w:pStyle w:val="null3"/>
              <w:spacing w:before="90"/>
              <w:ind w:right="1035"/>
            </w:pPr>
            <w:r>
              <w:rPr>
                <w:rFonts w:ascii="仿宋_GB2312" w:hAnsi="仿宋_GB2312" w:cs="仿宋_GB2312" w:eastAsia="仿宋_GB2312"/>
                <w:sz w:val="24"/>
              </w:rPr>
              <w:t>3、</w:t>
            </w:r>
            <w:r>
              <w:rPr>
                <w:rFonts w:ascii="仿宋_GB2312" w:hAnsi="仿宋_GB2312" w:cs="仿宋_GB2312" w:eastAsia="仿宋_GB2312"/>
                <w:sz w:val="24"/>
              </w:rPr>
              <w:t>质量标准及技术要求：</w:t>
            </w:r>
            <w:r>
              <w:rPr>
                <w:rFonts w:ascii="仿宋_GB2312" w:hAnsi="仿宋_GB2312" w:cs="仿宋_GB2312" w:eastAsia="仿宋_GB2312"/>
                <w:sz w:val="24"/>
              </w:rPr>
              <w:t xml:space="preserve">1. 首部枢纽设备性能稳定可靠，具备精准水肥调配、多级过滤、恒压供水及安全防护功能，户外设备防腐防雨，整体运行智能化程度满足大田粮油灌溉调控需求。2. 田间灌溉管网采用全新优质PE管材管件，耐压抗老化、密封性良好，滴灌设施出水均匀、不易堵塞，适配农田长期使用。3.所有产品符合国家节水灌溉相关标准，附带合格证明资料，安装后通水试压无渗漏，整机提供正规质保服务。 </w:t>
            </w:r>
          </w:p>
          <w:p>
            <w:pPr>
              <w:pStyle w:val="null3"/>
              <w:spacing w:before="90" w:after="105"/>
              <w:ind w:right="120"/>
              <w:jc w:val="left"/>
            </w:pPr>
            <w:r>
              <w:rPr>
                <w:rFonts w:ascii="仿宋_GB2312" w:hAnsi="仿宋_GB2312" w:cs="仿宋_GB2312" w:eastAsia="仿宋_GB2312"/>
                <w:sz w:val="21"/>
              </w:rPr>
              <w:t>4、</w:t>
            </w:r>
            <w:r>
              <w:rPr>
                <w:rFonts w:ascii="仿宋_GB2312" w:hAnsi="仿宋_GB2312" w:cs="仿宋_GB2312" w:eastAsia="仿宋_GB2312"/>
                <w:sz w:val="21"/>
              </w:rPr>
              <w:t>售后服务要求：质保期不少于3年，质保范围包含本采购清单移动水肥一体机，输水带2年质保期，(最终以双方签订正式合同约定为准)。质保期内，凡非人为、非不可抗力因素造成的质量瑕疵、设备故障或损坏，所有维修、更换及相关费用均由供应商全额承担。因人为操作不当、私自改装及不可抗力造成的损坏，不在质保范围内。</w:t>
            </w:r>
          </w:p>
          <w:p>
            <w:pPr>
              <w:pStyle w:val="null3"/>
              <w:spacing w:before="90" w:after="105"/>
              <w:ind w:right="120"/>
              <w:jc w:val="left"/>
            </w:pPr>
            <w:r>
              <w:rPr>
                <w:rFonts w:ascii="仿宋_GB2312" w:hAnsi="仿宋_GB2312" w:cs="仿宋_GB2312" w:eastAsia="仿宋_GB2312"/>
                <w:sz w:val="21"/>
              </w:rPr>
              <w:t>5、商务要求（包装和运输、保险等）：投标人应对货物采取防潮、防晒、防腐蚀、防震动等防护措施，因包装、防护不当造成货物锈蚀、破损、灭失的一切损失由投标人自行承担。本项目货物运输、装卸、送货就位全部由投标人负责，投标人应合理选择运输路线。投标报价为完成本项目所有内容的总价包干价，包含人工费、材料费、运输装卸费、安装调试费、缺陷修复费、管理费、利润、风险费用、规费、税金等全部费用。投标人在报价阶段充分预判各类成本与风险，项目成交后，采购人不再追加支付任何费用。</w:t>
            </w:r>
          </w:p>
          <w:p>
            <w:pPr>
              <w:pStyle w:val="null3"/>
              <w:spacing w:before="90" w:after="105"/>
              <w:ind w:right="120"/>
              <w:jc w:val="left"/>
            </w:pPr>
            <w:r>
              <w:rPr>
                <w:rFonts w:ascii="仿宋_GB2312" w:hAnsi="仿宋_GB2312" w:cs="仿宋_GB2312" w:eastAsia="仿宋_GB2312"/>
                <w:sz w:val="21"/>
              </w:rPr>
              <w:t>6、采购清单：</w:t>
            </w:r>
          </w:p>
          <w:tbl>
            <w:tblPr>
              <w:tblInd w:type="dxa" w:w="90"/>
              <w:tblBorders>
                <w:top w:val="none" w:color="000000" w:sz="4"/>
                <w:left w:val="none" w:color="000000" w:sz="4"/>
                <w:bottom w:val="none" w:color="000000" w:sz="4"/>
                <w:right w:val="none" w:color="000000" w:sz="4"/>
                <w:insideH w:val="none"/>
                <w:insideV w:val="none"/>
              </w:tblBorders>
            </w:tblPr>
            <w:tblGrid>
              <w:gridCol w:w="112"/>
              <w:gridCol w:w="221"/>
              <w:gridCol w:w="146"/>
              <w:gridCol w:w="1401"/>
              <w:gridCol w:w="108"/>
              <w:gridCol w:w="154"/>
              <w:gridCol w:w="112"/>
              <w:gridCol w:w="150"/>
              <w:gridCol w:w="125"/>
            </w:tblGrid>
            <w:tr>
              <w:tc>
                <w:tcPr>
                  <w:tcW w:type="dxa" w:w="2529"/>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2026年粮油绿色高效提单产项目清单</w:t>
                  </w:r>
                </w:p>
              </w:tc>
            </w:tr>
            <w:tr>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材质</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材料规格参数</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单价（元）</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总价（元）</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移动水肥一体机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带防护罩的平板车：可能集成牵引式拖车。</w:t>
                  </w:r>
                  <w:r>
                    <w:br/>
                  </w:r>
                  <w:r>
                    <w:rPr>
                      <w:rFonts w:ascii="仿宋_GB2312" w:hAnsi="仿宋_GB2312" w:cs="仿宋_GB2312" w:eastAsia="仿宋_GB2312"/>
                      <w:sz w:val="18"/>
                      <w:color w:val="000000"/>
                    </w:rPr>
                    <w:t>2. 离心加叠片过滤器：过滤器尺寸为110mm ，2通道叠片，每小时过滤水量≥60m³，叠片过滤器带自动反冲洗功能。柴油发电机组380V，带防雨外箱</w:t>
                  </w:r>
                  <w:r>
                    <w:br/>
                  </w:r>
                  <w:r>
                    <w:rPr>
                      <w:rFonts w:ascii="仿宋_GB2312" w:hAnsi="仿宋_GB2312" w:cs="仿宋_GB2312" w:eastAsia="仿宋_GB2312"/>
                      <w:sz w:val="18"/>
                      <w:color w:val="000000"/>
                    </w:rPr>
                    <w:t>3. 施肥罐500L，含搅拌电机</w:t>
                  </w:r>
                  <w:r>
                    <w:br/>
                  </w:r>
                  <w:r>
                    <w:rPr>
                      <w:rFonts w:ascii="仿宋_GB2312" w:hAnsi="仿宋_GB2312" w:cs="仿宋_GB2312" w:eastAsia="仿宋_GB2312"/>
                      <w:sz w:val="18"/>
                      <w:color w:val="000000"/>
                    </w:rPr>
                    <w:t>4. 柴油发电机组380V，可同时满足搅拌机和注肥泵</w:t>
                  </w:r>
                  <w:r>
                    <w:br/>
                  </w:r>
                  <w:r>
                    <w:rPr>
                      <w:rFonts w:ascii="仿宋_GB2312" w:hAnsi="仿宋_GB2312" w:cs="仿宋_GB2312" w:eastAsia="仿宋_GB2312"/>
                      <w:sz w:val="18"/>
                      <w:color w:val="000000"/>
                    </w:rPr>
                    <w:t>5.注肥泵：单通道注肥，每小时注肥量2-2.5m³，配水射器。</w:t>
                  </w:r>
                  <w:r>
                    <w:br/>
                  </w:r>
                  <w:r>
                    <w:rPr>
                      <w:rFonts w:ascii="仿宋_GB2312" w:hAnsi="仿宋_GB2312" w:cs="仿宋_GB2312" w:eastAsia="仿宋_GB2312"/>
                      <w:sz w:val="18"/>
                      <w:color w:val="000000"/>
                    </w:rPr>
                    <w:t>6.单通道智能施肥机：触屏操作</w:t>
                  </w:r>
                  <w:r>
                    <w:br/>
                  </w:r>
                  <w:r>
                    <w:rPr>
                      <w:rFonts w:ascii="仿宋_GB2312" w:hAnsi="仿宋_GB2312" w:cs="仿宋_GB2312" w:eastAsia="仿宋_GB2312"/>
                      <w:sz w:val="18"/>
                      <w:color w:val="000000"/>
                    </w:rPr>
                    <w:t>7.化工级别PVC-U管材及管件：连接水肥一体机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110帆布带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涤纶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110预制孔水带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PE编织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110mm</w:t>
                  </w:r>
                  <w:r>
                    <w:br/>
                  </w:r>
                  <w:r>
                    <w:rPr>
                      <w:rFonts w:ascii="仿宋_GB2312" w:hAnsi="仿宋_GB2312" w:cs="仿宋_GB2312" w:eastAsia="仿宋_GB2312"/>
                      <w:sz w:val="18"/>
                      <w:color w:val="000000"/>
                    </w:rPr>
                    <w:t>压力：</w:t>
                  </w:r>
                  <w:r>
                    <w:rPr>
                      <w:rFonts w:ascii="仿宋_GB2312" w:hAnsi="仿宋_GB2312" w:cs="仿宋_GB2312" w:eastAsia="仿宋_GB2312"/>
                      <w:sz w:val="18"/>
                      <w:color w:val="000000"/>
                    </w:rPr>
                    <w:t>≥0.5MPA</w:t>
                  </w:r>
                  <w:r>
                    <w:br/>
                  </w:r>
                  <w:r>
                    <w:rPr>
                      <w:rFonts w:ascii="仿宋_GB2312" w:hAnsi="仿宋_GB2312" w:cs="仿宋_GB2312" w:eastAsia="仿宋_GB2312"/>
                      <w:sz w:val="18"/>
                      <w:color w:val="000000"/>
                    </w:rPr>
                    <w:t>孔间距：</w:t>
                  </w:r>
                  <w:r>
                    <w:rPr>
                      <w:rFonts w:ascii="仿宋_GB2312" w:hAnsi="仿宋_GB2312" w:cs="仿宋_GB2312" w:eastAsia="仿宋_GB2312"/>
                      <w:sz w:val="18"/>
                      <w:color w:val="000000"/>
                    </w:rPr>
                    <w:t>60cm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2940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90预制孔水带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PE编织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90mm</w:t>
                  </w:r>
                  <w:r>
                    <w:br/>
                  </w:r>
                  <w:r>
                    <w:rPr>
                      <w:rFonts w:ascii="仿宋_GB2312" w:hAnsi="仿宋_GB2312" w:cs="仿宋_GB2312" w:eastAsia="仿宋_GB2312"/>
                      <w:sz w:val="18"/>
                      <w:color w:val="000000"/>
                    </w:rPr>
                    <w:t>爆破压力：</w:t>
                  </w:r>
                  <w:r>
                    <w:rPr>
                      <w:rFonts w:ascii="仿宋_GB2312" w:hAnsi="仿宋_GB2312" w:cs="仿宋_GB2312" w:eastAsia="仿宋_GB2312"/>
                      <w:sz w:val="18"/>
                      <w:color w:val="000000"/>
                    </w:rPr>
                    <w:t xml:space="preserve">≥0.6MPA </w:t>
                  </w:r>
                  <w:r>
                    <w:br/>
                  </w:r>
                  <w:r>
                    <w:rPr>
                      <w:rFonts w:ascii="仿宋_GB2312" w:hAnsi="仿宋_GB2312" w:cs="仿宋_GB2312" w:eastAsia="仿宋_GB2312"/>
                      <w:sz w:val="18"/>
                      <w:color w:val="000000"/>
                    </w:rPr>
                    <w:t>孔间距：</w:t>
                  </w:r>
                  <w:r>
                    <w:rPr>
                      <w:rFonts w:ascii="仿宋_GB2312" w:hAnsi="仿宋_GB2312" w:cs="仿宋_GB2312" w:eastAsia="仿宋_GB2312"/>
                      <w:sz w:val="18"/>
                      <w:color w:val="000000"/>
                    </w:rPr>
                    <w:t>60cm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16滴灌带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PE</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 xml:space="preserve">16mm  </w:t>
                  </w:r>
                  <w:r>
                    <w:br/>
                  </w:r>
                  <w:r>
                    <w:rPr>
                      <w:rFonts w:ascii="仿宋_GB2312" w:hAnsi="仿宋_GB2312" w:cs="仿宋_GB2312" w:eastAsia="仿宋_GB2312"/>
                      <w:sz w:val="18"/>
                      <w:color w:val="000000"/>
                    </w:rPr>
                    <w:t>流量：</w:t>
                  </w:r>
                  <w:r>
                    <w:rPr>
                      <w:rFonts w:ascii="仿宋_GB2312" w:hAnsi="仿宋_GB2312" w:cs="仿宋_GB2312" w:eastAsia="仿宋_GB2312"/>
                      <w:sz w:val="18"/>
                      <w:color w:val="000000"/>
                    </w:rPr>
                    <w:t>1.38L</w:t>
                  </w:r>
                  <w:r>
                    <w:br/>
                  </w:r>
                  <w:r>
                    <w:rPr>
                      <w:rFonts w:ascii="仿宋_GB2312" w:hAnsi="仿宋_GB2312" w:cs="仿宋_GB2312" w:eastAsia="仿宋_GB2312"/>
                      <w:sz w:val="18"/>
                      <w:color w:val="000000"/>
                    </w:rPr>
                    <w:t>间距：</w:t>
                  </w:r>
                  <w:r>
                    <w:rPr>
                      <w:rFonts w:ascii="仿宋_GB2312" w:hAnsi="仿宋_GB2312" w:cs="仿宋_GB2312" w:eastAsia="仿宋_GB2312"/>
                      <w:sz w:val="18"/>
                      <w:color w:val="000000"/>
                    </w:rPr>
                    <w:t>30cm</w:t>
                  </w:r>
                  <w:r>
                    <w:br/>
                  </w:r>
                  <w:r>
                    <w:rPr>
                      <w:rFonts w:ascii="仿宋_GB2312" w:hAnsi="仿宋_GB2312" w:cs="仿宋_GB2312" w:eastAsia="仿宋_GB2312"/>
                      <w:sz w:val="18"/>
                      <w:color w:val="000000"/>
                    </w:rPr>
                    <w:t>孔数：单孔</w:t>
                  </w:r>
                  <w:r>
                    <w:br/>
                  </w:r>
                  <w:r>
                    <w:rPr>
                      <w:rFonts w:ascii="仿宋_GB2312" w:hAnsi="仿宋_GB2312" w:cs="仿宋_GB2312" w:eastAsia="仿宋_GB2312"/>
                      <w:sz w:val="18"/>
                      <w:color w:val="000000"/>
                    </w:rPr>
                    <w:t>承压：</w:t>
                  </w:r>
                  <w:r>
                    <w:rPr>
                      <w:rFonts w:ascii="仿宋_GB2312" w:hAnsi="仿宋_GB2312" w:cs="仿宋_GB2312" w:eastAsia="仿宋_GB2312"/>
                      <w:sz w:val="18"/>
                      <w:color w:val="000000"/>
                    </w:rPr>
                    <w:t xml:space="preserve">≥0.2MPA </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≥17.5kg</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3670000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辅助配件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合计金额：（元）</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进度款，达到支付条件，达到付款条件起99个工作日内，支付合同总金额的100.0%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符合采购文件和乙方响应文件标准和要求以及国家相关技术标准，由专家小组进行评审，经过专家小组评审后一致认为已达到要求视为合格。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3年，质保范围包含本采购清单移动水肥一体机，输水带2年质保期，(最终以双方签订正式合同约定为准)。质保期内，凡非人为、非不可抗力因素造成的质量瑕疵、设备故障或损坏，所有维修、更换及相关费用均由供应商全额承担。因人为操作不当、私自改装及不可抗力造成的损坏，不在质保范围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进行服务的，采购人有权终止合同，并对服务方违约行为进行追究，同时按《中华人民共和国政府采购法》的有关规定进行处罚。3.根据具体违约和争议内容协商，若协商未果，可向项目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附以下相关资料1.具有独立承担民事责任能力的法人、其他组织或自然人，并出具合法有效的营业执照或事业单位法人证书等国家规定的相关证明，自然人参与的提供其身份证明； 2.税收缴纳证明：提供投标文件递交截止时间前一年内任意一个月的缴费凭据（依法免税的投标人应提供相关文件证明）； 3.社会保障资金缴纳证明：提供投标文件递交截止时间前一年内任意一个月的社保缴费凭据或社保机构开具的社会保险参保缴费情况证明（依法不需要缴纳社会保障资金的投标人应提供相关证明）； 4.承诺声明：提供具有履行合同所必需的设备和专业技术能力的承诺声明； 5.书面声明：提供参加政府采购活动前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 供应商拒绝贿赂承诺书.docx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经审计的完整的2025年度财务报告（成立时间至竞争性磋商响应文件递交截止时间不足一年的，可提供成立后任意时段的资产负债表），或竞争性磋商响应文件递交截止时间前三个月内其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非法人参加投标，须出具法定代表人授权书（附法定代表人、被授权人身份证复印件）及授权代表身份证；法定代表人参加投标的，须提供法定代表人身份证明书及身份证。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投标人不得为“信用中国”网站（www.creditchina.gov.cn）中列入失信被执行人和重大税收违法失信主体名单的供应商，不得为中国政府采购网 （www.ccgp.gov.cn）政府采购严重违法失信行为记录名单中被财政部门禁止参加政府采购活动的投标人。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企业关联声明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单位负责人为同一人或者存在直接控股、管理关系的不同投标人，不得参加同一招标项目的投标活动。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参与的投标人（联合体）提供的货物全部由符合政策要求的中小企业制造。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报价一览表.docx 供应商应提交的相关资格证明材料.docx 投标函 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售后服务方案.docx 报价一览表.docx 分项报价表.docx 供应商应提交的相关资格证明材料.docx 投标函 供应商类似项目业绩一览表.docx 供应商拒绝贿赂承诺书.docx 标的清单 投标文件封面 项目总体实施方案.docx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投标报价符合唯一性要求、报价货币符合招标文件要求、未出现漏报、未超出采购预算和招标文件规定的最高限价；只能有一个有效报价，不得提交选择性报价。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满足招标文件中的要求。</w:t>
            </w:r>
          </w:p>
        </w:tc>
        <w:tc>
          <w:tcPr>
            <w:tcW w:type="dxa" w:w="1661"/>
          </w:tcPr>
          <w:p>
            <w:pPr>
              <w:pStyle w:val="null3"/>
            </w:pPr>
            <w:r>
              <w:rPr>
                <w:rFonts w:ascii="仿宋_GB2312" w:hAnsi="仿宋_GB2312" w:cs="仿宋_GB2312" w:eastAsia="仿宋_GB2312"/>
              </w:rPr>
              <w:t>报价一览表.docx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根据产品技术和性能响应情况进行评审，完全响应并满足所有参数需求的得20分。每负偏离一项扣0.5分，扣完为止。 备注：供应商提供技术指标佐证材料（包括不限于自身生产证明/厂家授权/代理协议/质量检验报告等证明材料）以证明参数的技术响应性，供应商自负因佐证材料不全而造成技术参数响应负偏离的后果。</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材料规格型号响应及质量保障措施.docx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根据所投产品进货渠道情况进行评审，所投产品进货渠道正规，无假货、水货、翻新货且无产权纠纷，每提供一个产品得0.5分，满分14分。 备注：提供拟投产品来源渠道合法的佐证材料。佐证材料可以是产品销售协议或产品代理协议或原厂授权等供应商认为可以佐证产品来源渠道正常的材料。供应商对材料的真实性、完整性、有效性及针对性承担责任，自行承担因材料提供不全导致被认定为不满足的风险。</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材料规格型号响应及质量保障措施.docx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供应商针对本项目配备相应团队人员，确保本项目顺利实施；团队人员配备包括但不限于项目负责人、配送司机、搬运人员、售后服务人员、培训人员等，须提供人员相应证件。 1.拟投入本项目人员10人及以上，计6分； 2.拟投入本项目人员在5人及以上、8人以下，计4分； 3.拟投入本项目人员在5人以下，计2分。 4.无明确团队人员不计分。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项目团队组成.docx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根据供应商提供的实施方案进行评审，内容包含：①项目实施规划；②时间进度安排；③安装调试方案；④应急响应时间；⑤紧急安全保障措施。 以上内容专门针对本项目且阐述明晰、全面、合理得10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根据供应商提供的售后服务方案进行评审，内容包含：①售后服务承诺、故障响应时间及方式；②售后人员具体信息（姓名、联系方式、岗位等）及人员保证性。 以上内容专门针对本项目且阐述明晰、全面、合理得4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进行评审内容包含：①培训方案；②培训人数及场次；③培训内容；④培训计划；⑤培训措施承诺；⑥培训效果保障及考核验收方案。以上内容专门针对本项目且阐述明晰、全面、合理得6分，每缺一项内容扣1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7月至今）内承担过类似项目业绩，每提供一个有效业绩得2分，最高得10分。注：每个有效业绩须包含以下内容：完整的供货服务合同复印件（提供合同首页、主要内容页、金额页、盖章页等关键页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满足招标文件要求且评审报价最低的报价为评标基准价，其价格分为满分。其他供应商的价格分统一按照下列公式计算：投标报价得分＝(有效最低报价/有效投标报价)×30的公式计算其得分。 投标报价不完整的，不进入评标基准价的计算，本项得0分。 经评标委员会一致认定，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详见附件：材料规格型号响应及质量保障措施.docx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详见附件：供应商拒绝贿赂承诺书.docx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详见附件：项目团队组成.docx</w:t>
      </w:r>
    </w:p>
    <w:p>
      <w:pPr>
        <w:pStyle w:val="null3"/>
        <w:ind w:firstLine="960"/>
      </w:pPr>
      <w:r>
        <w:rPr>
          <w:rFonts w:ascii="仿宋_GB2312" w:hAnsi="仿宋_GB2312" w:cs="仿宋_GB2312" w:eastAsia="仿宋_GB2312"/>
        </w:rPr>
        <w:t>详见附件：项目总体实施方案.docx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