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outlineLvl w:val="1"/>
        <w:rPr>
          <w:rFonts w:hint="default"/>
          <w:color w:val="auto"/>
          <w:sz w:val="30"/>
          <w:szCs w:val="30"/>
          <w:highlight w:val="none"/>
        </w:rPr>
      </w:pPr>
      <w:r>
        <w:rPr>
          <w:rFonts w:ascii="仿宋_GB2312" w:hAnsi="仿宋_GB2312" w:eastAsia="仿宋_GB2312" w:cs="仿宋_GB2312"/>
          <w:b/>
          <w:color w:val="auto"/>
          <w:sz w:val="30"/>
          <w:szCs w:val="30"/>
          <w:highlight w:val="none"/>
        </w:rPr>
        <w:t>拟签订采购合同文本</w:t>
      </w:r>
    </w:p>
    <w:p>
      <w:pPr>
        <w:spacing w:line="500" w:lineRule="exact"/>
        <w:jc w:val="center"/>
        <w:rPr>
          <w:rFonts w:hint="eastAsia" w:ascii="方正仿宋_GB2312" w:hAnsi="方正仿宋_GB2312" w:eastAsia="方正仿宋_GB2312" w:cs="方正仿宋_GB2312"/>
          <w:b/>
          <w:color w:val="auto"/>
          <w:highlight w:val="none"/>
        </w:rPr>
      </w:pPr>
      <w:r>
        <w:rPr>
          <w:rFonts w:hint="eastAsia" w:ascii="方正仿宋_GB2312" w:hAnsi="方正仿宋_GB2312" w:eastAsia="方正仿宋_GB2312" w:cs="方正仿宋_GB2312"/>
          <w:b/>
          <w:bCs/>
          <w:color w:val="auto"/>
          <w:highlight w:val="none"/>
        </w:rPr>
        <w:t>（仅供参考）</w:t>
      </w:r>
    </w:p>
    <w:p>
      <w:pPr>
        <w:jc w:val="center"/>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购</w:t>
      </w:r>
      <w:r>
        <w:rPr>
          <w:rFonts w:hint="eastAsia" w:ascii="方正仿宋_GB2312" w:hAnsi="方正仿宋_GB2312" w:eastAsia="方正仿宋_GB2312" w:cs="方正仿宋_GB2312"/>
          <w:color w:val="auto"/>
          <w:sz w:val="24"/>
          <w:szCs w:val="24"/>
          <w:lang w:val="en-US" w:eastAsia="zh-CN"/>
        </w:rPr>
        <w:t xml:space="preserve"> </w:t>
      </w:r>
      <w:r>
        <w:rPr>
          <w:rFonts w:hint="eastAsia" w:ascii="方正仿宋_GB2312" w:hAnsi="方正仿宋_GB2312" w:eastAsia="方正仿宋_GB2312" w:cs="方正仿宋_GB2312"/>
          <w:color w:val="auto"/>
          <w:sz w:val="24"/>
          <w:szCs w:val="24"/>
          <w:lang w:eastAsia="zh-CN"/>
        </w:rPr>
        <w:t>置</w:t>
      </w:r>
      <w:r>
        <w:rPr>
          <w:rFonts w:hint="eastAsia" w:ascii="方正仿宋_GB2312" w:hAnsi="方正仿宋_GB2312" w:eastAsia="方正仿宋_GB2312" w:cs="方正仿宋_GB2312"/>
          <w:color w:val="auto"/>
          <w:sz w:val="24"/>
          <w:szCs w:val="24"/>
          <w:lang w:val="en-US" w:eastAsia="zh-CN"/>
        </w:rPr>
        <w:t xml:space="preserve"> </w:t>
      </w:r>
      <w:r>
        <w:rPr>
          <w:rFonts w:hint="eastAsia" w:ascii="方正仿宋_GB2312" w:hAnsi="方正仿宋_GB2312" w:eastAsia="方正仿宋_GB2312" w:cs="方正仿宋_GB2312"/>
          <w:color w:val="auto"/>
          <w:sz w:val="24"/>
          <w:szCs w:val="24"/>
          <w:lang w:eastAsia="zh-CN"/>
        </w:rPr>
        <w:t>合</w:t>
      </w:r>
      <w:r>
        <w:rPr>
          <w:rFonts w:hint="eastAsia" w:ascii="方正仿宋_GB2312" w:hAnsi="方正仿宋_GB2312" w:eastAsia="方正仿宋_GB2312" w:cs="方正仿宋_GB2312"/>
          <w:color w:val="auto"/>
          <w:sz w:val="24"/>
          <w:szCs w:val="24"/>
          <w:lang w:val="en-US" w:eastAsia="zh-CN"/>
        </w:rPr>
        <w:t xml:space="preserve"> </w:t>
      </w:r>
      <w:r>
        <w:rPr>
          <w:rFonts w:hint="eastAsia" w:ascii="方正仿宋_GB2312" w:hAnsi="方正仿宋_GB2312" w:eastAsia="方正仿宋_GB2312" w:cs="方正仿宋_GB2312"/>
          <w:color w:val="auto"/>
          <w:sz w:val="24"/>
          <w:szCs w:val="24"/>
          <w:lang w:eastAsia="zh-CN"/>
        </w:rPr>
        <w:t>同</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 xml:space="preserve">陕西职业技术学院（甲方）与 </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乙方）就甲方购置的</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eastAsia="zh-CN"/>
        </w:rPr>
        <w:t>设备，经双方协商达成如下合同条款：</w:t>
      </w:r>
    </w:p>
    <w:p>
      <w:pPr>
        <w:spacing w:beforeLines="50" w:afterLines="50" w:line="360" w:lineRule="exact"/>
        <w:ind w:firstLine="482" w:firstLineChars="200"/>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1.合同内容</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在甲方组织的关于</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pPr>
        <w:spacing w:line="36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 设备购置清单（币种：人民币）</w:t>
      </w:r>
    </w:p>
    <w:tbl>
      <w:tblPr>
        <w:tblStyle w:val="9"/>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pPr>
              <w:jc w:val="center"/>
              <w:rPr>
                <w:rFonts w:hint="eastAsia" w:ascii="方正仿宋_GB2312" w:hAnsi="方正仿宋_GB2312" w:eastAsia="方正仿宋_GB2312" w:cs="方正仿宋_GB2312"/>
                <w:b/>
                <w:bCs/>
                <w:color w:val="auto"/>
                <w:sz w:val="24"/>
                <w:szCs w:val="24"/>
              </w:rPr>
            </w:pPr>
            <w:r>
              <w:rPr>
                <w:rFonts w:hint="eastAsia" w:ascii="方正仿宋_GB2312" w:hAnsi="方正仿宋_GB2312" w:eastAsia="方正仿宋_GB2312" w:cs="方正仿宋_GB2312"/>
                <w:b/>
                <w:bCs/>
                <w:color w:val="auto"/>
                <w:sz w:val="24"/>
                <w:szCs w:val="24"/>
              </w:rPr>
              <w:t>序号</w:t>
            </w:r>
          </w:p>
        </w:tc>
        <w:tc>
          <w:tcPr>
            <w:tcW w:w="1458" w:type="dxa"/>
            <w:vAlign w:val="center"/>
          </w:tcPr>
          <w:p>
            <w:pPr>
              <w:jc w:val="center"/>
              <w:rPr>
                <w:rFonts w:hint="eastAsia" w:ascii="方正仿宋_GB2312" w:hAnsi="方正仿宋_GB2312" w:eastAsia="方正仿宋_GB2312" w:cs="方正仿宋_GB2312"/>
                <w:b/>
                <w:bCs/>
                <w:color w:val="auto"/>
                <w:spacing w:val="-20"/>
                <w:sz w:val="24"/>
                <w:szCs w:val="24"/>
              </w:rPr>
            </w:pPr>
            <w:r>
              <w:rPr>
                <w:rFonts w:hint="eastAsia" w:ascii="方正仿宋_GB2312" w:hAnsi="方正仿宋_GB2312" w:eastAsia="方正仿宋_GB2312" w:cs="方正仿宋_GB2312"/>
                <w:b/>
                <w:bCs/>
                <w:color w:val="auto"/>
                <w:spacing w:val="-20"/>
                <w:sz w:val="24"/>
                <w:szCs w:val="24"/>
              </w:rPr>
              <w:t>设备名称</w:t>
            </w:r>
          </w:p>
        </w:tc>
        <w:tc>
          <w:tcPr>
            <w:tcW w:w="1776" w:type="dxa"/>
            <w:vAlign w:val="center"/>
          </w:tcPr>
          <w:p>
            <w:pPr>
              <w:jc w:val="center"/>
              <w:rPr>
                <w:rFonts w:hint="eastAsia" w:ascii="方正仿宋_GB2312" w:hAnsi="方正仿宋_GB2312" w:eastAsia="方正仿宋_GB2312" w:cs="方正仿宋_GB2312"/>
                <w:b/>
                <w:bCs/>
                <w:color w:val="auto"/>
                <w:spacing w:val="-20"/>
                <w:sz w:val="24"/>
                <w:szCs w:val="24"/>
              </w:rPr>
            </w:pPr>
            <w:r>
              <w:rPr>
                <w:rFonts w:hint="eastAsia" w:ascii="方正仿宋_GB2312" w:hAnsi="方正仿宋_GB2312" w:eastAsia="方正仿宋_GB2312" w:cs="方正仿宋_GB2312"/>
                <w:b/>
                <w:bCs/>
                <w:color w:val="auto"/>
                <w:spacing w:val="-20"/>
                <w:sz w:val="24"/>
                <w:szCs w:val="24"/>
              </w:rPr>
              <w:t>品牌、规格、型号</w:t>
            </w:r>
          </w:p>
        </w:tc>
        <w:tc>
          <w:tcPr>
            <w:tcW w:w="925" w:type="dxa"/>
            <w:vAlign w:val="center"/>
          </w:tcPr>
          <w:p>
            <w:pPr>
              <w:jc w:val="center"/>
              <w:rPr>
                <w:rFonts w:hint="eastAsia" w:ascii="方正仿宋_GB2312" w:hAnsi="方正仿宋_GB2312" w:eastAsia="方正仿宋_GB2312" w:cs="方正仿宋_GB2312"/>
                <w:b/>
                <w:bCs/>
                <w:color w:val="auto"/>
                <w:spacing w:val="-20"/>
                <w:sz w:val="24"/>
                <w:szCs w:val="24"/>
              </w:rPr>
            </w:pPr>
            <w:r>
              <w:rPr>
                <w:rFonts w:hint="eastAsia" w:ascii="方正仿宋_GB2312" w:hAnsi="方正仿宋_GB2312" w:eastAsia="方正仿宋_GB2312" w:cs="方正仿宋_GB2312"/>
                <w:b/>
                <w:bCs/>
                <w:color w:val="auto"/>
                <w:spacing w:val="-20"/>
                <w:sz w:val="24"/>
                <w:szCs w:val="24"/>
              </w:rPr>
              <w:t>数量</w:t>
            </w:r>
          </w:p>
          <w:p>
            <w:pPr>
              <w:jc w:val="center"/>
              <w:rPr>
                <w:rFonts w:hint="eastAsia" w:ascii="方正仿宋_GB2312" w:hAnsi="方正仿宋_GB2312" w:eastAsia="方正仿宋_GB2312" w:cs="方正仿宋_GB2312"/>
                <w:b/>
                <w:bCs/>
                <w:color w:val="auto"/>
                <w:spacing w:val="-20"/>
                <w:sz w:val="24"/>
                <w:szCs w:val="24"/>
              </w:rPr>
            </w:pPr>
            <w:r>
              <w:rPr>
                <w:rFonts w:hint="eastAsia" w:ascii="方正仿宋_GB2312" w:hAnsi="方正仿宋_GB2312" w:eastAsia="方正仿宋_GB2312" w:cs="方正仿宋_GB2312"/>
                <w:b/>
                <w:bCs/>
                <w:color w:val="auto"/>
                <w:spacing w:val="-20"/>
                <w:sz w:val="24"/>
                <w:szCs w:val="24"/>
              </w:rPr>
              <w:t>(台、套)</w:t>
            </w:r>
          </w:p>
        </w:tc>
        <w:tc>
          <w:tcPr>
            <w:tcW w:w="1130" w:type="dxa"/>
            <w:vAlign w:val="center"/>
          </w:tcPr>
          <w:p>
            <w:pPr>
              <w:jc w:val="center"/>
              <w:rPr>
                <w:rFonts w:hint="eastAsia" w:ascii="方正仿宋_GB2312" w:hAnsi="方正仿宋_GB2312" w:eastAsia="方正仿宋_GB2312" w:cs="方正仿宋_GB2312"/>
                <w:b/>
                <w:bCs/>
                <w:color w:val="auto"/>
                <w:spacing w:val="-20"/>
                <w:sz w:val="24"/>
                <w:szCs w:val="24"/>
              </w:rPr>
            </w:pPr>
            <w:r>
              <w:rPr>
                <w:rFonts w:hint="eastAsia" w:ascii="方正仿宋_GB2312" w:hAnsi="方正仿宋_GB2312" w:eastAsia="方正仿宋_GB2312" w:cs="方正仿宋_GB2312"/>
                <w:b/>
                <w:bCs/>
                <w:color w:val="auto"/>
                <w:spacing w:val="-20"/>
                <w:sz w:val="24"/>
                <w:szCs w:val="24"/>
              </w:rPr>
              <w:t>单价</w:t>
            </w:r>
          </w:p>
          <w:p>
            <w:pPr>
              <w:jc w:val="center"/>
              <w:rPr>
                <w:rFonts w:hint="eastAsia" w:ascii="方正仿宋_GB2312" w:hAnsi="方正仿宋_GB2312" w:eastAsia="方正仿宋_GB2312" w:cs="方正仿宋_GB2312"/>
                <w:b/>
                <w:bCs/>
                <w:color w:val="auto"/>
                <w:spacing w:val="-20"/>
                <w:sz w:val="24"/>
                <w:szCs w:val="24"/>
              </w:rPr>
            </w:pPr>
            <w:r>
              <w:rPr>
                <w:rFonts w:hint="eastAsia" w:ascii="方正仿宋_GB2312" w:hAnsi="方正仿宋_GB2312" w:eastAsia="方正仿宋_GB2312" w:cs="方正仿宋_GB2312"/>
                <w:b/>
                <w:bCs/>
                <w:color w:val="auto"/>
                <w:spacing w:val="-20"/>
                <w:sz w:val="24"/>
                <w:szCs w:val="24"/>
              </w:rPr>
              <w:t>(万元)</w:t>
            </w:r>
          </w:p>
        </w:tc>
        <w:tc>
          <w:tcPr>
            <w:tcW w:w="1090" w:type="dxa"/>
            <w:vAlign w:val="center"/>
          </w:tcPr>
          <w:p>
            <w:pPr>
              <w:jc w:val="center"/>
              <w:rPr>
                <w:rFonts w:hint="eastAsia" w:ascii="方正仿宋_GB2312" w:hAnsi="方正仿宋_GB2312" w:eastAsia="方正仿宋_GB2312" w:cs="方正仿宋_GB2312"/>
                <w:b/>
                <w:bCs/>
                <w:color w:val="auto"/>
                <w:spacing w:val="-20"/>
                <w:sz w:val="24"/>
                <w:szCs w:val="24"/>
              </w:rPr>
            </w:pPr>
            <w:r>
              <w:rPr>
                <w:rFonts w:hint="eastAsia" w:ascii="方正仿宋_GB2312" w:hAnsi="方正仿宋_GB2312" w:eastAsia="方正仿宋_GB2312" w:cs="方正仿宋_GB2312"/>
                <w:b/>
                <w:bCs/>
                <w:color w:val="auto"/>
                <w:spacing w:val="-20"/>
                <w:sz w:val="24"/>
                <w:szCs w:val="24"/>
              </w:rPr>
              <w:t>合计</w:t>
            </w:r>
          </w:p>
          <w:p>
            <w:pPr>
              <w:jc w:val="center"/>
              <w:rPr>
                <w:rFonts w:hint="eastAsia" w:ascii="方正仿宋_GB2312" w:hAnsi="方正仿宋_GB2312" w:eastAsia="方正仿宋_GB2312" w:cs="方正仿宋_GB2312"/>
                <w:b/>
                <w:bCs/>
                <w:color w:val="auto"/>
                <w:spacing w:val="-20"/>
                <w:sz w:val="24"/>
                <w:szCs w:val="24"/>
              </w:rPr>
            </w:pPr>
            <w:r>
              <w:rPr>
                <w:rFonts w:hint="eastAsia" w:ascii="方正仿宋_GB2312" w:hAnsi="方正仿宋_GB2312" w:eastAsia="方正仿宋_GB2312" w:cs="方正仿宋_GB2312"/>
                <w:b/>
                <w:bCs/>
                <w:color w:val="auto"/>
                <w:spacing w:val="-20"/>
                <w:sz w:val="24"/>
                <w:szCs w:val="24"/>
              </w:rPr>
              <w:t>(万元)</w:t>
            </w:r>
          </w:p>
        </w:tc>
        <w:tc>
          <w:tcPr>
            <w:tcW w:w="1420" w:type="dxa"/>
            <w:vAlign w:val="center"/>
          </w:tcPr>
          <w:p>
            <w:pPr>
              <w:jc w:val="center"/>
              <w:rPr>
                <w:rFonts w:hint="eastAsia" w:ascii="方正仿宋_GB2312" w:hAnsi="方正仿宋_GB2312" w:eastAsia="方正仿宋_GB2312" w:cs="方正仿宋_GB2312"/>
                <w:b/>
                <w:bCs/>
                <w:color w:val="auto"/>
                <w:spacing w:val="-20"/>
                <w:sz w:val="24"/>
                <w:szCs w:val="24"/>
              </w:rPr>
            </w:pPr>
            <w:r>
              <w:rPr>
                <w:rFonts w:hint="eastAsia" w:ascii="方正仿宋_GB2312" w:hAnsi="方正仿宋_GB2312" w:eastAsia="方正仿宋_GB2312" w:cs="方正仿宋_GB2312"/>
                <w:b/>
                <w:bCs/>
                <w:color w:val="auto"/>
                <w:spacing w:val="-20"/>
                <w:sz w:val="24"/>
                <w:szCs w:val="24"/>
              </w:rPr>
              <w:t>生产商</w:t>
            </w:r>
          </w:p>
        </w:tc>
        <w:tc>
          <w:tcPr>
            <w:tcW w:w="617" w:type="dxa"/>
            <w:vAlign w:val="center"/>
          </w:tcPr>
          <w:p>
            <w:pPr>
              <w:jc w:val="center"/>
              <w:rPr>
                <w:rFonts w:hint="eastAsia" w:ascii="方正仿宋_GB2312" w:hAnsi="方正仿宋_GB2312" w:eastAsia="方正仿宋_GB2312" w:cs="方正仿宋_GB2312"/>
                <w:b/>
                <w:bCs/>
                <w:color w:val="auto"/>
                <w:spacing w:val="-20"/>
                <w:sz w:val="24"/>
                <w:szCs w:val="24"/>
              </w:rPr>
            </w:pPr>
            <w:r>
              <w:rPr>
                <w:rFonts w:hint="eastAsia" w:ascii="方正仿宋_GB2312" w:hAnsi="方正仿宋_GB2312" w:eastAsia="方正仿宋_GB2312" w:cs="方正仿宋_GB2312"/>
                <w:b/>
                <w:bCs/>
                <w:color w:val="auto"/>
                <w:spacing w:val="-2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pPr>
              <w:jc w:val="cente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w:t>
            </w:r>
          </w:p>
        </w:tc>
        <w:tc>
          <w:tcPr>
            <w:tcW w:w="1458" w:type="dxa"/>
            <w:vAlign w:val="center"/>
          </w:tcPr>
          <w:p>
            <w:pPr>
              <w:jc w:val="center"/>
              <w:rPr>
                <w:rFonts w:hint="eastAsia" w:ascii="方正仿宋_GB2312" w:hAnsi="方正仿宋_GB2312" w:eastAsia="方正仿宋_GB2312" w:cs="方正仿宋_GB2312"/>
                <w:color w:val="auto"/>
                <w:sz w:val="24"/>
                <w:szCs w:val="24"/>
              </w:rPr>
            </w:pPr>
          </w:p>
        </w:tc>
        <w:tc>
          <w:tcPr>
            <w:tcW w:w="1776" w:type="dxa"/>
            <w:vAlign w:val="center"/>
          </w:tcPr>
          <w:p>
            <w:pPr>
              <w:jc w:val="center"/>
              <w:rPr>
                <w:rFonts w:hint="eastAsia" w:ascii="方正仿宋_GB2312" w:hAnsi="方正仿宋_GB2312" w:eastAsia="方正仿宋_GB2312" w:cs="方正仿宋_GB2312"/>
                <w:color w:val="auto"/>
                <w:sz w:val="24"/>
                <w:szCs w:val="24"/>
              </w:rPr>
            </w:pPr>
          </w:p>
        </w:tc>
        <w:tc>
          <w:tcPr>
            <w:tcW w:w="925" w:type="dxa"/>
            <w:vAlign w:val="center"/>
          </w:tcPr>
          <w:p>
            <w:pPr>
              <w:jc w:val="center"/>
              <w:rPr>
                <w:rFonts w:hint="eastAsia" w:ascii="方正仿宋_GB2312" w:hAnsi="方正仿宋_GB2312" w:eastAsia="方正仿宋_GB2312" w:cs="方正仿宋_GB2312"/>
                <w:color w:val="auto"/>
                <w:sz w:val="24"/>
                <w:szCs w:val="24"/>
              </w:rPr>
            </w:pPr>
          </w:p>
        </w:tc>
        <w:tc>
          <w:tcPr>
            <w:tcW w:w="1130" w:type="dxa"/>
            <w:vAlign w:val="center"/>
          </w:tcPr>
          <w:p>
            <w:pPr>
              <w:jc w:val="center"/>
              <w:rPr>
                <w:rFonts w:hint="eastAsia" w:ascii="方正仿宋_GB2312" w:hAnsi="方正仿宋_GB2312" w:eastAsia="方正仿宋_GB2312" w:cs="方正仿宋_GB2312"/>
                <w:color w:val="auto"/>
                <w:sz w:val="24"/>
                <w:szCs w:val="24"/>
              </w:rPr>
            </w:pPr>
          </w:p>
        </w:tc>
        <w:tc>
          <w:tcPr>
            <w:tcW w:w="1090" w:type="dxa"/>
            <w:vAlign w:val="center"/>
          </w:tcPr>
          <w:p>
            <w:pPr>
              <w:jc w:val="center"/>
              <w:rPr>
                <w:rFonts w:hint="eastAsia" w:ascii="方正仿宋_GB2312" w:hAnsi="方正仿宋_GB2312" w:eastAsia="方正仿宋_GB2312" w:cs="方正仿宋_GB2312"/>
                <w:color w:val="auto"/>
                <w:sz w:val="24"/>
                <w:szCs w:val="24"/>
              </w:rPr>
            </w:pPr>
          </w:p>
        </w:tc>
        <w:tc>
          <w:tcPr>
            <w:tcW w:w="1420" w:type="dxa"/>
            <w:vAlign w:val="center"/>
          </w:tcPr>
          <w:p>
            <w:pPr>
              <w:jc w:val="center"/>
              <w:rPr>
                <w:rFonts w:hint="eastAsia" w:ascii="方正仿宋_GB2312" w:hAnsi="方正仿宋_GB2312" w:eastAsia="方正仿宋_GB2312" w:cs="方正仿宋_GB2312"/>
                <w:color w:val="auto"/>
                <w:sz w:val="24"/>
                <w:szCs w:val="24"/>
              </w:rPr>
            </w:pPr>
          </w:p>
        </w:tc>
        <w:tc>
          <w:tcPr>
            <w:tcW w:w="617" w:type="dxa"/>
            <w:vAlign w:val="center"/>
          </w:tcPr>
          <w:p>
            <w:pPr>
              <w:jc w:val="center"/>
              <w:rPr>
                <w:rFonts w:hint="eastAsia" w:ascii="方正仿宋_GB2312" w:hAnsi="方正仿宋_GB2312" w:eastAsia="方正仿宋_GB2312" w:cs="方正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pPr>
              <w:jc w:val="center"/>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2</w:t>
            </w:r>
          </w:p>
        </w:tc>
        <w:tc>
          <w:tcPr>
            <w:tcW w:w="1458" w:type="dxa"/>
            <w:vAlign w:val="center"/>
          </w:tcPr>
          <w:p>
            <w:pPr>
              <w:jc w:val="center"/>
              <w:rPr>
                <w:rFonts w:hint="eastAsia" w:ascii="方正仿宋_GB2312" w:hAnsi="方正仿宋_GB2312" w:eastAsia="方正仿宋_GB2312" w:cs="方正仿宋_GB2312"/>
                <w:color w:val="auto"/>
                <w:sz w:val="24"/>
                <w:szCs w:val="24"/>
              </w:rPr>
            </w:pPr>
          </w:p>
        </w:tc>
        <w:tc>
          <w:tcPr>
            <w:tcW w:w="1776" w:type="dxa"/>
            <w:vAlign w:val="center"/>
          </w:tcPr>
          <w:p>
            <w:pPr>
              <w:jc w:val="center"/>
              <w:rPr>
                <w:rFonts w:hint="eastAsia" w:ascii="方正仿宋_GB2312" w:hAnsi="方正仿宋_GB2312" w:eastAsia="方正仿宋_GB2312" w:cs="方正仿宋_GB2312"/>
                <w:color w:val="auto"/>
                <w:sz w:val="24"/>
                <w:szCs w:val="24"/>
              </w:rPr>
            </w:pPr>
          </w:p>
        </w:tc>
        <w:tc>
          <w:tcPr>
            <w:tcW w:w="925" w:type="dxa"/>
            <w:vAlign w:val="center"/>
          </w:tcPr>
          <w:p>
            <w:pPr>
              <w:jc w:val="center"/>
              <w:rPr>
                <w:rFonts w:hint="eastAsia" w:ascii="方正仿宋_GB2312" w:hAnsi="方正仿宋_GB2312" w:eastAsia="方正仿宋_GB2312" w:cs="方正仿宋_GB2312"/>
                <w:color w:val="auto"/>
                <w:sz w:val="24"/>
                <w:szCs w:val="24"/>
              </w:rPr>
            </w:pPr>
          </w:p>
        </w:tc>
        <w:tc>
          <w:tcPr>
            <w:tcW w:w="1130" w:type="dxa"/>
            <w:vAlign w:val="center"/>
          </w:tcPr>
          <w:p>
            <w:pPr>
              <w:jc w:val="center"/>
              <w:rPr>
                <w:rFonts w:hint="eastAsia" w:ascii="方正仿宋_GB2312" w:hAnsi="方正仿宋_GB2312" w:eastAsia="方正仿宋_GB2312" w:cs="方正仿宋_GB2312"/>
                <w:color w:val="auto"/>
                <w:sz w:val="24"/>
                <w:szCs w:val="24"/>
              </w:rPr>
            </w:pPr>
          </w:p>
        </w:tc>
        <w:tc>
          <w:tcPr>
            <w:tcW w:w="1090" w:type="dxa"/>
            <w:vAlign w:val="center"/>
          </w:tcPr>
          <w:p>
            <w:pPr>
              <w:jc w:val="center"/>
              <w:rPr>
                <w:rFonts w:hint="eastAsia" w:ascii="方正仿宋_GB2312" w:hAnsi="方正仿宋_GB2312" w:eastAsia="方正仿宋_GB2312" w:cs="方正仿宋_GB2312"/>
                <w:color w:val="auto"/>
                <w:sz w:val="24"/>
                <w:szCs w:val="24"/>
              </w:rPr>
            </w:pPr>
          </w:p>
        </w:tc>
        <w:tc>
          <w:tcPr>
            <w:tcW w:w="1420" w:type="dxa"/>
            <w:vAlign w:val="center"/>
          </w:tcPr>
          <w:p>
            <w:pPr>
              <w:jc w:val="center"/>
              <w:rPr>
                <w:rFonts w:hint="eastAsia" w:ascii="方正仿宋_GB2312" w:hAnsi="方正仿宋_GB2312" w:eastAsia="方正仿宋_GB2312" w:cs="方正仿宋_GB2312"/>
                <w:color w:val="auto"/>
                <w:sz w:val="24"/>
                <w:szCs w:val="24"/>
              </w:rPr>
            </w:pPr>
          </w:p>
        </w:tc>
        <w:tc>
          <w:tcPr>
            <w:tcW w:w="617" w:type="dxa"/>
            <w:vAlign w:val="center"/>
          </w:tcPr>
          <w:p>
            <w:pPr>
              <w:jc w:val="center"/>
              <w:rPr>
                <w:rFonts w:hint="eastAsia" w:ascii="方正仿宋_GB2312" w:hAnsi="方正仿宋_GB2312" w:eastAsia="方正仿宋_GB2312" w:cs="方正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pPr>
              <w:jc w:val="center"/>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w:t>
            </w:r>
          </w:p>
        </w:tc>
        <w:tc>
          <w:tcPr>
            <w:tcW w:w="1458" w:type="dxa"/>
            <w:vAlign w:val="center"/>
          </w:tcPr>
          <w:p>
            <w:pPr>
              <w:jc w:val="center"/>
              <w:rPr>
                <w:rFonts w:hint="eastAsia" w:ascii="方正仿宋_GB2312" w:hAnsi="方正仿宋_GB2312" w:eastAsia="方正仿宋_GB2312" w:cs="方正仿宋_GB2312"/>
                <w:color w:val="auto"/>
                <w:sz w:val="24"/>
                <w:szCs w:val="24"/>
              </w:rPr>
            </w:pPr>
          </w:p>
        </w:tc>
        <w:tc>
          <w:tcPr>
            <w:tcW w:w="1776" w:type="dxa"/>
            <w:vAlign w:val="center"/>
          </w:tcPr>
          <w:p>
            <w:pPr>
              <w:jc w:val="center"/>
              <w:rPr>
                <w:rFonts w:hint="eastAsia" w:ascii="方正仿宋_GB2312" w:hAnsi="方正仿宋_GB2312" w:eastAsia="方正仿宋_GB2312" w:cs="方正仿宋_GB2312"/>
                <w:color w:val="auto"/>
                <w:sz w:val="24"/>
                <w:szCs w:val="24"/>
              </w:rPr>
            </w:pPr>
          </w:p>
        </w:tc>
        <w:tc>
          <w:tcPr>
            <w:tcW w:w="925" w:type="dxa"/>
            <w:vAlign w:val="center"/>
          </w:tcPr>
          <w:p>
            <w:pPr>
              <w:jc w:val="center"/>
              <w:rPr>
                <w:rFonts w:hint="eastAsia" w:ascii="方正仿宋_GB2312" w:hAnsi="方正仿宋_GB2312" w:eastAsia="方正仿宋_GB2312" w:cs="方正仿宋_GB2312"/>
                <w:color w:val="auto"/>
                <w:sz w:val="24"/>
                <w:szCs w:val="24"/>
              </w:rPr>
            </w:pPr>
          </w:p>
        </w:tc>
        <w:tc>
          <w:tcPr>
            <w:tcW w:w="1130" w:type="dxa"/>
            <w:vAlign w:val="center"/>
          </w:tcPr>
          <w:p>
            <w:pPr>
              <w:jc w:val="center"/>
              <w:rPr>
                <w:rFonts w:hint="eastAsia" w:ascii="方正仿宋_GB2312" w:hAnsi="方正仿宋_GB2312" w:eastAsia="方正仿宋_GB2312" w:cs="方正仿宋_GB2312"/>
                <w:color w:val="auto"/>
                <w:sz w:val="24"/>
                <w:szCs w:val="24"/>
              </w:rPr>
            </w:pPr>
          </w:p>
        </w:tc>
        <w:tc>
          <w:tcPr>
            <w:tcW w:w="1090" w:type="dxa"/>
            <w:vAlign w:val="center"/>
          </w:tcPr>
          <w:p>
            <w:pPr>
              <w:jc w:val="center"/>
              <w:rPr>
                <w:rFonts w:hint="eastAsia" w:ascii="方正仿宋_GB2312" w:hAnsi="方正仿宋_GB2312" w:eastAsia="方正仿宋_GB2312" w:cs="方正仿宋_GB2312"/>
                <w:color w:val="auto"/>
                <w:sz w:val="24"/>
                <w:szCs w:val="24"/>
              </w:rPr>
            </w:pPr>
          </w:p>
        </w:tc>
        <w:tc>
          <w:tcPr>
            <w:tcW w:w="1420" w:type="dxa"/>
            <w:vAlign w:val="center"/>
          </w:tcPr>
          <w:p>
            <w:pPr>
              <w:jc w:val="center"/>
              <w:rPr>
                <w:rFonts w:hint="eastAsia" w:ascii="方正仿宋_GB2312" w:hAnsi="方正仿宋_GB2312" w:eastAsia="方正仿宋_GB2312" w:cs="方正仿宋_GB2312"/>
                <w:color w:val="auto"/>
                <w:sz w:val="24"/>
                <w:szCs w:val="24"/>
              </w:rPr>
            </w:pPr>
          </w:p>
        </w:tc>
        <w:tc>
          <w:tcPr>
            <w:tcW w:w="617" w:type="dxa"/>
            <w:vAlign w:val="center"/>
          </w:tcPr>
          <w:p>
            <w:pPr>
              <w:jc w:val="center"/>
              <w:rPr>
                <w:rFonts w:hint="eastAsia" w:ascii="方正仿宋_GB2312" w:hAnsi="方正仿宋_GB2312" w:eastAsia="方正仿宋_GB2312" w:cs="方正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pPr>
              <w:rPr>
                <w:rFonts w:hint="eastAsia" w:ascii="方正仿宋_GB2312" w:hAnsi="方正仿宋_GB2312" w:eastAsia="方正仿宋_GB2312" w:cs="方正仿宋_GB2312"/>
                <w:color w:val="auto"/>
                <w:sz w:val="24"/>
                <w:szCs w:val="24"/>
              </w:rPr>
            </w:pPr>
          </w:p>
          <w:p>
            <w:pP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合计(元)</w:t>
            </w:r>
          </w:p>
        </w:tc>
        <w:tc>
          <w:tcPr>
            <w:tcW w:w="5182" w:type="dxa"/>
            <w:gridSpan w:val="5"/>
            <w:vAlign w:val="center"/>
          </w:tcPr>
          <w:p>
            <w:pPr>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pPr>
              <w:rPr>
                <w:rFonts w:hint="eastAsia" w:ascii="方正仿宋_GB2312" w:hAnsi="方正仿宋_GB2312" w:eastAsia="方正仿宋_GB2312" w:cs="方正仿宋_GB2312"/>
                <w:color w:val="auto"/>
                <w:sz w:val="24"/>
                <w:szCs w:val="24"/>
              </w:rPr>
            </w:pPr>
          </w:p>
        </w:tc>
        <w:tc>
          <w:tcPr>
            <w:tcW w:w="5182" w:type="dxa"/>
            <w:gridSpan w:val="5"/>
            <w:vAlign w:val="center"/>
          </w:tcPr>
          <w:p>
            <w:pPr>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小写：</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rPr>
              <w:t>元</w:t>
            </w:r>
          </w:p>
        </w:tc>
      </w:tr>
    </w:tbl>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pPr>
        <w:spacing w:line="380" w:lineRule="exact"/>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eastAsia="zh-CN"/>
        </w:rPr>
        <w:t>其中，</w:t>
      </w:r>
      <w:r>
        <w:rPr>
          <w:rFonts w:hint="eastAsia" w:ascii="方正仿宋_GB2312" w:hAnsi="方正仿宋_GB2312" w:eastAsia="方正仿宋_GB2312" w:cs="方正仿宋_GB2312"/>
          <w:color w:val="auto"/>
          <w:sz w:val="24"/>
          <w:szCs w:val="24"/>
          <w:lang w:val="en-US" w:eastAsia="zh-CN"/>
        </w:rPr>
        <w:t>不含税金额____元，增值税税额____元，适用税率____%。</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1.3 合同总额为一次性包死价格，不受市场价格的变化和影响，在合同不发生变更时作为付款结算的依据。</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1.4 设备的技术参数要求</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pPr>
        <w:spacing w:line="380" w:lineRule="exact"/>
        <w:ind w:firstLine="480" w:firstLineChars="200"/>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val="0"/>
          <w:bCs w:val="0"/>
          <w:color w:val="auto"/>
          <w:sz w:val="24"/>
          <w:szCs w:val="24"/>
          <w:lang w:eastAsia="zh-CN"/>
        </w:rPr>
        <w:t xml:space="preserve">1.4.2 </w:t>
      </w:r>
      <w:r>
        <w:rPr>
          <w:rFonts w:hint="eastAsia" w:ascii="方正仿宋_GB2312" w:hAnsi="方正仿宋_GB2312" w:eastAsia="方正仿宋_GB2312" w:cs="方正仿宋_GB2312"/>
          <w:b w:val="0"/>
          <w:bCs w:val="0"/>
          <w:color w:val="auto"/>
          <w:sz w:val="24"/>
          <w:szCs w:val="24"/>
          <w:lang w:val="en-US" w:eastAsia="zh-CN"/>
        </w:rPr>
        <w:t>所有设备和参数要与招标文件、投标文件保持一致，若关键参数不一致，以其中最优最高标准为执行标准。</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1.4.</w:t>
      </w:r>
      <w:r>
        <w:rPr>
          <w:rFonts w:hint="eastAsia" w:ascii="方正仿宋_GB2312" w:hAnsi="方正仿宋_GB2312" w:eastAsia="方正仿宋_GB2312" w:cs="方正仿宋_GB2312"/>
          <w:color w:val="auto"/>
          <w:sz w:val="24"/>
          <w:szCs w:val="24"/>
          <w:lang w:val="en-US" w:eastAsia="zh-CN"/>
        </w:rPr>
        <w:t>3</w:t>
      </w:r>
      <w:r>
        <w:rPr>
          <w:rFonts w:hint="eastAsia" w:ascii="方正仿宋_GB2312" w:hAnsi="方正仿宋_GB2312" w:eastAsia="方正仿宋_GB2312" w:cs="方正仿宋_GB2312"/>
          <w:color w:val="auto"/>
          <w:sz w:val="24"/>
          <w:szCs w:val="24"/>
          <w:lang w:eastAsia="zh-CN"/>
        </w:rPr>
        <w:t xml:space="preserve"> 乙方应向甲方提供有关标准的中文文本。</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1.4.</w:t>
      </w:r>
      <w:r>
        <w:rPr>
          <w:rFonts w:hint="eastAsia" w:ascii="方正仿宋_GB2312" w:hAnsi="方正仿宋_GB2312" w:eastAsia="方正仿宋_GB2312" w:cs="方正仿宋_GB2312"/>
          <w:color w:val="auto"/>
          <w:sz w:val="24"/>
          <w:szCs w:val="24"/>
          <w:lang w:val="en-US" w:eastAsia="zh-CN"/>
        </w:rPr>
        <w:t>4</w:t>
      </w:r>
      <w:r>
        <w:rPr>
          <w:rFonts w:hint="eastAsia" w:ascii="方正仿宋_GB2312" w:hAnsi="方正仿宋_GB2312" w:eastAsia="方正仿宋_GB2312" w:cs="方正仿宋_GB2312"/>
          <w:color w:val="auto"/>
          <w:sz w:val="24"/>
          <w:szCs w:val="24"/>
          <w:lang w:eastAsia="zh-CN"/>
        </w:rPr>
        <w:t xml:space="preserve"> 除非技术规范中另有规定，计量单位均采用中华人民共和国法定计量单位。</w:t>
      </w:r>
    </w:p>
    <w:p>
      <w:pPr>
        <w:spacing w:beforeLines="50" w:afterLines="50" w:line="360" w:lineRule="exact"/>
        <w:ind w:firstLine="482" w:firstLineChars="200"/>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2.包装运输要求</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pPr>
        <w:spacing w:beforeLines="50" w:afterLines="50" w:line="360" w:lineRule="exact"/>
        <w:ind w:firstLine="482" w:firstLineChars="200"/>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3.交货时间及交货地点</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3.2 合同签订后</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pPr>
        <w:spacing w:beforeLines="50" w:afterLines="50" w:line="360" w:lineRule="exact"/>
        <w:ind w:firstLine="482" w:firstLineChars="200"/>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4.产品质量保证</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4.1 乙方提供的设备及配套产品，必须是合同规定厂家制造的合格、全新、未曾使用的产品，产品内部无损坏，外表无磨损，内部包装无破损。</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4.2 乙方提供的设备及配套产品必须等同于或优于合同技术指标要求，并能按国家标准供应、检测、调试，确保产品技术指标满足合同约定及使用要求。</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4.6 产品质量保证期为甲方硬件设备最终验收合格后</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年，软件系统最终验收合格后</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年。质保期内，乙方应免费提供所有硬件设备维修及软件系统的升级服务，需更换的零配件应保证为原厂原装。质保期满后，乙方应提供软件终身免费升级，负责设备的终身维修。甲方如需更换设备的零配件，乙方应保证更换的零配件为原厂原装，并只收取零配件的成本费，同时由乙方负责更换并调试合格。</w:t>
      </w:r>
    </w:p>
    <w:p>
      <w:pPr>
        <w:spacing w:beforeLines="50" w:afterLines="50" w:line="360" w:lineRule="exact"/>
        <w:ind w:firstLine="482" w:firstLineChars="200"/>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5.技术服务承诺</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5.1 乙方应严格按照供货时间，及时给甲方供货。</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5.2 乙方负责提供设备相应的技术资料，包括产品合格证、产品保修单、安装使用及维护说明书以及运输装箱清单等，并对所有技术材料的真实性、准确性、先进性、完整性负责。</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5.3 人员培训：乙方免费为甲方培训设备使用人员，培训内容包括设备操作、维护、简单维修等（培训内容与标准、培训安排等要求详见附件）。</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5.4 售后服务：质保期内，乙方对甲方提出的服务响应不得超过</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eastAsia="zh-CN"/>
        </w:rPr>
        <w:t>小时，并在</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u w:val="none"/>
          <w:lang w:val="en-US" w:eastAsia="zh-CN"/>
        </w:rPr>
        <w:t>小时内</w:t>
      </w:r>
      <w:r>
        <w:rPr>
          <w:rFonts w:hint="eastAsia" w:ascii="方正仿宋_GB2312" w:hAnsi="方正仿宋_GB2312" w:eastAsia="方正仿宋_GB2312" w:cs="方正仿宋_GB2312"/>
          <w:color w:val="auto"/>
          <w:sz w:val="24"/>
          <w:szCs w:val="24"/>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。质保期内乙方应每季度上门巡检不少于</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5.5 具体服务详见乙方投标文件中乙方的承诺书。</w:t>
      </w:r>
    </w:p>
    <w:p>
      <w:pPr>
        <w:spacing w:beforeLines="50" w:afterLines="50" w:line="360" w:lineRule="exact"/>
        <w:ind w:firstLine="482" w:firstLineChars="200"/>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6.验收方法及标准</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6.1 开箱验收</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6.1.1 产品运抵现场后，双方应及时开箱验收，并制作验收记录，以确认与本合同约定的数量、型号等是否一致。</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6.1.4 开箱验收中如发现产品的数量、规格与合同约定不符，甲方有权拒收产品，乙方应及时按甲方要求免费对拒收产品采取更换或其他必要的补救措施，直至开箱验收合格，方视为乙方完成交货。</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 检验验收</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6.2.1 交货完成后，乙方应及时组装、调试、试运行，按照合同条款规定的试运行完成后，双方及时组织对产品进行检验验收。合同双方均须派人参加合同要求双方参加的试验、检验。</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6.2.2 在具体实施合同规定的检验验收之前，乙方需提前提交相应的测试计划(包括测试程序、测试内容和检验标准、试验时间安排等)供甲方确认。注：本条甲乙双方协商。</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6.2.3 除需甲方确认的试验验收外，乙方还应对所有检验验收测试的结果、步骤、原始数据等做妥善记录。如甲方要求，乙方应提供这些记录给甲方。</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6.2.4 检验测试出现全部或部分未达到本合同所约定的技术指标，甲方有权选择下列任一处理方式：</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a.重新测试直至合格为止；</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b.要求乙方对货物进行免费更换，然后重新测试直至合格为止；无论选择何种方式，甲方因此而发生的、因乙方原因引起的所有费用均由乙方负担，并承担造成延迟交付的违约责任。</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6.3 使用过程检验</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6.3.2 如果合同双方对乙方提供的上述试验结果报告的解释有分歧，双方须于出现分歧后</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天内给对方声明，以陈述己方的观点。声明须附有关证据。分歧应通过协商解决。</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6.4 所有验收合格，但不能免除乙方应该承担的质保责任。</w:t>
      </w:r>
    </w:p>
    <w:p>
      <w:pPr>
        <w:spacing w:beforeLines="50" w:afterLines="50" w:line="360" w:lineRule="exact"/>
        <w:ind w:firstLine="482" w:firstLineChars="200"/>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7.合同款项支付方式</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7.1 履约保证金</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7.1.1 乙方应在收到中标(成交)通知书后、合同签订前</w:t>
      </w:r>
      <w:r>
        <w:rPr>
          <w:rFonts w:hint="eastAsia" w:ascii="方正仿宋_GB2312" w:hAnsi="方正仿宋_GB2312" w:eastAsia="方正仿宋_GB2312" w:cs="方正仿宋_GB2312"/>
          <w:color w:val="auto"/>
          <w:sz w:val="24"/>
          <w:szCs w:val="24"/>
          <w:u w:val="single"/>
          <w:lang w:eastAsia="zh-CN"/>
        </w:rPr>
        <w:t xml:space="preserve"> 5 </w:t>
      </w:r>
      <w:r>
        <w:rPr>
          <w:rFonts w:hint="eastAsia" w:ascii="方正仿宋_GB2312" w:hAnsi="方正仿宋_GB2312" w:eastAsia="方正仿宋_GB2312" w:cs="方正仿宋_GB2312"/>
          <w:color w:val="auto"/>
          <w:sz w:val="24"/>
          <w:szCs w:val="24"/>
          <w:lang w:eastAsia="zh-CN"/>
        </w:rPr>
        <w:t>个工作日内，向甲方提交合同总价</w:t>
      </w:r>
      <w:r>
        <w:rPr>
          <w:rFonts w:hint="eastAsia" w:ascii="方正仿宋_GB2312" w:hAnsi="方正仿宋_GB2312" w:eastAsia="方正仿宋_GB2312" w:cs="方正仿宋_GB2312"/>
          <w:color w:val="auto"/>
          <w:sz w:val="24"/>
          <w:szCs w:val="24"/>
          <w:u w:val="single"/>
          <w:lang w:eastAsia="zh-CN"/>
        </w:rPr>
        <w:t xml:space="preserve"> 5  </w:t>
      </w:r>
      <w:r>
        <w:rPr>
          <w:rFonts w:hint="eastAsia" w:ascii="方正仿宋_GB2312" w:hAnsi="方正仿宋_GB2312" w:eastAsia="方正仿宋_GB2312" w:cs="方正仿宋_GB2312"/>
          <w:color w:val="auto"/>
          <w:sz w:val="24"/>
          <w:szCs w:val="24"/>
          <w:lang w:eastAsia="zh-CN"/>
        </w:rPr>
        <w:t>%的履约保证金（投标人可自主选择以银行转账、支票、汇票、本票或银行保函等非现金形式缴纳履约保证金，乙方应于提交前就所选缴纳方式的具体要求与甲方财务部门确认）。</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7.1.2 设备到货并由甲方验收合格后，采购人在收到供应商书面申请，经采购人确认供应商履行了合同约定的义务，无违约情形一次性予以无息退还。</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7.2 合同款支付</w:t>
      </w:r>
    </w:p>
    <w:p>
      <w:pPr>
        <w:spacing w:line="380" w:lineRule="exact"/>
        <w:ind w:firstLine="480" w:firstLineChars="200"/>
        <w:rPr>
          <w:rFonts w:hint="eastAsia" w:ascii="方正仿宋_GB2312" w:hAnsi="方正仿宋_GB2312" w:eastAsia="方正仿宋_GB2312" w:cs="方正仿宋_GB2312"/>
          <w:color w:val="auto"/>
          <w:sz w:val="24"/>
          <w:szCs w:val="24"/>
          <w:highlight w:val="lightGray"/>
          <w:u w:val="none"/>
        </w:rPr>
      </w:pPr>
      <w:r>
        <w:rPr>
          <w:rFonts w:hint="eastAsia" w:ascii="方正仿宋_GB2312" w:hAnsi="方正仿宋_GB2312" w:eastAsia="方正仿宋_GB2312" w:cs="方正仿宋_GB2312"/>
          <w:color w:val="auto"/>
          <w:sz w:val="24"/>
          <w:szCs w:val="24"/>
          <w:lang w:eastAsia="zh-CN"/>
        </w:rPr>
        <w:t>签订合同后，设备到达指定地点、安装调试完成并验收合格后，</w:t>
      </w:r>
      <w:r>
        <w:rPr>
          <w:rFonts w:hint="eastAsia" w:ascii="方正仿宋_GB2312" w:hAnsi="方正仿宋_GB2312" w:eastAsia="方正仿宋_GB2312" w:cs="方正仿宋_GB2312"/>
          <w:color w:val="auto"/>
          <w:sz w:val="24"/>
          <w:szCs w:val="24"/>
          <w:highlight w:val="none"/>
          <w:u w:val="none"/>
        </w:rPr>
        <w:t>并完成甲方所有内部付款审批程序，满足付款条件起10个工作日内支付合同总价的100%。</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7.3 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pPr>
        <w:spacing w:beforeLines="50" w:afterLines="50" w:line="360" w:lineRule="exact"/>
        <w:ind w:firstLine="482" w:firstLineChars="200"/>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8.安全生产和文明施工</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8.1 现场安全文明施工由乙方编制专项详细方案并严格执行。</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8.3 在设备安装施工全过程中，乙方应服从甲方的各项管理，并对乙方施工人员进行安全管理。</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8.4 确保现场建筑物及相关设施设备完好无损，如施工过程中出现损坏，乙方负责修复赔偿。</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8.5 乙方应对安装施工人员相关岗位上岗资格进行审查，并对相关后果负责。</w:t>
      </w:r>
    </w:p>
    <w:p>
      <w:pPr>
        <w:spacing w:beforeLines="50" w:afterLines="50" w:line="360" w:lineRule="exact"/>
        <w:ind w:firstLine="482" w:firstLineChars="200"/>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9.索赔</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9.2 在验收合格前，乙方对甲方提出的索赔负有责任，乙方应按照甲方同意的下列一种或多种方式解决索赔事宜：</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9.2.2 根据货物低劣程度、损坏程度以及甲方所遭受损失的数额，经甲乙双方商定降低货物的价格，或由有资质的中介机构评估，以降低后的价格或评估价格为准。</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9.3 乙方收到甲方发出的索赔通知之日起</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u w:val="single"/>
          <w:lang w:val="en-US" w:eastAsia="zh-CN"/>
        </w:rPr>
        <w:t>5</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个工作日内未作答复的，甲方可从合同款或履约保证金中扣回索赔金额，如金额不足以补偿索赔金额，乙方应补足差额部分。</w:t>
      </w:r>
    </w:p>
    <w:p>
      <w:pPr>
        <w:spacing w:beforeLines="50" w:afterLines="50" w:line="360" w:lineRule="exact"/>
        <w:ind w:firstLine="482" w:firstLineChars="200"/>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10.违约责任</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10.1 合同生效后，甲乙双方应按合同规定认真全面履约。合同履约责任只涉及合同甲乙双方，不考虑第三方因素。</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10.3 如乙方产品质量不符合国家标准、行业内控标准或本合同技术附件要求的，甲方有权退货，乙方应退还全部货款，并承担合同总价款</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u w:val="single"/>
          <w:lang w:val="en-US" w:eastAsia="zh-CN"/>
        </w:rPr>
        <w:t>10</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%的违约金及其他损失。</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10.4 在合同规定的供货期内乙方未全部交货，除应如数补齐外，还应承担合同总款的</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u w:val="single"/>
          <w:lang w:val="en-US" w:eastAsia="zh-CN"/>
        </w:rPr>
        <w:t>10</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%违约金。</w:t>
      </w:r>
    </w:p>
    <w:p>
      <w:pPr>
        <w:spacing w:line="380" w:lineRule="exact"/>
        <w:ind w:firstLine="480" w:firstLineChars="200"/>
        <w:jc w:val="both"/>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10.5 乙方对货物不按招标文件要求，擅自更换，除恢复原招标产品外，应承担更换部分价款</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u w:val="single"/>
          <w:lang w:val="en-US" w:eastAsia="zh-CN"/>
        </w:rPr>
        <w:t>10</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%的违约金；乙方如对产品材质、随机配品以次充好，除全部按要求恢复外，应承担此部分价款</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u w:val="single"/>
          <w:lang w:val="en-US" w:eastAsia="zh-CN"/>
        </w:rPr>
        <w:t>10</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%的违约金。</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10.6 除不可抗力因素外，乙方没有按照合同规定的时间交货，甲方可要求乙方支付违约金，违约金每日按合同总价款的</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u w:val="single"/>
          <w:lang w:val="en-US" w:eastAsia="zh-CN"/>
        </w:rPr>
        <w:t>5</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‰计收。</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val="en-US" w:eastAsia="zh-CN"/>
        </w:rPr>
        <w:t>10.7 乙方</w:t>
      </w:r>
      <w:r>
        <w:rPr>
          <w:rFonts w:hint="eastAsia" w:ascii="方正仿宋_GB2312" w:hAnsi="方正仿宋_GB2312" w:eastAsia="方正仿宋_GB2312" w:cs="方正仿宋_GB2312"/>
          <w:color w:val="auto"/>
          <w:sz w:val="24"/>
          <w:szCs w:val="24"/>
          <w:lang w:eastAsia="zh-CN"/>
        </w:rPr>
        <w:t>对所供产品出现的问题推诿、拖延，</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u w:val="single"/>
          <w:lang w:val="en-US" w:eastAsia="zh-CN"/>
        </w:rPr>
        <w:t>24</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小时未作出服务响应和提供服务，甲方可要求乙方支付违约金，违约金每日按合同总价款的</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u w:val="single"/>
          <w:lang w:val="en-US" w:eastAsia="zh-CN"/>
        </w:rPr>
        <w:t>0.5</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lang w:eastAsia="zh-CN"/>
        </w:rPr>
        <w:t>‰计收。否则，甲方有权拒绝乙方以后参加学校竞标。</w:t>
      </w:r>
    </w:p>
    <w:p>
      <w:pPr>
        <w:spacing w:beforeLines="50" w:afterLines="50" w:line="360" w:lineRule="exact"/>
        <w:ind w:firstLine="482" w:firstLineChars="200"/>
        <w:rPr>
          <w:rFonts w:hint="eastAsia" w:ascii="方正仿宋_GB2312" w:hAnsi="方正仿宋_GB2312" w:eastAsia="方正仿宋_GB2312" w:cs="方正仿宋_GB2312"/>
          <w:b/>
          <w:bCs/>
          <w:color w:val="auto"/>
          <w:sz w:val="24"/>
          <w:szCs w:val="24"/>
          <w:lang w:eastAsia="zh-CN"/>
        </w:rPr>
      </w:pPr>
      <w:r>
        <w:rPr>
          <w:rFonts w:hint="eastAsia" w:ascii="方正仿宋_GB2312" w:hAnsi="方正仿宋_GB2312" w:eastAsia="方正仿宋_GB2312" w:cs="方正仿宋_GB2312"/>
          <w:b/>
          <w:bCs/>
          <w:color w:val="auto"/>
          <w:sz w:val="24"/>
          <w:szCs w:val="24"/>
          <w:lang w:eastAsia="zh-CN"/>
        </w:rPr>
        <w:t>11.合同争议的解决</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11.1 甲乙双方由于本合同的履行而发生任何争议时，双方可先通过协商解决。</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11.2 任何一方不愿通过协商或通过协商仍不能解决争议，则双方中任何一方均应向甲方所在地人民法院起诉。</w:t>
      </w:r>
    </w:p>
    <w:p>
      <w:pPr>
        <w:spacing w:line="380" w:lineRule="exact"/>
        <w:ind w:firstLine="482" w:firstLineChars="200"/>
        <w:rPr>
          <w:rFonts w:hint="eastAsia" w:ascii="方正仿宋_GB2312" w:hAnsi="方正仿宋_GB2312" w:eastAsia="方正仿宋_GB2312" w:cs="方正仿宋_GB2312"/>
          <w:b/>
          <w:color w:val="auto"/>
          <w:sz w:val="24"/>
          <w:szCs w:val="24"/>
          <w:lang w:eastAsia="zh-CN"/>
        </w:rPr>
      </w:pPr>
      <w:r>
        <w:rPr>
          <w:rFonts w:hint="eastAsia" w:ascii="方正仿宋_GB2312" w:hAnsi="方正仿宋_GB2312" w:eastAsia="方正仿宋_GB2312" w:cs="方正仿宋_GB2312"/>
          <w:b/>
          <w:color w:val="auto"/>
          <w:sz w:val="24"/>
          <w:szCs w:val="24"/>
          <w:lang w:eastAsia="zh-CN"/>
        </w:rPr>
        <w:t>12.违约解除合同</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12.1 出现下列情形之一的，视为乙方违约。甲方可向乙方发出书面通知，部分或全部终止合同，同时保留向乙方索赔及追究其违约责任的权利。</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12.1.1 乙方未能在合同规定的限期或甲方同意延长的限期内，提供全部或部分货物的；</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12.1.2 乙方未能履行合同规定的其他主要义务的；</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12.1.3 乙方在本合同履行过程中有欺诈行为的。</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12.2 甲方全部或部分解除合同之后，乙方应承担甲方再次购买类似货物或服务而产生的支出。部分解除合同的，乙方应继续履行合同中未解除的部分。</w:t>
      </w:r>
    </w:p>
    <w:p>
      <w:pPr>
        <w:shd w:val="clear" w:color="auto" w:fill="auto"/>
        <w:spacing w:line="380" w:lineRule="exact"/>
        <w:ind w:firstLine="480" w:firstLineChars="200"/>
        <w:outlineLvl w:val="9"/>
        <w:rPr>
          <w:rFonts w:hint="eastAsia" w:ascii="方正仿宋_GB2312" w:hAnsi="方正仿宋_GB2312" w:eastAsia="方正仿宋_GB2312" w:cs="方正仿宋_GB2312"/>
          <w:b w:val="0"/>
          <w:bCs w:val="0"/>
          <w:color w:val="auto"/>
          <w:sz w:val="24"/>
          <w:szCs w:val="24"/>
          <w:lang w:eastAsia="zh-CN"/>
        </w:rPr>
      </w:pPr>
      <w:r>
        <w:rPr>
          <w:rFonts w:hint="eastAsia" w:ascii="方正仿宋_GB2312" w:hAnsi="方正仿宋_GB2312" w:eastAsia="方正仿宋_GB2312" w:cs="方正仿宋_GB2312"/>
          <w:color w:val="auto"/>
          <w:sz w:val="24"/>
          <w:szCs w:val="24"/>
          <w:lang w:eastAsia="zh-CN"/>
        </w:rPr>
        <w:t>13.</w:t>
      </w:r>
      <w:r>
        <w:rPr>
          <w:rFonts w:hint="eastAsia" w:ascii="方正仿宋_GB2312" w:hAnsi="方正仿宋_GB2312" w:eastAsia="方正仿宋_GB2312" w:cs="方正仿宋_GB2312"/>
          <w:b w:val="0"/>
          <w:bCs w:val="0"/>
          <w:color w:val="auto"/>
          <w:sz w:val="24"/>
          <w:szCs w:val="24"/>
          <w:lang w:eastAsia="zh-CN"/>
        </w:rPr>
        <w:t>不可抗力</w:t>
      </w:r>
    </w:p>
    <w:p>
      <w:pPr>
        <w:shd w:val="clear" w:color="auto" w:fill="auto"/>
        <w:spacing w:line="380" w:lineRule="exact"/>
        <w:ind w:firstLine="480" w:firstLineChars="200"/>
        <w:rPr>
          <w:rFonts w:hint="eastAsia" w:ascii="方正仿宋_GB2312" w:hAnsi="方正仿宋_GB2312" w:eastAsia="方正仿宋_GB2312" w:cs="方正仿宋_GB2312"/>
          <w:color w:val="auto"/>
          <w:kern w:val="0"/>
          <w:sz w:val="24"/>
          <w:szCs w:val="24"/>
          <w:lang w:eastAsia="zh-CN"/>
        </w:rPr>
      </w:pPr>
      <w:r>
        <w:rPr>
          <w:rFonts w:hint="eastAsia" w:ascii="方正仿宋_GB2312" w:hAnsi="方正仿宋_GB2312" w:eastAsia="方正仿宋_GB2312" w:cs="方正仿宋_GB2312"/>
          <w:color w:val="auto"/>
          <w:kern w:val="0"/>
          <w:sz w:val="24"/>
          <w:szCs w:val="24"/>
          <w:lang w:eastAsia="zh-CN"/>
        </w:rPr>
        <w:t>13.1</w:t>
      </w:r>
      <w:r>
        <w:rPr>
          <w:rFonts w:hint="eastAsia" w:ascii="方正仿宋_GB2312" w:hAnsi="方正仿宋_GB2312" w:eastAsia="方正仿宋_GB2312" w:cs="方正仿宋_GB2312"/>
          <w:color w:val="auto"/>
          <w:sz w:val="24"/>
          <w:szCs w:val="24"/>
          <w:lang w:eastAsia="zh-CN"/>
        </w:rPr>
        <w:t xml:space="preserve"> </w:t>
      </w:r>
      <w:r>
        <w:rPr>
          <w:rFonts w:hint="eastAsia" w:ascii="方正仿宋_GB2312" w:hAnsi="方正仿宋_GB2312" w:eastAsia="方正仿宋_GB2312" w:cs="方正仿宋_GB2312"/>
          <w:color w:val="auto"/>
          <w:kern w:val="0"/>
          <w:sz w:val="24"/>
          <w:szCs w:val="24"/>
          <w:lang w:eastAsia="zh-CN"/>
        </w:rPr>
        <w:t>本合同项下的“不可抗力”是指不能预见，不能避免且不能克服的客观情况，使得本合同一方当事人无法履行合同义务，如战争、严重火灾、水灾、风灾和地震属于不可抗力的事故。</w:t>
      </w:r>
    </w:p>
    <w:p>
      <w:pPr>
        <w:shd w:val="clear" w:color="auto" w:fill="auto"/>
        <w:spacing w:line="380" w:lineRule="exact"/>
        <w:ind w:firstLine="480" w:firstLineChars="200"/>
        <w:rPr>
          <w:rFonts w:hint="eastAsia" w:ascii="方正仿宋_GB2312" w:hAnsi="方正仿宋_GB2312" w:eastAsia="方正仿宋_GB2312" w:cs="方正仿宋_GB2312"/>
          <w:color w:val="auto"/>
          <w:kern w:val="0"/>
          <w:sz w:val="24"/>
          <w:szCs w:val="24"/>
          <w:lang w:eastAsia="zh-CN"/>
        </w:rPr>
      </w:pPr>
      <w:r>
        <w:rPr>
          <w:rFonts w:hint="eastAsia" w:ascii="方正仿宋_GB2312" w:hAnsi="方正仿宋_GB2312" w:eastAsia="方正仿宋_GB2312" w:cs="方正仿宋_GB2312"/>
          <w:color w:val="auto"/>
          <w:kern w:val="0"/>
          <w:sz w:val="24"/>
          <w:szCs w:val="24"/>
          <w:lang w:eastAsia="zh-CN"/>
        </w:rPr>
        <w:t>13.2</w:t>
      </w:r>
      <w:r>
        <w:rPr>
          <w:rFonts w:hint="eastAsia" w:ascii="方正仿宋_GB2312" w:hAnsi="方正仿宋_GB2312" w:eastAsia="方正仿宋_GB2312" w:cs="方正仿宋_GB2312"/>
          <w:color w:val="auto"/>
          <w:sz w:val="24"/>
          <w:szCs w:val="24"/>
          <w:lang w:eastAsia="zh-CN"/>
        </w:rPr>
        <w:t xml:space="preserve"> </w:t>
      </w:r>
      <w:r>
        <w:rPr>
          <w:rFonts w:hint="eastAsia" w:ascii="方正仿宋_GB2312" w:hAnsi="方正仿宋_GB2312" w:eastAsia="方正仿宋_GB2312" w:cs="方正仿宋_GB2312"/>
          <w:color w:val="auto"/>
          <w:kern w:val="0"/>
          <w:sz w:val="24"/>
          <w:szCs w:val="24"/>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pPr>
        <w:shd w:val="clear" w:color="auto" w:fill="auto"/>
        <w:spacing w:line="380" w:lineRule="exact"/>
        <w:ind w:firstLine="480" w:firstLineChars="200"/>
        <w:rPr>
          <w:rFonts w:hint="eastAsia" w:ascii="方正仿宋_GB2312" w:hAnsi="方正仿宋_GB2312" w:eastAsia="方正仿宋_GB2312" w:cs="方正仿宋_GB2312"/>
          <w:color w:val="auto"/>
          <w:kern w:val="0"/>
          <w:sz w:val="24"/>
          <w:szCs w:val="24"/>
          <w:lang w:eastAsia="zh-CN"/>
        </w:rPr>
      </w:pPr>
      <w:r>
        <w:rPr>
          <w:rFonts w:hint="eastAsia" w:ascii="方正仿宋_GB2312" w:hAnsi="方正仿宋_GB2312" w:eastAsia="方正仿宋_GB2312" w:cs="方正仿宋_GB2312"/>
          <w:color w:val="auto"/>
          <w:kern w:val="0"/>
          <w:sz w:val="24"/>
          <w:szCs w:val="24"/>
          <w:lang w:eastAsia="zh-CN"/>
        </w:rPr>
        <w:t>13.3</w:t>
      </w:r>
      <w:r>
        <w:rPr>
          <w:rFonts w:hint="eastAsia" w:ascii="方正仿宋_GB2312" w:hAnsi="方正仿宋_GB2312" w:eastAsia="方正仿宋_GB2312" w:cs="方正仿宋_GB2312"/>
          <w:color w:val="auto"/>
          <w:sz w:val="24"/>
          <w:szCs w:val="24"/>
          <w:lang w:eastAsia="zh-CN"/>
        </w:rPr>
        <w:t xml:space="preserve"> </w:t>
      </w:r>
      <w:r>
        <w:rPr>
          <w:rFonts w:hint="eastAsia" w:ascii="方正仿宋_GB2312" w:hAnsi="方正仿宋_GB2312" w:eastAsia="方正仿宋_GB2312" w:cs="方正仿宋_GB2312"/>
          <w:color w:val="auto"/>
          <w:kern w:val="0"/>
          <w:sz w:val="24"/>
          <w:szCs w:val="24"/>
          <w:lang w:eastAsia="zh-CN"/>
        </w:rPr>
        <w:t>如不可抗力事件延续120天以上的，各方通过协商达成在合理的时间内继续履行合同，或部分履行合同，或终止合同的履行。</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13.</w:t>
      </w:r>
      <w:r>
        <w:rPr>
          <w:rFonts w:hint="eastAsia" w:ascii="方正仿宋_GB2312" w:hAnsi="方正仿宋_GB2312" w:eastAsia="方正仿宋_GB2312" w:cs="方正仿宋_GB2312"/>
          <w:color w:val="auto"/>
          <w:kern w:val="0"/>
          <w:sz w:val="24"/>
          <w:szCs w:val="24"/>
          <w:lang w:eastAsia="zh-CN"/>
        </w:rPr>
        <w:t>4</w:t>
      </w:r>
      <w:r>
        <w:rPr>
          <w:rFonts w:hint="eastAsia" w:ascii="方正仿宋_GB2312" w:hAnsi="方正仿宋_GB2312" w:eastAsia="方正仿宋_GB2312" w:cs="方正仿宋_GB2312"/>
          <w:color w:val="auto"/>
          <w:sz w:val="24"/>
          <w:szCs w:val="24"/>
          <w:lang w:eastAsia="zh-CN"/>
        </w:rPr>
        <w:t xml:space="preserve"> </w:t>
      </w:r>
      <w:r>
        <w:rPr>
          <w:rFonts w:hint="eastAsia" w:ascii="方正仿宋_GB2312" w:hAnsi="方正仿宋_GB2312" w:eastAsia="方正仿宋_GB2312" w:cs="方正仿宋_GB2312"/>
          <w:color w:val="auto"/>
          <w:kern w:val="0"/>
          <w:sz w:val="24"/>
          <w:szCs w:val="24"/>
          <w:lang w:eastAsia="zh-CN"/>
        </w:rPr>
        <w:t>一方迟延履行后发生不可抗力的，不能免除责任。</w:t>
      </w:r>
    </w:p>
    <w:p>
      <w:pPr>
        <w:spacing w:beforeLines="-2147483648" w:afterLines="-2147483648" w:line="380" w:lineRule="exact"/>
        <w:ind w:firstLine="480" w:firstLineChars="200"/>
        <w:rPr>
          <w:rFonts w:hint="eastAsia" w:ascii="方正仿宋_GB2312" w:hAnsi="方正仿宋_GB2312" w:eastAsia="方正仿宋_GB2312" w:cs="方正仿宋_GB2312"/>
          <w:b w:val="0"/>
          <w:bCs w:val="0"/>
          <w:color w:val="auto"/>
          <w:sz w:val="24"/>
          <w:szCs w:val="24"/>
          <w:lang w:eastAsia="zh-CN"/>
        </w:rPr>
      </w:pPr>
      <w:r>
        <w:rPr>
          <w:rFonts w:hint="eastAsia" w:ascii="方正仿宋_GB2312" w:hAnsi="方正仿宋_GB2312" w:eastAsia="方正仿宋_GB2312" w:cs="方正仿宋_GB2312"/>
          <w:b w:val="0"/>
          <w:bCs w:val="0"/>
          <w:color w:val="auto"/>
          <w:sz w:val="24"/>
          <w:szCs w:val="24"/>
          <w:lang w:eastAsia="zh-CN"/>
        </w:rPr>
        <w:t>14.其他事项</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14.1 合同经双方签字盖章后生效。本合同一式六份，甲方执五份，乙方执一份，执行完毕后自行失效。</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pPr>
        <w:spacing w:line="380" w:lineRule="exact"/>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a.合同附件（设备和软件的具体配置及技术参数，</w:t>
      </w:r>
      <w:r>
        <w:rPr>
          <w:rFonts w:hint="eastAsia" w:ascii="方正仿宋_GB2312" w:hAnsi="方正仿宋_GB2312" w:eastAsia="方正仿宋_GB2312" w:cs="方正仿宋_GB2312"/>
          <w:color w:val="auto"/>
          <w:sz w:val="24"/>
          <w:szCs w:val="24"/>
          <w:lang w:eastAsia="zh-CN"/>
        </w:rPr>
        <w:t>培训内容、标准和安排</w:t>
      </w:r>
      <w:r>
        <w:rPr>
          <w:rFonts w:hint="eastAsia" w:ascii="方正仿宋_GB2312" w:hAnsi="方正仿宋_GB2312" w:eastAsia="方正仿宋_GB2312" w:cs="方正仿宋_GB2312"/>
          <w:color w:val="auto"/>
          <w:sz w:val="24"/>
          <w:szCs w:val="24"/>
          <w:lang w:val="en-US" w:eastAsia="zh-CN"/>
        </w:rPr>
        <w:t>）；</w:t>
      </w:r>
    </w:p>
    <w:p>
      <w:pPr>
        <w:spacing w:line="380" w:lineRule="exact"/>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b.招标文件；</w:t>
      </w:r>
    </w:p>
    <w:p>
      <w:pPr>
        <w:spacing w:line="380" w:lineRule="exact"/>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c.投标文件；</w:t>
      </w:r>
    </w:p>
    <w:p>
      <w:pPr>
        <w:spacing w:line="380" w:lineRule="exact"/>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d.进出口代理协议；</w:t>
      </w:r>
    </w:p>
    <w:p>
      <w:pPr>
        <w:spacing w:line="380" w:lineRule="exact"/>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d.中标通知书。</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14.3 通知和合同修改；在本合同执行过程中，一方给另一方的通知，都应以书面形式（信函、传真）发送至对方，对本合同条款进行任何改动或补充，均须由甲乙双方签署书面合同修改签证，方为有效。</w:t>
      </w:r>
    </w:p>
    <w:p>
      <w:pPr>
        <w:shd w:val="clear" w:color="auto" w:fill="auto"/>
        <w:spacing w:line="380" w:lineRule="exact"/>
        <w:ind w:firstLine="480" w:firstLineChars="200"/>
        <w:rPr>
          <w:rFonts w:hint="eastAsia" w:ascii="方正仿宋_GB2312" w:hAnsi="方正仿宋_GB2312" w:eastAsia="方正仿宋_GB2312" w:cs="方正仿宋_GB2312"/>
          <w:color w:val="auto"/>
          <w:kern w:val="0"/>
          <w:sz w:val="24"/>
          <w:szCs w:val="24"/>
          <w:lang w:eastAsia="zh-CN"/>
        </w:rPr>
      </w:pPr>
      <w:r>
        <w:rPr>
          <w:rFonts w:hint="eastAsia" w:ascii="方正仿宋_GB2312" w:hAnsi="方正仿宋_GB2312" w:eastAsia="方正仿宋_GB2312" w:cs="方正仿宋_GB2312"/>
          <w:b w:val="0"/>
          <w:bCs w:val="0"/>
          <w:color w:val="auto"/>
          <w:sz w:val="24"/>
          <w:szCs w:val="24"/>
          <w:lang w:eastAsia="zh-CN"/>
        </w:rPr>
        <w:t>1</w:t>
      </w:r>
      <w:r>
        <w:rPr>
          <w:rFonts w:hint="eastAsia" w:ascii="方正仿宋_GB2312" w:hAnsi="方正仿宋_GB2312" w:eastAsia="方正仿宋_GB2312" w:cs="方正仿宋_GB2312"/>
          <w:color w:val="auto"/>
          <w:sz w:val="24"/>
          <w:szCs w:val="24"/>
          <w:lang w:eastAsia="zh-CN"/>
        </w:rPr>
        <w:t>4</w:t>
      </w:r>
      <w:r>
        <w:rPr>
          <w:rFonts w:hint="eastAsia" w:ascii="方正仿宋_GB2312" w:hAnsi="方正仿宋_GB2312" w:eastAsia="方正仿宋_GB2312" w:cs="方正仿宋_GB2312"/>
          <w:b w:val="0"/>
          <w:bCs w:val="0"/>
          <w:color w:val="auto"/>
          <w:sz w:val="24"/>
          <w:szCs w:val="24"/>
          <w:lang w:eastAsia="zh-CN"/>
        </w:rPr>
        <w:t>.4</w:t>
      </w:r>
      <w:r>
        <w:rPr>
          <w:rFonts w:hint="eastAsia" w:ascii="方正仿宋_GB2312" w:hAnsi="方正仿宋_GB2312" w:eastAsia="方正仿宋_GB2312" w:cs="方正仿宋_GB2312"/>
          <w:color w:val="auto"/>
          <w:sz w:val="24"/>
          <w:szCs w:val="24"/>
          <w:lang w:eastAsia="zh-CN"/>
        </w:rPr>
        <w:t xml:space="preserve">  </w:t>
      </w:r>
      <w:r>
        <w:rPr>
          <w:rFonts w:hint="eastAsia" w:ascii="方正仿宋_GB2312" w:hAnsi="方正仿宋_GB2312" w:eastAsia="方正仿宋_GB2312" w:cs="方正仿宋_GB2312"/>
          <w:color w:val="auto"/>
          <w:kern w:val="0"/>
          <w:sz w:val="24"/>
          <w:szCs w:val="24"/>
          <w:lang w:eastAsia="zh-CN"/>
        </w:rPr>
        <w:t>本合同未尽事宜由双方协商，另行订立补充协议，补充协议与本协议具有同样的法律效力。如果本合同之附件与本合同规定不符, 以本合同规定为准。</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3日（以邮戳为准）视为送达，即使发生拒收、退回等情形。电子邮件自进入收件方指定电子邮箱系统时视为送达（发送成功即视为进入，无论是否阅读）。若采用多种方式，以最早到达时间为准。任何一方变更地址，应提前3个工作日书面通知对方；否则，原地址仍有效，依此发出的通知一经发出即视为送达，由此产生的后果由未通知方自行承担。</w:t>
      </w:r>
    </w:p>
    <w:p>
      <w:pPr>
        <w:spacing w:line="380" w:lineRule="exact"/>
        <w:ind w:firstLine="480" w:firstLineChars="200"/>
        <w:rPr>
          <w:rFonts w:hint="eastAsia" w:ascii="方正仿宋_GB2312" w:hAnsi="方正仿宋_GB2312" w:eastAsia="方正仿宋_GB2312" w:cs="方正仿宋_GB2312"/>
          <w:color w:val="auto"/>
          <w:sz w:val="24"/>
          <w:szCs w:val="24"/>
          <w:lang w:eastAsia="zh-CN"/>
        </w:rPr>
      </w:pPr>
    </w:p>
    <w:p>
      <w:pPr>
        <w:spacing w:beforeLines="50" w:afterLines="50"/>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合同签订地点：陕西职业技术学院</w:t>
      </w:r>
    </w:p>
    <w:p>
      <w:pPr>
        <w:spacing w:beforeLines="50" w:afterLines="5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合同签订时间：</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rPr>
        <w:t>年</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rPr>
        <w:t>月</w:t>
      </w:r>
      <w:r>
        <w:rPr>
          <w:rFonts w:hint="eastAsia" w:ascii="方正仿宋_GB2312" w:hAnsi="方正仿宋_GB2312" w:eastAsia="方正仿宋_GB2312" w:cs="方正仿宋_GB2312"/>
          <w:color w:val="auto"/>
          <w:sz w:val="24"/>
          <w:szCs w:val="24"/>
          <w:u w:val="single"/>
          <w:lang w:eastAsia="zh-CN"/>
        </w:rPr>
        <w:t xml:space="preserve">       </w:t>
      </w:r>
      <w:r>
        <w:rPr>
          <w:rFonts w:hint="eastAsia" w:ascii="方正仿宋_GB2312" w:hAnsi="方正仿宋_GB2312" w:eastAsia="方正仿宋_GB2312" w:cs="方正仿宋_GB2312"/>
          <w:color w:val="auto"/>
          <w:sz w:val="24"/>
          <w:szCs w:val="24"/>
        </w:rPr>
        <w:t>日</w:t>
      </w:r>
    </w:p>
    <w:tbl>
      <w:tblPr>
        <w:tblStyle w:val="9"/>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pPr>
              <w:jc w:val="both"/>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甲方(盖章):陕西职业技术学院</w:t>
            </w:r>
          </w:p>
        </w:tc>
        <w:tc>
          <w:tcPr>
            <w:tcW w:w="4485" w:type="dxa"/>
            <w:vAlign w:val="center"/>
          </w:tcPr>
          <w:p>
            <w:pPr>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乙方(盖章):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pPr>
              <w:jc w:val="both"/>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地址：西安市灞桥区狄寨路2028号</w:t>
            </w:r>
          </w:p>
        </w:tc>
        <w:tc>
          <w:tcPr>
            <w:tcW w:w="4485" w:type="dxa"/>
            <w:vAlign w:val="center"/>
          </w:tcPr>
          <w:p>
            <w:pPr>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pPr>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法定代表人(签字):</w:t>
            </w:r>
          </w:p>
        </w:tc>
        <w:tc>
          <w:tcPr>
            <w:tcW w:w="4485" w:type="dxa"/>
            <w:vAlign w:val="center"/>
          </w:tcPr>
          <w:p>
            <w:pPr>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法定代表人(签字):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pPr>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委托代理人(签字):</w:t>
            </w:r>
          </w:p>
        </w:tc>
        <w:tc>
          <w:tcPr>
            <w:tcW w:w="4485" w:type="dxa"/>
            <w:vAlign w:val="center"/>
          </w:tcPr>
          <w:p>
            <w:pPr>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委托代理人(签字)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pPr>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联系人：</w:t>
            </w:r>
          </w:p>
        </w:tc>
        <w:tc>
          <w:tcPr>
            <w:tcW w:w="4485" w:type="dxa"/>
            <w:vAlign w:val="center"/>
          </w:tcPr>
          <w:p>
            <w:pPr>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联系人：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pPr>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联系电话：</w:t>
            </w:r>
          </w:p>
        </w:tc>
        <w:tc>
          <w:tcPr>
            <w:tcW w:w="4485" w:type="dxa"/>
            <w:vAlign w:val="center"/>
          </w:tcPr>
          <w:p>
            <w:pPr>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pPr>
              <w:jc w:val="both"/>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电子邮箱：</w:t>
            </w:r>
          </w:p>
        </w:tc>
        <w:tc>
          <w:tcPr>
            <w:tcW w:w="4485" w:type="dxa"/>
            <w:vAlign w:val="center"/>
          </w:tcPr>
          <w:p>
            <w:pPr>
              <w:jc w:val="both"/>
              <w:rPr>
                <w:rFonts w:hint="eastAsia" w:ascii="方正仿宋_GB2312" w:hAnsi="方正仿宋_GB2312" w:eastAsia="方正仿宋_GB2312" w:cs="方正仿宋_GB2312"/>
                <w:color w:val="auto"/>
                <w:sz w:val="24"/>
                <w:szCs w:val="24"/>
                <w:lang w:eastAsia="zh-CN"/>
              </w:rPr>
            </w:pPr>
            <w:r>
              <w:rPr>
                <w:rFonts w:hint="eastAsia" w:ascii="方正仿宋_GB2312" w:hAnsi="方正仿宋_GB2312" w:eastAsia="方正仿宋_GB2312" w:cs="方正仿宋_GB2312"/>
                <w:color w:val="auto"/>
                <w:sz w:val="24"/>
                <w:szCs w:val="24"/>
                <w:lang w:eastAsia="zh-CN"/>
              </w:rPr>
              <w:t>电子邮箱：</w:t>
            </w:r>
          </w:p>
        </w:tc>
      </w:tr>
    </w:tbl>
    <w:p>
      <w:bookmarkStart w:id="0" w:name="_GoBack"/>
      <w:bookmarkEnd w:id="0"/>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02110EB4"/>
    <w:rsid w:val="102B4A6F"/>
    <w:rsid w:val="162A74AD"/>
    <w:rsid w:val="1A226249"/>
    <w:rsid w:val="249E0BC2"/>
    <w:rsid w:val="27D80778"/>
    <w:rsid w:val="3721115A"/>
    <w:rsid w:val="45925649"/>
    <w:rsid w:val="4C2F6420"/>
    <w:rsid w:val="5B954B0D"/>
    <w:rsid w:val="5DAE1D90"/>
    <w:rsid w:val="7AA15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cs="宋体"/>
      <w:sz w:val="24"/>
      <w:lang w:val="zh-CN" w:bidi="zh-CN"/>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null3"/>
    <w:qFormat/>
    <w:uiPriority w:val="0"/>
    <w:rPr>
      <w:rFonts w:hint="eastAsia" w:ascii="Calibri" w:hAnsi="Calibri" w:eastAsia="宋体" w:cs="Times New Roman"/>
      <w:lang w:val="en-US" w:eastAsia="zh-Hans" w:bidi="ar-SA"/>
    </w:rPr>
  </w:style>
  <w:style w:type="character" w:customStyle="1" w:styleId="7">
    <w:name w:val="NormalCharacter"/>
    <w:link w:val="8"/>
    <w:qFormat/>
    <w:uiPriority w:val="0"/>
  </w:style>
  <w:style w:type="paragraph" w:customStyle="1" w:styleId="8">
    <w:name w:val="UserStyle_64"/>
    <w:basedOn w:val="1"/>
    <w:link w:val="7"/>
    <w:qFormat/>
    <w:uiPriority w:val="0"/>
    <w:pPr>
      <w:widowControl/>
    </w:pPr>
  </w:style>
  <w:style w:type="table" w:customStyle="1" w:styleId="9">
    <w:name w:val="Table Normal"/>
    <w:semiHidden/>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780</Words>
  <Characters>801</Characters>
  <Lines>0</Lines>
  <Paragraphs>0</Paragraphs>
  <TotalTime>0</TotalTime>
  <ScaleCrop>false</ScaleCrop>
  <LinksUpToDate>false</LinksUpToDate>
  <CharactersWithSpaces>982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2025-12-19T02:41:00Z</dcterms:created>
  <dc:creator>123</dc:creator>
  <cp:lastModifiedBy>小杨</cp:lastModifiedBy>
  <dcterms:modified xsi:type="dcterms:W3CDTF">2026-07-17T08:57:59Z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2545D2D474E44E05863C0F20363099D8_12</vt:lpwstr>
  </property>
</Properties>
</file>