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版本号：MZ2026--TP1030.1B120260706001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省十八运（青少年组）游泳、跳水比赛参赛人员领奖服采购项目(二次)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MZ2026--TP1030.1B1</w:t>
      </w:r>
      <w:r>
        <w:br/>
      </w:r>
      <w:r>
        <w:br/>
      </w:r>
      <w:r>
        <w:br/>
      </w:r>
    </w:p>
    <w:p>
      <w:pPr>
        <w:pStyle w:val="null3"/>
        <w:jc w:val="center"/>
        <w:outlineLvl w:val="2"/>
      </w:pPr>
      <w:r>
        <w:rPr>
          <w:rFonts w:ascii="仿宋_GB2312" w:hAnsi="仿宋_GB2312" w:cs="仿宋_GB2312" w:eastAsia="仿宋_GB2312"/>
          <w:sz w:val="28"/>
          <w:b/>
        </w:rPr>
        <w:t>西安市游泳运动管理中心</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西安市游泳运动管理中心</w:t>
      </w:r>
      <w:r>
        <w:rPr>
          <w:rFonts w:ascii="仿宋_GB2312" w:hAnsi="仿宋_GB2312" w:cs="仿宋_GB2312" w:eastAsia="仿宋_GB2312"/>
        </w:rPr>
        <w:t>委托，拟对</w:t>
      </w:r>
      <w:r>
        <w:rPr>
          <w:rFonts w:ascii="仿宋_GB2312" w:hAnsi="仿宋_GB2312" w:cs="仿宋_GB2312" w:eastAsia="仿宋_GB2312"/>
        </w:rPr>
        <w:t>省十八运（青少年组）游泳、跳水比赛参赛人员领奖服采购项目(二次)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MZ2026--TP1030.1B1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省十八运（青少年组）游泳、跳水比赛参赛人员领奖服采购项目(二次)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西安市游泳运动管理中心省十八运（青少年组）游泳、跳水比赛参赛人员领奖服采购项目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1、营业执照：企业法人应提供统一社会信用代码的营业执照；事业法人应提供统一社会信用代码的事业单位法人证；其他组织应提供合法证明文件；自然人应提供身份证明文件；并进行电子签章。</w:t>
      </w:r>
    </w:p>
    <w:p>
      <w:pPr>
        <w:pStyle w:val="null3"/>
      </w:pPr>
      <w:r>
        <w:rPr>
          <w:rFonts w:ascii="仿宋_GB2312" w:hAnsi="仿宋_GB2312" w:cs="仿宋_GB2312" w:eastAsia="仿宋_GB2312"/>
        </w:rPr>
        <w:t>2、具有履行合同所必需的设备和专业技术能力的书面声明：具有履行合同所必需的设备和专业技术能力的书面声明；并进行电子签章。</w:t>
      </w:r>
    </w:p>
    <w:p>
      <w:pPr>
        <w:pStyle w:val="null3"/>
      </w:pPr>
      <w:r>
        <w:rPr>
          <w:rFonts w:ascii="仿宋_GB2312" w:hAnsi="仿宋_GB2312" w:cs="仿宋_GB2312" w:eastAsia="仿宋_GB2312"/>
        </w:rPr>
        <w:t>3、法定代表人身份证明/法定代表人授权书：非法定代表人参加投标的，须提供法定代表人委托授权书及被授权人身份证复印件，法定代表人参加投标时,需提供法定代表人身份证复印件及法定代表人身份证明书；并进行电子签章。</w:t>
      </w:r>
    </w:p>
    <w:p>
      <w:pPr>
        <w:pStyle w:val="null3"/>
      </w:pPr>
      <w:r>
        <w:rPr>
          <w:rFonts w:ascii="仿宋_GB2312" w:hAnsi="仿宋_GB2312" w:cs="仿宋_GB2312" w:eastAsia="仿宋_GB2312"/>
        </w:rPr>
        <w:t>4、税收缴纳证明：供应商提供截止至谈判时间前1年内任一月份的纳税证明或完税证明；依法免税的应提供相关文件证明；并进行电子签章。</w:t>
      </w:r>
    </w:p>
    <w:p>
      <w:pPr>
        <w:pStyle w:val="null3"/>
      </w:pPr>
      <w:r>
        <w:rPr>
          <w:rFonts w:ascii="仿宋_GB2312" w:hAnsi="仿宋_GB2312" w:cs="仿宋_GB2312" w:eastAsia="仿宋_GB2312"/>
        </w:rPr>
        <w:t>5、社会保障资金缴纳证明：供应商提供截止至谈判时间前1年内任一月份的缴费凭据或社保机构开具的社会保险参保缴费情况证明；依法不需要缴纳社会保障资金的应提供相关文件证明；并进行电子签章。</w:t>
      </w:r>
    </w:p>
    <w:p>
      <w:pPr>
        <w:pStyle w:val="null3"/>
      </w:pPr>
      <w:r>
        <w:rPr>
          <w:rFonts w:ascii="仿宋_GB2312" w:hAnsi="仿宋_GB2312" w:cs="仿宋_GB2312" w:eastAsia="仿宋_GB2312"/>
        </w:rPr>
        <w:t>6、无重大违法声明：供应商出具参加本次政府采购活动前3年内在经营活动中没有重大违法违纪，以及未被列入失信被执行人、重大税收违法案件当事人名单、政府采购严重违法失信行为记录名单的书面声明；并进行电子签章。</w:t>
      </w:r>
    </w:p>
    <w:p>
      <w:pPr>
        <w:pStyle w:val="null3"/>
      </w:pPr>
      <w:r>
        <w:rPr>
          <w:rFonts w:ascii="仿宋_GB2312" w:hAnsi="仿宋_GB2312" w:cs="仿宋_GB2312" w:eastAsia="仿宋_GB2312"/>
        </w:rPr>
        <w:t>7、本项目不接受联合体投标：非联合体投标声明（格式自拟）；并进行电子签章。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西安市游泳运动管理中心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西安市体育训练中心科研教学楼11层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西安市游泳运动管理中心经办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代洋洋 韩微 王雪娟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费管理新行办法)的通知》(计价格[2002]1980号)、《国家发展和改革委员会办公厅关于招标代理服务收费有关问额的通知》(发改办价格[2003]857号)规定收取，具体金额将在结果公告中公布。成交单位的代理服务费交纳信息 银行户名：陕西明正招标有限公司 开户银行：招商银行股份有限公司西安白沙路支行 账号:129907967910101 联系人：韩乐乐 联系电话：029-87551611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西安市游泳运动管理中心</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西安市游泳运动管理中心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西安市游泳运动管理中心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陕西明正招标有限公司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联系人：代洋洋</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西安市游泳运动管理中心省十八运（青少年组）游泳、跳水比赛参赛人员领奖服采购项目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294,000.00</w:t>
      </w:r>
    </w:p>
    <w:p>
      <w:pPr>
        <w:pStyle w:val="null3"/>
      </w:pPr>
      <w:r>
        <w:rPr>
          <w:rFonts w:ascii="仿宋_GB2312" w:hAnsi="仿宋_GB2312" w:cs="仿宋_GB2312" w:eastAsia="仿宋_GB2312"/>
        </w:rPr>
        <w:t>采购包最高限价（元）: 294,000.00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省十八运（青少年组）游泳、跳水比赛参赛人员领奖服</w:t>
            </w:r>
          </w:p>
        </w:tc>
        <w:tc>
          <w:tcPr>
            <w:tcW w:type="dxa" w:w="755"/>
          </w:tcPr>
          <w:p>
            <w:pPr>
              <w:pStyle w:val="null3"/>
              <w:jc w:val="right"/>
            </w:pPr>
            <w:r>
              <w:rPr>
                <w:rFonts w:ascii="仿宋_GB2312" w:hAnsi="仿宋_GB2312" w:cs="仿宋_GB2312" w:eastAsia="仿宋_GB2312"/>
              </w:rPr>
              <w:t>245.00</w:t>
            </w:r>
          </w:p>
        </w:tc>
        <w:tc>
          <w:tcPr>
            <w:tcW w:type="dxa" w:w="755"/>
          </w:tcPr>
          <w:p>
            <w:pPr>
              <w:pStyle w:val="null3"/>
              <w:jc w:val="right"/>
            </w:pPr>
            <w:r>
              <w:rPr>
                <w:rFonts w:ascii="仿宋_GB2312" w:hAnsi="仿宋_GB2312" w:cs="仿宋_GB2312" w:eastAsia="仿宋_GB2312"/>
              </w:rPr>
              <w:t>294,000.00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标的名称：省十八运（青少年组）游泳、跳水比赛参赛人员领奖服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6"/>
              <w:gridCol w:w="260"/>
              <w:gridCol w:w="233"/>
              <w:gridCol w:w="157"/>
              <w:gridCol w:w="1681"/>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运动员领奖套服</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20"/>
                    </w:rPr>
                    <w:t>245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1、面料名称：： 棉感弹力双面布</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面料成分：：</w:t>
                  </w:r>
                  <w:r>
                    <w:rPr>
                      <w:rFonts w:ascii="仿宋_GB2312" w:hAnsi="仿宋_GB2312" w:cs="仿宋_GB2312" w:eastAsia="仿宋_GB2312"/>
                      <w:sz w:val="20"/>
                    </w:rPr>
                    <w:t>94%聚酯纤维6%氨纶（±3%）。</w:t>
                  </w:r>
                </w:p>
                <w:p>
                  <w:pPr>
                    <w:pStyle w:val="null3"/>
                    <w:jc w:val="both"/>
                  </w:pPr>
                  <w:r>
                    <w:rPr>
                      <w:rFonts w:ascii="仿宋_GB2312" w:hAnsi="仿宋_GB2312" w:cs="仿宋_GB2312" w:eastAsia="仿宋_GB2312"/>
                      <w:sz w:val="20"/>
                    </w:rPr>
                    <w:t>3、克重：： 320 g/㎡（±5）</w:t>
                  </w:r>
                  <w:r>
                    <w:br/>
                  </w:r>
                  <w:r>
                    <w:rPr>
                      <w:rFonts w:ascii="仿宋_GB2312" w:hAnsi="仿宋_GB2312" w:cs="仿宋_GB2312" w:eastAsia="仿宋_GB2312"/>
                      <w:sz w:val="20"/>
                    </w:rPr>
                    <w:t>4</w:t>
                  </w:r>
                  <w:r>
                    <w:rPr>
                      <w:rFonts w:ascii="仿宋_GB2312" w:hAnsi="仿宋_GB2312" w:cs="仿宋_GB2312" w:eastAsia="仿宋_GB2312"/>
                      <w:sz w:val="20"/>
                    </w:rPr>
                    <w:t>、颜色要求：白蓝；尺码要求：</w:t>
                  </w:r>
                  <w:r>
                    <w:rPr>
                      <w:rFonts w:ascii="仿宋_GB2312" w:hAnsi="仿宋_GB2312" w:cs="仿宋_GB2312" w:eastAsia="仿宋_GB2312"/>
                      <w:sz w:val="20"/>
                    </w:rPr>
                    <w:t>S-5XL。</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、产品描述：选用棉感弹力双面布面料，衣服上印有</w:t>
                  </w:r>
                  <w:r>
                    <w:rPr>
                      <w:rFonts w:ascii="仿宋_GB2312" w:hAnsi="仿宋_GB2312" w:cs="仿宋_GB2312" w:eastAsia="仿宋_GB2312"/>
                      <w:sz w:val="20"/>
                    </w:rPr>
                    <w:t>“</w:t>
                  </w:r>
                  <w:r>
                    <w:rPr>
                      <w:rFonts w:ascii="仿宋_GB2312" w:hAnsi="仿宋_GB2312" w:cs="仿宋_GB2312" w:eastAsia="仿宋_GB2312"/>
                      <w:sz w:val="20"/>
                    </w:rPr>
                    <w:t>西安</w:t>
                  </w:r>
                  <w:r>
                    <w:rPr>
                      <w:rFonts w:ascii="仿宋_GB2312" w:hAnsi="仿宋_GB2312" w:cs="仿宋_GB2312" w:eastAsia="仿宋_GB2312"/>
                      <w:sz w:val="20"/>
                    </w:rPr>
                    <w:t>” 字样以及特色图案，融入</w:t>
                  </w:r>
                  <w:r>
                    <w:rPr>
                      <w:rFonts w:ascii="仿宋_GB2312" w:hAnsi="仿宋_GB2312" w:cs="仿宋_GB2312" w:eastAsia="仿宋_GB2312"/>
                      <w:sz w:val="20"/>
                    </w:rPr>
                    <w:t>西安古都</w:t>
                  </w:r>
                  <w:r>
                    <w:rPr>
                      <w:rFonts w:ascii="仿宋_GB2312" w:hAnsi="仿宋_GB2312" w:cs="仿宋_GB2312" w:eastAsia="仿宋_GB2312"/>
                      <w:sz w:val="20"/>
                    </w:rPr>
                    <w:t>文化元素，彰显</w:t>
                  </w:r>
                  <w:r>
                    <w:rPr>
                      <w:rFonts w:ascii="仿宋_GB2312" w:hAnsi="仿宋_GB2312" w:cs="仿宋_GB2312" w:eastAsia="仿宋_GB2312"/>
                      <w:sz w:val="20"/>
                    </w:rPr>
                    <w:t>西安</w:t>
                  </w:r>
                  <w:r>
                    <w:rPr>
                      <w:rFonts w:ascii="仿宋_GB2312" w:hAnsi="仿宋_GB2312" w:cs="仿宋_GB2312" w:eastAsia="仿宋_GB2312"/>
                      <w:sz w:val="20"/>
                    </w:rPr>
                    <w:t>地域文化特色。上衣立领与拉链设计，可调节领口开合度；裤子松紧腰设计，且有口袋方便放置小物件。整体版型符合运动需求，活动不受限。衣服肩部、裤子侧边有精致线条装饰，常规版型，满足多种身材需求。</w:t>
                  </w:r>
                  <w:r>
                    <w:br/>
                  </w:r>
                  <w:r>
                    <w:rPr>
                      <w:rFonts w:ascii="仿宋_GB2312" w:hAnsi="仿宋_GB2312" w:cs="仿宋_GB2312" w:eastAsia="仿宋_GB2312"/>
                      <w:sz w:val="20"/>
                    </w:rPr>
                    <w:t>4、安全指标要求：GB 18401-2010</w:t>
                  </w:r>
                  <w:r>
                    <w:rPr>
                      <w:rFonts w:ascii="仿宋_GB2312" w:hAnsi="仿宋_GB2312" w:cs="仿宋_GB2312" w:eastAsia="仿宋_GB2312"/>
                      <w:sz w:val="20"/>
                    </w:rPr>
                    <w:t>B类</w:t>
                  </w:r>
                  <w:r>
                    <w:rPr>
                      <w:rFonts w:ascii="仿宋_GB2312" w:hAnsi="仿宋_GB2312" w:cs="仿宋_GB2312" w:eastAsia="仿宋_GB2312"/>
                      <w:sz w:val="20"/>
                    </w:rPr>
                    <w:t>、</w:t>
                  </w:r>
                  <w:r>
                    <w:rPr>
                      <w:rFonts w:ascii="仿宋_GB2312" w:hAnsi="仿宋_GB2312" w:cs="仿宋_GB2312" w:eastAsia="仿宋_GB2312"/>
                      <w:sz w:val="20"/>
                    </w:rPr>
                    <w:t>GB/T 22853-2019 一等品</w:t>
                  </w:r>
                  <w:r>
                    <w:rPr>
                      <w:rFonts w:ascii="仿宋_GB2312" w:hAnsi="仿宋_GB2312" w:cs="仿宋_GB2312" w:eastAsia="仿宋_GB2312"/>
                      <w:sz w:val="20"/>
                      <w:b/>
                    </w:rPr>
                    <w:t>（需提供</w:t>
                  </w:r>
                  <w:r>
                    <w:rPr>
                      <w:rFonts w:ascii="仿宋_GB2312" w:hAnsi="仿宋_GB2312" w:cs="仿宋_GB2312" w:eastAsia="仿宋_GB2312"/>
                      <w:sz w:val="20"/>
                      <w:b/>
                    </w:rPr>
                    <w:t>相关佐证材料，包括但不限于</w:t>
                  </w:r>
                  <w:r>
                    <w:rPr>
                      <w:rFonts w:ascii="仿宋_GB2312" w:hAnsi="仿宋_GB2312" w:cs="仿宋_GB2312" w:eastAsia="仿宋_GB2312"/>
                      <w:sz w:val="20"/>
                      <w:b/>
                    </w:rPr>
                    <w:t>国家认可的第三方检测机构出具带有</w:t>
                  </w:r>
                  <w:r>
                    <w:rPr>
                      <w:rFonts w:ascii="仿宋_GB2312" w:hAnsi="仿宋_GB2312" w:cs="仿宋_GB2312" w:eastAsia="仿宋_GB2312"/>
                      <w:sz w:val="20"/>
                      <w:b/>
                    </w:rPr>
                    <w:t>“CMA”标志的检测报告作为佐证，彩页或官网截图，未提供</w:t>
                  </w:r>
                  <w:r>
                    <w:rPr>
                      <w:rFonts w:ascii="仿宋_GB2312" w:hAnsi="仿宋_GB2312" w:cs="仿宋_GB2312" w:eastAsia="仿宋_GB2312"/>
                      <w:sz w:val="20"/>
                      <w:b/>
                    </w:rPr>
                    <w:t>视为无效标）</w:t>
                  </w:r>
                </w:p>
                <w:p>
                  <w:pPr>
                    <w:pStyle w:val="null3"/>
                    <w:jc w:val="both"/>
                  </w:pPr>
                  <w:r>
                    <w:rPr>
                      <w:rFonts w:ascii="仿宋_GB2312" w:hAnsi="仿宋_GB2312" w:cs="仿宋_GB2312" w:eastAsia="仿宋_GB2312"/>
                      <w:sz w:val="20"/>
                    </w:rPr>
                    <w:t>耐水色牢度</w:t>
                  </w:r>
                  <w:r>
                    <w:rPr>
                      <w:rFonts w:ascii="仿宋_GB2312" w:hAnsi="仿宋_GB2312" w:cs="仿宋_GB2312" w:eastAsia="仿宋_GB2312"/>
                      <w:sz w:val="20"/>
                    </w:rPr>
                    <w:t>(级)：变色 ≥3-4 沾色 ≥3-4</w:t>
                  </w:r>
                </w:p>
                <w:p>
                  <w:pPr>
                    <w:pStyle w:val="null3"/>
                    <w:jc w:val="both"/>
                  </w:pPr>
                  <w:r>
                    <w:rPr>
                      <w:rFonts w:ascii="仿宋_GB2312" w:hAnsi="仿宋_GB2312" w:cs="仿宋_GB2312" w:eastAsia="仿宋_GB2312"/>
                      <w:sz w:val="20"/>
                    </w:rPr>
                    <w:t>耐汗渍色牢度</w:t>
                  </w:r>
                  <w:r>
                    <w:rPr>
                      <w:rFonts w:ascii="仿宋_GB2312" w:hAnsi="仿宋_GB2312" w:cs="仿宋_GB2312" w:eastAsia="仿宋_GB2312"/>
                      <w:sz w:val="20"/>
                    </w:rPr>
                    <w:t>(级)：酸性：变色 ≥3-4 酸性：沾色 ≥3-4 碱性：变色 ≥3-4 碱性：沾色 ≥3-4</w:t>
                  </w:r>
                </w:p>
                <w:p>
                  <w:pPr>
                    <w:pStyle w:val="null3"/>
                    <w:jc w:val="both"/>
                  </w:pPr>
                  <w:r>
                    <w:rPr>
                      <w:rFonts w:ascii="仿宋_GB2312" w:hAnsi="仿宋_GB2312" w:cs="仿宋_GB2312" w:eastAsia="仿宋_GB2312"/>
                      <w:sz w:val="20"/>
                    </w:rPr>
                    <w:t>耐干摩擦色牢度</w:t>
                  </w:r>
                  <w:r>
                    <w:rPr>
                      <w:rFonts w:ascii="仿宋_GB2312" w:hAnsi="仿宋_GB2312" w:cs="仿宋_GB2312" w:eastAsia="仿宋_GB2312"/>
                      <w:sz w:val="20"/>
                    </w:rPr>
                    <w:t>(级)：≥3-4</w:t>
                  </w:r>
                </w:p>
                <w:p>
                  <w:pPr>
                    <w:pStyle w:val="null3"/>
                    <w:jc w:val="both"/>
                  </w:pPr>
                  <w:r>
                    <w:rPr>
                      <w:rFonts w:ascii="仿宋_GB2312" w:hAnsi="仿宋_GB2312" w:cs="仿宋_GB2312" w:eastAsia="仿宋_GB2312"/>
                      <w:sz w:val="20"/>
                    </w:rPr>
                    <w:t>耐湿摩擦色牢度</w:t>
                  </w:r>
                  <w:r>
                    <w:rPr>
                      <w:rFonts w:ascii="仿宋_GB2312" w:hAnsi="仿宋_GB2312" w:cs="仿宋_GB2312" w:eastAsia="仿宋_GB2312"/>
                      <w:sz w:val="20"/>
                    </w:rPr>
                    <w:t>(级)：≥2-3</w:t>
                  </w:r>
                </w:p>
                <w:p>
                  <w:pPr>
                    <w:pStyle w:val="null3"/>
                    <w:jc w:val="both"/>
                  </w:pPr>
                  <w:r>
                    <w:rPr>
                      <w:rFonts w:ascii="仿宋_GB2312" w:hAnsi="仿宋_GB2312" w:cs="仿宋_GB2312" w:eastAsia="仿宋_GB2312"/>
                      <w:sz w:val="20"/>
                    </w:rPr>
                    <w:t>耐皂洗色牢度</w:t>
                  </w:r>
                  <w:r>
                    <w:rPr>
                      <w:rFonts w:ascii="仿宋_GB2312" w:hAnsi="仿宋_GB2312" w:cs="仿宋_GB2312" w:eastAsia="仿宋_GB2312"/>
                      <w:sz w:val="20"/>
                    </w:rPr>
                    <w:t>(级)：变色 ≥4 沾色 ≥3-4</w:t>
                  </w:r>
                </w:p>
                <w:p>
                  <w:pPr>
                    <w:pStyle w:val="null3"/>
                    <w:jc w:val="both"/>
                  </w:pPr>
                  <w:r>
                    <w:rPr>
                      <w:rFonts w:ascii="仿宋_GB2312" w:hAnsi="仿宋_GB2312" w:cs="仿宋_GB2312" w:eastAsia="仿宋_GB2312"/>
                      <w:sz w:val="20"/>
                    </w:rPr>
                    <w:t>耐光色牢度</w:t>
                  </w:r>
                  <w:r>
                    <w:rPr>
                      <w:rFonts w:ascii="仿宋_GB2312" w:hAnsi="仿宋_GB2312" w:cs="仿宋_GB2312" w:eastAsia="仿宋_GB2312"/>
                      <w:sz w:val="20"/>
                    </w:rPr>
                    <w:t>(级)：深色 ≥4</w:t>
                  </w:r>
                </w:p>
                <w:p>
                  <w:pPr>
                    <w:pStyle w:val="null3"/>
                    <w:jc w:val="both"/>
                  </w:pPr>
                  <w:r>
                    <w:rPr>
                      <w:rFonts w:ascii="仿宋_GB2312" w:hAnsi="仿宋_GB2312" w:cs="仿宋_GB2312" w:eastAsia="仿宋_GB2312"/>
                      <w:sz w:val="20"/>
                    </w:rPr>
                    <w:t>耐光、汗复合色牢度</w:t>
                  </w:r>
                  <w:r>
                    <w:rPr>
                      <w:rFonts w:ascii="仿宋_GB2312" w:hAnsi="仿宋_GB2312" w:cs="仿宋_GB2312" w:eastAsia="仿宋_GB2312"/>
                      <w:sz w:val="20"/>
                    </w:rPr>
                    <w:t>(级)：碱性 ≥3-4</w:t>
                  </w:r>
                </w:p>
                <w:p>
                  <w:pPr>
                    <w:pStyle w:val="null3"/>
                    <w:jc w:val="both"/>
                  </w:pPr>
                  <w:r>
                    <w:rPr>
                      <w:rFonts w:ascii="仿宋_GB2312" w:hAnsi="仿宋_GB2312" w:cs="仿宋_GB2312" w:eastAsia="仿宋_GB2312"/>
                      <w:sz w:val="20"/>
                    </w:rPr>
                    <w:t>起球</w:t>
                  </w:r>
                  <w:r>
                    <w:rPr>
                      <w:rFonts w:ascii="仿宋_GB2312" w:hAnsi="仿宋_GB2312" w:cs="仿宋_GB2312" w:eastAsia="仿宋_GB2312"/>
                      <w:sz w:val="20"/>
                    </w:rPr>
                    <w:t>(级)：≥3</w:t>
                  </w:r>
                </w:p>
                <w:p>
                  <w:pPr>
                    <w:pStyle w:val="null3"/>
                    <w:jc w:val="both"/>
                  </w:pPr>
                  <w:r>
                    <w:rPr>
                      <w:rFonts w:ascii="仿宋_GB2312" w:hAnsi="仿宋_GB2312" w:cs="仿宋_GB2312" w:eastAsia="仿宋_GB2312"/>
                      <w:sz w:val="20"/>
                    </w:rPr>
                    <w:t>pH值：4.0～8.5</w:t>
                  </w:r>
                </w:p>
                <w:p>
                  <w:pPr>
                    <w:pStyle w:val="null3"/>
                    <w:jc w:val="both"/>
                  </w:pPr>
                  <w:r>
                    <w:rPr>
                      <w:rFonts w:ascii="仿宋_GB2312" w:hAnsi="仿宋_GB2312" w:cs="仿宋_GB2312" w:eastAsia="仿宋_GB2312"/>
                      <w:sz w:val="20"/>
                    </w:rPr>
                    <w:t>甲醛：</w:t>
                  </w:r>
                  <w:r>
                    <w:rPr>
                      <w:rFonts w:ascii="仿宋_GB2312" w:hAnsi="仿宋_GB2312" w:cs="仿宋_GB2312" w:eastAsia="仿宋_GB2312"/>
                      <w:sz w:val="20"/>
                    </w:rPr>
                    <w:t>≤75mg/kg</w:t>
                  </w:r>
                </w:p>
                <w:p>
                  <w:pPr>
                    <w:pStyle w:val="null3"/>
                    <w:jc w:val="both"/>
                  </w:pPr>
                  <w:r>
                    <w:rPr>
                      <w:rFonts w:ascii="仿宋_GB2312" w:hAnsi="仿宋_GB2312" w:cs="仿宋_GB2312" w:eastAsia="仿宋_GB2312"/>
                      <w:sz w:val="20"/>
                    </w:rPr>
                    <w:t>水洗尺寸变化率</w:t>
                  </w:r>
                  <w:r>
                    <w:rPr>
                      <w:rFonts w:ascii="仿宋_GB2312" w:hAnsi="仿宋_GB2312" w:cs="仿宋_GB2312" w:eastAsia="仿宋_GB2312"/>
                      <w:sz w:val="20"/>
                    </w:rPr>
                    <w:t>(%)：直向 -5.5～+2.0 横向 弹力产品不考核</w:t>
                  </w:r>
                </w:p>
                <w:p>
                  <w:pPr>
                    <w:pStyle w:val="null3"/>
                    <w:jc w:val="both"/>
                  </w:pPr>
                  <w:r>
                    <w:rPr>
                      <w:rFonts w:ascii="仿宋_GB2312" w:hAnsi="仿宋_GB2312" w:cs="仿宋_GB2312" w:eastAsia="仿宋_GB2312"/>
                      <w:sz w:val="20"/>
                    </w:rPr>
                    <w:t>水洗后扭曲率</w:t>
                  </w:r>
                  <w:r>
                    <w:rPr>
                      <w:rFonts w:ascii="仿宋_GB2312" w:hAnsi="仿宋_GB2312" w:cs="仿宋_GB2312" w:eastAsia="仿宋_GB2312"/>
                      <w:sz w:val="20"/>
                    </w:rPr>
                    <w:t>(%)：≤6.0</w:t>
                  </w:r>
                </w:p>
                <w:p>
                  <w:pPr>
                    <w:pStyle w:val="null3"/>
                    <w:jc w:val="both"/>
                  </w:pPr>
                  <w:r>
                    <w:rPr>
                      <w:rFonts w:ascii="仿宋_GB2312" w:hAnsi="仿宋_GB2312" w:cs="仿宋_GB2312" w:eastAsia="仿宋_GB2312"/>
                      <w:sz w:val="20"/>
                    </w:rPr>
                    <w:t>水洗后外观：整体无明显变色；面料无</w:t>
                  </w:r>
                  <w:r>
                    <w:rPr>
                      <w:rFonts w:ascii="仿宋_GB2312" w:hAnsi="仿宋_GB2312" w:cs="仿宋_GB2312" w:eastAsia="仿宋_GB2312"/>
                      <w:sz w:val="20"/>
                    </w:rPr>
                    <w:t>破损；缝线无脱开；印</w:t>
                  </w:r>
                  <w:r>
                    <w:rPr>
                      <w:rFonts w:ascii="仿宋_GB2312" w:hAnsi="仿宋_GB2312" w:cs="仿宋_GB2312" w:eastAsia="仿宋_GB2312"/>
                      <w:sz w:val="20"/>
                    </w:rPr>
                    <w:t>( 烫)花部位不允许开裂、 起泡、起皮及脱落；绣花 0.0 判定备注 符合-- 符合-- 水洗后样品无异常变化。 符合-- 部位不允许严重起皱、变 形；附件不允许破损、脱 落及锈蚀；严重影响外观 的不允许。</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领奖鞋</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1、帮面材质:织物</w:t>
                  </w:r>
                  <w:r>
                    <w:rPr>
                      <w:rFonts w:ascii="仿宋_GB2312" w:hAnsi="仿宋_GB2312" w:cs="仿宋_GB2312" w:eastAsia="仿宋_GB2312"/>
                      <w:sz w:val="20"/>
                    </w:rPr>
                    <w:t>/塑料材料/合成革</w:t>
                  </w:r>
                  <w:r>
                    <w:rPr>
                      <w:rFonts w:ascii="仿宋_GB2312" w:hAnsi="仿宋_GB2312" w:cs="仿宋_GB2312" w:eastAsia="仿宋_GB2312"/>
                      <w:sz w:val="20"/>
                    </w:rPr>
                    <w:t>。</w:t>
                  </w:r>
                  <w:r>
                    <w:br/>
                  </w:r>
                  <w:r>
                    <w:rPr>
                      <w:rFonts w:ascii="仿宋_GB2312" w:hAnsi="仿宋_GB2312" w:cs="仿宋_GB2312" w:eastAsia="仿宋_GB2312"/>
                      <w:sz w:val="20"/>
                    </w:rPr>
                    <w:t>2、鞋底材质：</w:t>
                  </w:r>
                  <w:r>
                    <w:rPr>
                      <w:rFonts w:ascii="仿宋_GB2312" w:hAnsi="仿宋_GB2312" w:cs="仿宋_GB2312" w:eastAsia="仿宋_GB2312"/>
                      <w:sz w:val="20"/>
                    </w:rPr>
                    <w:t>POE/橡胶</w:t>
                  </w:r>
                  <w:r>
                    <w:rPr>
                      <w:rFonts w:ascii="仿宋_GB2312" w:hAnsi="仿宋_GB2312" w:cs="仿宋_GB2312" w:eastAsia="仿宋_GB2312"/>
                      <w:sz w:val="20"/>
                    </w:rPr>
                    <w:t>。</w:t>
                  </w:r>
                  <w:r>
                    <w:br/>
                  </w:r>
                  <w:r>
                    <w:rPr>
                      <w:rFonts w:ascii="仿宋_GB2312" w:hAnsi="仿宋_GB2312" w:cs="仿宋_GB2312" w:eastAsia="仿宋_GB2312"/>
                      <w:sz w:val="20"/>
                    </w:rPr>
                    <w:t>3、颜色：黑色或白色；尺码：35-46 。</w:t>
                  </w:r>
                </w:p>
                <w:p>
                  <w:pPr>
                    <w:pStyle w:val="null3"/>
                    <w:jc w:val="both"/>
                  </w:pPr>
                  <w:r>
                    <w:rPr>
                      <w:rFonts w:ascii="仿宋_GB2312" w:hAnsi="仿宋_GB2312" w:cs="仿宋_GB2312" w:eastAsia="仿宋_GB2312"/>
                      <w:sz w:val="20"/>
                    </w:rPr>
                    <w:t>4、产品功能：聚能缓震。</w:t>
                  </w:r>
                </w:p>
                <w:p>
                  <w:pPr>
                    <w:pStyle w:val="null3"/>
                    <w:jc w:val="both"/>
                  </w:pPr>
                  <w:r>
                    <w:rPr>
                      <w:rFonts w:ascii="仿宋_GB2312" w:hAnsi="仿宋_GB2312" w:cs="仿宋_GB2312" w:eastAsia="仿宋_GB2312"/>
                      <w:sz w:val="20"/>
                    </w:rPr>
                    <w:t>5、安全指标要求：</w:t>
                  </w:r>
                </w:p>
                <w:p>
                  <w:pPr>
                    <w:pStyle w:val="null3"/>
                    <w:jc w:val="both"/>
                  </w:pPr>
                  <w:r>
                    <w:rPr>
                      <w:rFonts w:ascii="仿宋_GB2312" w:hAnsi="仿宋_GB2312" w:cs="仿宋_GB2312" w:eastAsia="仿宋_GB2312"/>
                      <w:sz w:val="20"/>
                    </w:rPr>
                    <w:t>GB 25038-2024《鞋类通用安全要求》</w:t>
                  </w:r>
                  <w:r>
                    <w:rPr>
                      <w:rFonts w:ascii="仿宋_GB2312" w:hAnsi="仿宋_GB2312" w:cs="仿宋_GB2312" w:eastAsia="仿宋_GB2312"/>
                      <w:sz w:val="20"/>
                      <w:b/>
                    </w:rPr>
                    <w:t>（需提供</w:t>
                  </w:r>
                  <w:r>
                    <w:rPr>
                      <w:rFonts w:ascii="仿宋_GB2312" w:hAnsi="仿宋_GB2312" w:cs="仿宋_GB2312" w:eastAsia="仿宋_GB2312"/>
                      <w:sz w:val="20"/>
                      <w:b/>
                    </w:rPr>
                    <w:t>相关佐证材料，包括但不限于</w:t>
                  </w:r>
                  <w:r>
                    <w:rPr>
                      <w:rFonts w:ascii="仿宋_GB2312" w:hAnsi="仿宋_GB2312" w:cs="仿宋_GB2312" w:eastAsia="仿宋_GB2312"/>
                      <w:sz w:val="20"/>
                      <w:b/>
                    </w:rPr>
                    <w:t>国家认可的第三方检测机构出具带有</w:t>
                  </w:r>
                  <w:r>
                    <w:rPr>
                      <w:rFonts w:ascii="仿宋_GB2312" w:hAnsi="仿宋_GB2312" w:cs="仿宋_GB2312" w:eastAsia="仿宋_GB2312"/>
                      <w:sz w:val="20"/>
                      <w:b/>
                    </w:rPr>
                    <w:t>“CMA”标志的检测报告作为佐证，彩页或官网截图，未提供</w:t>
                  </w:r>
                  <w:r>
                    <w:rPr>
                      <w:rFonts w:ascii="仿宋_GB2312" w:hAnsi="仿宋_GB2312" w:cs="仿宋_GB2312" w:eastAsia="仿宋_GB2312"/>
                      <w:sz w:val="20"/>
                      <w:b/>
                    </w:rPr>
                    <w:t>视为无效标）</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6、技术指标：</w:t>
                  </w:r>
                  <w:r>
                    <w:br/>
                  </w:r>
                  <w:r>
                    <w:rPr>
                      <w:rFonts w:ascii="仿宋_GB2312" w:hAnsi="仿宋_GB2312" w:cs="仿宋_GB2312" w:eastAsia="仿宋_GB2312"/>
                      <w:sz w:val="20"/>
                    </w:rPr>
                    <w:t xml:space="preserve">①整体外观:整鞋端正、平服；内垫平服，对称；鞋内外清洁；帮底（底墙）结合处无缺胶、开胶；无明显可见缺陷；②帮面、衬里和内垫（织物面）：同双鞋对应部位的色泽、花纹基本一致（特殊设计风格除外），不允许有乱纱、跳纱和明显污迹；次要部位允许每只有10mm²以下疵点两处；③鞋底：表面光洁，同双鞋底对应部位的花纹、色泽、软硬、厚度、底墙斜度基本一致（特殊设计风格除外），允许有轻微缺陷；④同双鞋对应部位允差，mm：前帮长度≤5.0，后帮高度（低帮鞋）≤4.0，外底长度（实芯底）≤2.5，外底宽度（实芯底）≤2.0，外底厚度（实芯底）≤0.5； </w:t>
                  </w:r>
                  <w:r>
                    <w:br/>
                  </w:r>
                  <w:r>
                    <w:rPr>
                      <w:rFonts w:ascii="仿宋_GB2312" w:hAnsi="仿宋_GB2312" w:cs="仿宋_GB2312" w:eastAsia="仿宋_GB2312"/>
                      <w:sz w:val="20"/>
                    </w:rPr>
                    <w:t xml:space="preserve">⑤缝线：线道整齐，针码均匀；底面线松紧一致；主要部位不允许有跳针、重针、断线、翻线、开线；次要部位允许跳线、重针一针，每只鞋不得超过两处； </w:t>
                  </w:r>
                  <w:r>
                    <w:br/>
                  </w:r>
                  <w:r>
                    <w:rPr>
                      <w:rFonts w:ascii="仿宋_GB2312" w:hAnsi="仿宋_GB2312" w:cs="仿宋_GB2312" w:eastAsia="仿宋_GB2312"/>
                      <w:sz w:val="20"/>
                    </w:rPr>
                    <w:t>⑥耐折性能：不得出现帮面材料裂浆、 裂面、不得出现涂饰层、印刷、 胶印图案脱落、 脱层现象、帮底开胶或围条 开裂、开胶≤5.0</w:t>
                  </w:r>
                  <w:r>
                    <w:rPr>
                      <w:rFonts w:ascii="仿宋_GB2312" w:hAnsi="仿宋_GB2312" w:cs="仿宋_GB2312" w:eastAsia="仿宋_GB2312"/>
                      <w:sz w:val="19"/>
                    </w:rPr>
                    <w:t xml:space="preserve"> </w:t>
                  </w:r>
                  <w:r>
                    <w:rPr>
                      <w:rFonts w:ascii="仿宋_GB2312" w:hAnsi="仿宋_GB2312" w:cs="仿宋_GB2312" w:eastAsia="仿宋_GB2312"/>
                      <w:sz w:val="20"/>
                    </w:rPr>
                    <w:t>mm、鞋底新裂纹长度≤5.0</w:t>
                  </w:r>
                  <w:r>
                    <w:rPr>
                      <w:rFonts w:ascii="仿宋_GB2312" w:hAnsi="仿宋_GB2312" w:cs="仿宋_GB2312" w:eastAsia="仿宋_GB2312"/>
                      <w:sz w:val="19"/>
                    </w:rPr>
                    <w:t xml:space="preserve"> </w:t>
                  </w:r>
                  <w:r>
                    <w:rPr>
                      <w:rFonts w:ascii="仿宋_GB2312" w:hAnsi="仿宋_GB2312" w:cs="仿宋_GB2312" w:eastAsia="仿宋_GB2312"/>
                      <w:sz w:val="20"/>
                    </w:rPr>
                    <w:t>mm、鞋底新裂纹≤3处、不得出现鞋底涂色层脱落。</w:t>
                  </w:r>
                </w:p>
                <w:p>
                  <w:pPr>
                    <w:pStyle w:val="null3"/>
                    <w:jc w:val="both"/>
                  </w:pPr>
                  <w:r>
                    <w:rPr>
                      <w:rFonts w:ascii="仿宋_GB2312" w:hAnsi="仿宋_GB2312" w:cs="仿宋_GB2312" w:eastAsia="仿宋_GB2312"/>
                      <w:sz w:val="20"/>
                    </w:rPr>
                    <w:t>⑦</w:t>
                  </w:r>
                  <w:r>
                    <w:rPr>
                      <w:rFonts w:ascii="仿宋_GB2312" w:hAnsi="仿宋_GB2312" w:cs="仿宋_GB2312" w:eastAsia="仿宋_GB2312"/>
                      <w:sz w:val="20"/>
                    </w:rPr>
                    <w:t>纺织品</w:t>
                  </w:r>
                  <w:r>
                    <w:rPr>
                      <w:rFonts w:ascii="仿宋_GB2312" w:hAnsi="仿宋_GB2312" w:cs="仿宋_GB2312" w:eastAsia="仿宋_GB2312"/>
                      <w:sz w:val="20"/>
                    </w:rPr>
                    <w:t>-可分解芳 香胺染料(帮面黑 色织物+内垫黑色 织物+后帮衬里黑 色织物)：4-氨基联苯≤20、联苯胺≤20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翻领T恤（短袖）</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1、面料成分：100%聚酯纤维。</w:t>
                  </w:r>
                  <w:r>
                    <w:br/>
                  </w:r>
                  <w:r>
                    <w:rPr>
                      <w:rFonts w:ascii="仿宋_GB2312" w:hAnsi="仿宋_GB2312" w:cs="仿宋_GB2312" w:eastAsia="仿宋_GB2312"/>
                      <w:sz w:val="20"/>
                    </w:rPr>
                    <w:t>2、颜色要求：深蓝色或浅灰；尺码要求：S-5XL。</w:t>
                  </w:r>
                </w:p>
                <w:p>
                  <w:pPr>
                    <w:pStyle w:val="null3"/>
                    <w:jc w:val="both"/>
                  </w:pPr>
                  <w:r>
                    <w:rPr>
                      <w:rFonts w:ascii="仿宋_GB2312" w:hAnsi="仿宋_GB2312" w:cs="仿宋_GB2312" w:eastAsia="仿宋_GB2312"/>
                      <w:sz w:val="20"/>
                    </w:rPr>
                    <w:t>★3、产品描述：选用速干功能材料，聚酯材质面料。领子/袖口细节：采用经典透气罗纹或本布，翻领设计，挺括贴合，修饰颈部线条，领口采用三排扣设计；常规版型，满足多种身材需求。</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运动袜</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1、面料：（脚面非舒张圈部位）棉占比大于</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2、颜色：黑色或白色；尺码：M(39-41)、L(42-44)。</w:t>
                  </w:r>
                </w:p>
              </w:tc>
            </w:tr>
            <w:tr>
              <w:tc>
                <w:tcPr>
                  <w:tcW w:type="dxa" w:w="20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双肩</w:t>
                  </w:r>
                </w:p>
                <w:p>
                  <w:pPr>
                    <w:pStyle w:val="null3"/>
                    <w:jc w:val="center"/>
                  </w:pPr>
                  <w:r>
                    <w:rPr>
                      <w:rFonts w:ascii="仿宋_GB2312" w:hAnsi="仿宋_GB2312" w:cs="仿宋_GB2312" w:eastAsia="仿宋_GB2312"/>
                      <w:sz w:val="20"/>
                    </w:rPr>
                    <w:t>背包</w:t>
                  </w:r>
                </w:p>
              </w:tc>
              <w:tc>
                <w:tcPr>
                  <w:tcW w:type="dxa" w:w="23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w:t>
                  </w:r>
                </w:p>
              </w:tc>
              <w:tc>
                <w:tcPr>
                  <w:tcW w:type="dxa" w:w="1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6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1、颜色明细：黑色或蓝色；</w:t>
                  </w:r>
                </w:p>
                <w:p>
                  <w:pPr>
                    <w:pStyle w:val="null3"/>
                    <w:jc w:val="both"/>
                  </w:pPr>
                  <w:r>
                    <w:rPr>
                      <w:rFonts w:ascii="仿宋_GB2312" w:hAnsi="仿宋_GB2312" w:cs="仿宋_GB2312" w:eastAsia="仿宋_GB2312"/>
                      <w:sz w:val="20"/>
                    </w:rPr>
                    <w:t>2、面料成分：100%聚酯纤维。</w:t>
                  </w:r>
                </w:p>
                <w:p>
                  <w:pPr>
                    <w:pStyle w:val="null3"/>
                    <w:jc w:val="both"/>
                  </w:pPr>
                  <w:r>
                    <w:rPr>
                      <w:rFonts w:ascii="仿宋_GB2312" w:hAnsi="仿宋_GB2312" w:cs="仿宋_GB2312" w:eastAsia="仿宋_GB2312"/>
                      <w:sz w:val="20"/>
                    </w:rPr>
                    <w:t>3、产品描述：主袋双拉链设计，大容量结合电脑隔层设计分层置物，面料材质具有较强的防泼水性能，S型肩带减压设计符合人体工学，两侧拉链袋设计可放置水杯、雨伞等物件，取放便捷，背包正面配有 “</w:t>
                  </w:r>
                  <w:r>
                    <w:rPr>
                      <w:rFonts w:ascii="仿宋_GB2312" w:hAnsi="仿宋_GB2312" w:cs="仿宋_GB2312" w:eastAsia="仿宋_GB2312"/>
                      <w:sz w:val="20"/>
                    </w:rPr>
                    <w:t>西安</w:t>
                  </w:r>
                  <w:r>
                    <w:rPr>
                      <w:rFonts w:ascii="仿宋_GB2312" w:hAnsi="仿宋_GB2312" w:cs="仿宋_GB2312" w:eastAsia="仿宋_GB2312"/>
                      <w:sz w:val="20"/>
                    </w:rPr>
                    <w:t>”字样。振荡冲击性能：包体无开裂；各部件不变形，无断裂、损坏，不开线；固定件、连接件不松动；插接件等能正常开关，无异常；</w:t>
                  </w:r>
                </w:p>
              </w:tc>
            </w:tr>
            <w:tr>
              <w:tc>
                <w:tcPr>
                  <w:tcW w:type="dxa" w:w="20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331"/>
                  <w:gridSpan w:val="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1.带“★”项的技术参数供应商除填写产品技术参数表外还应按要求提供证明材料（包含但不限于：不限于彩页或官网截图等证明材料）并加盖供应商公章，未提供相关证明材料或提供的证明材料不能证明其满足谈判文件要求视为无效响应。</w:t>
                  </w:r>
                </w:p>
                <w:p>
                  <w:pPr>
                    <w:pStyle w:val="null3"/>
                  </w:pPr>
                  <w:r>
                    <w:rPr>
                      <w:rFonts w:ascii="仿宋_GB2312" w:hAnsi="仿宋_GB2312" w:cs="仿宋_GB2312" w:eastAsia="仿宋_GB2312"/>
                      <w:sz w:val="21"/>
                    </w:rPr>
                    <w:t>2.logo、</w:t>
                  </w:r>
                  <w:r>
                    <w:rPr>
                      <w:rFonts w:ascii="仿宋_GB2312" w:hAnsi="仿宋_GB2312" w:cs="仿宋_GB2312" w:eastAsia="仿宋_GB2312"/>
                      <w:sz w:val="19"/>
                    </w:rPr>
                    <w:t>服装样式图,详见附件。</w:t>
                  </w:r>
                </w:p>
                <w:p>
                  <w:pPr>
                    <w:pStyle w:val="null3"/>
                  </w:pPr>
                  <w:r>
                    <w:rPr>
                      <w:rFonts w:ascii="仿宋_GB2312" w:hAnsi="仿宋_GB2312" w:cs="仿宋_GB2312" w:eastAsia="仿宋_GB2312"/>
                      <w:sz w:val="19"/>
                    </w:rPr>
                    <w:t>3.样品：①供应商须提供1个纸箱（纸箱外包装不得体现供应商名称、品牌商标及Logo）内放置拟投产品样品，须在开标日下午14:30之前递交至采购代理机构处（西安市雁塔区二环南路西段88号老三届世纪星大厦30层AB座），未按要求递交的样品将会被拒收。</w:t>
                  </w:r>
                </w:p>
                <w:p>
                  <w:pPr>
                    <w:pStyle w:val="null3"/>
                  </w:pPr>
                  <w:r>
                    <w:rPr>
                      <w:rFonts w:ascii="仿宋_GB2312" w:hAnsi="仿宋_GB2312" w:cs="仿宋_GB2312" w:eastAsia="仿宋_GB2312"/>
                      <w:sz w:val="19"/>
                    </w:rPr>
                    <w:t xml:space="preserve">      ②样品递交人可与本项目响应文件中的授权代表不为同一人，但递交人在递交样品时需携带授权委托书及被委托人身份证原件，法定代表人递交的需要提供法定代表人身份证明书及法定代表人身份证原件。</w:t>
                  </w:r>
                </w:p>
                <w:p>
                  <w:pPr>
                    <w:pStyle w:val="null3"/>
                  </w:pPr>
                  <w:r>
                    <w:rPr>
                      <w:rFonts w:ascii="仿宋_GB2312" w:hAnsi="仿宋_GB2312" w:cs="仿宋_GB2312" w:eastAsia="仿宋_GB2312"/>
                      <w:sz w:val="19"/>
                    </w:rPr>
                    <w:t xml:space="preserve">      ③样品的生产、运输等相关一切费用由各供应商自行承担。评审现场样品需要拆封，不能保证样品原样归还，供应商综合考虑。成交供应商样品作为验收依据转采购人接收，未成交供应商样品采购结果公示后3个日历天内自行领取，如未按规定时间内领取，采购代理机构有权自行销毁。</w:t>
                  </w:r>
                </w:p>
                <w:p>
                  <w:pPr>
                    <w:pStyle w:val="null3"/>
                    <w:ind w:firstLine="600"/>
                  </w:pPr>
                  <w:r>
                    <w:rPr>
                      <w:rFonts w:ascii="仿宋_GB2312" w:hAnsi="仿宋_GB2312" w:cs="仿宋_GB2312" w:eastAsia="仿宋_GB2312"/>
                      <w:sz w:val="19"/>
                    </w:rPr>
                    <w:t>④未提供样品，视为无效响应。</w:t>
                  </w:r>
                </w:p>
                <w:p>
                  <w:pPr>
                    <w:pStyle w:val="null3"/>
                  </w:pPr>
                  <w:r>
                    <w:rPr>
                      <w:rFonts w:ascii="仿宋_GB2312" w:hAnsi="仿宋_GB2312" w:cs="仿宋_GB2312" w:eastAsia="仿宋_GB2312"/>
                      <w:sz w:val="19"/>
                    </w:rPr>
                    <w:t>须提供样品的类别及数量</w:t>
                  </w:r>
                </w:p>
                <w:tbl>
                  <w:tblPr>
                    <w:tblBorders>
                      <w:top w:val="none" w:color="000000" w:sz="4"/>
                      <w:left w:val="none" w:color="000000" w:sz="4"/>
                      <w:bottom w:val="none" w:color="000000" w:sz="4"/>
                      <w:right w:val="none" w:color="000000" w:sz="4"/>
                      <w:insideH w:val="none"/>
                      <w:insideV w:val="none"/>
                    </w:tblBorders>
                  </w:tblPr>
                  <w:tblGrid>
                    <w:gridCol w:w="1352"/>
                    <w:gridCol w:w="313"/>
                    <w:gridCol w:w="451"/>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运动员领奖</w:t>
                        </w:r>
                        <w:r>
                          <w:br/>
                        </w:r>
                        <w:r>
                          <w:rPr>
                            <w:rFonts w:ascii="仿宋_GB2312" w:hAnsi="仿宋_GB2312" w:cs="仿宋_GB2312" w:eastAsia="仿宋_GB2312"/>
                            <w:sz w:val="24"/>
                          </w:rPr>
                          <w:t xml:space="preserve"> 套服</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19"/>
                          </w:rPr>
                          <w:t xml:space="preserve"> </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both"/>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3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1.质量标准：</w:t>
                  </w:r>
                </w:p>
                <w:p>
                  <w:pPr>
                    <w:pStyle w:val="null3"/>
                    <w:ind w:right="90"/>
                    <w:jc w:val="both"/>
                  </w:pPr>
                  <w:r>
                    <w:rPr>
                      <w:rFonts w:ascii="仿宋_GB2312" w:hAnsi="仿宋_GB2312" w:cs="仿宋_GB2312" w:eastAsia="仿宋_GB2312"/>
                      <w:sz w:val="18"/>
                    </w:rPr>
                    <w:t>（1）所有货物符合国家、省、市（行业）强制性标准及采购人要求的合格标准；</w:t>
                  </w:r>
                </w:p>
                <w:p>
                  <w:pPr>
                    <w:pStyle w:val="null3"/>
                    <w:jc w:val="left"/>
                  </w:pPr>
                  <w:r>
                    <w:rPr>
                      <w:rFonts w:ascii="仿宋_GB2312" w:hAnsi="仿宋_GB2312" w:cs="仿宋_GB2312" w:eastAsia="仿宋_GB2312"/>
                      <w:sz w:val="18"/>
                    </w:rPr>
                    <w:t>（2）在交货前，供货方应提供有关资料，包括面料检测报告、生产厂家授权书等。</w:t>
                  </w:r>
                </w:p>
                <w:p>
                  <w:pPr>
                    <w:pStyle w:val="null3"/>
                    <w:jc w:val="left"/>
                  </w:pPr>
                  <w:r>
                    <w:rPr>
                      <w:rFonts w:ascii="仿宋_GB2312" w:hAnsi="仿宋_GB2312" w:cs="仿宋_GB2312" w:eastAsia="仿宋_GB2312"/>
                      <w:sz w:val="18"/>
                    </w:rPr>
                    <w:t>（3）货物、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w:t>
                  </w:r>
                </w:p>
                <w:p>
                  <w:pPr>
                    <w:pStyle w:val="null3"/>
                    <w:jc w:val="both"/>
                  </w:pPr>
                  <w:r>
                    <w:rPr>
                      <w:rFonts w:ascii="仿宋_GB2312" w:hAnsi="仿宋_GB2312" w:cs="仿宋_GB2312" w:eastAsia="仿宋_GB2312"/>
                      <w:sz w:val="18"/>
                    </w:rPr>
                    <w:t>2.售后服务要求：</w:t>
                  </w:r>
                </w:p>
                <w:p>
                  <w:pPr>
                    <w:pStyle w:val="null3"/>
                    <w:jc w:val="both"/>
                  </w:pPr>
                  <w:r>
                    <w:rPr>
                      <w:rFonts w:ascii="仿宋_GB2312" w:hAnsi="仿宋_GB2312" w:cs="仿宋_GB2312" w:eastAsia="仿宋_GB2312"/>
                      <w:sz w:val="18"/>
                    </w:rPr>
                    <w:t>（1）成交供应商须指派专人负责与采购人联系售后服务事宜；</w:t>
                  </w:r>
                </w:p>
                <w:p>
                  <w:pPr>
                    <w:pStyle w:val="null3"/>
                    <w:jc w:val="both"/>
                  </w:pPr>
                  <w:r>
                    <w:rPr>
                      <w:rFonts w:ascii="仿宋_GB2312" w:hAnsi="仿宋_GB2312" w:cs="仿宋_GB2312" w:eastAsia="仿宋_GB2312"/>
                      <w:sz w:val="18"/>
                    </w:rPr>
                    <w:t>（2）质保期自采购人在质量验收单（终验）上签字之日起计算；</w:t>
                  </w:r>
                </w:p>
                <w:p>
                  <w:pPr>
                    <w:pStyle w:val="null3"/>
                    <w:jc w:val="left"/>
                  </w:pPr>
                  <w:r>
                    <w:rPr>
                      <w:rFonts w:ascii="仿宋_GB2312" w:hAnsi="仿宋_GB2312" w:cs="仿宋_GB2312" w:eastAsia="仿宋_GB2312"/>
                      <w:sz w:val="18"/>
                    </w:rPr>
                    <w:t>（7）售后服务响应时间为：7x24小时免费上门服务；</w:t>
                  </w:r>
                </w:p>
                <w:p>
                  <w:pPr>
                    <w:pStyle w:val="null3"/>
                    <w:jc w:val="left"/>
                  </w:pPr>
                  <w:r>
                    <w:rPr>
                      <w:rFonts w:ascii="仿宋_GB2312" w:hAnsi="仿宋_GB2312" w:cs="仿宋_GB2312" w:eastAsia="仿宋_GB2312"/>
                      <w:sz w:val="18"/>
                    </w:rPr>
                    <w:t>3.其他要求：</w:t>
                  </w:r>
                </w:p>
                <w:p>
                  <w:pPr>
                    <w:pStyle w:val="null3"/>
                    <w:jc w:val="left"/>
                  </w:pPr>
                  <w:r>
                    <w:rPr>
                      <w:rFonts w:ascii="仿宋_GB2312" w:hAnsi="仿宋_GB2312" w:cs="仿宋_GB2312" w:eastAsia="仿宋_GB2312"/>
                      <w:sz w:val="18"/>
                    </w:rPr>
                    <w:t>（1）成交供应商应保证所有货物的完好无损包括配套包装，如有缺漏、损坏，由成交供应商负责调换、补齐或赔偿。</w:t>
                  </w:r>
                </w:p>
                <w:p>
                  <w:pPr>
                    <w:pStyle w:val="null3"/>
                    <w:jc w:val="both"/>
                  </w:pPr>
                  <w:r>
                    <w:rPr>
                      <w:rFonts w:ascii="仿宋_GB2312" w:hAnsi="仿宋_GB2312" w:cs="仿宋_GB2312" w:eastAsia="仿宋_GB2312"/>
                      <w:sz w:val="18"/>
                    </w:rPr>
                    <w:t>（2）采购人使用过程中因货物质量、缺陷等造成财产损失的，由成交供应商负责解决并承担全部责任。</w:t>
                  </w:r>
                </w:p>
                <w:p>
                  <w:pPr>
                    <w:pStyle w:val="null3"/>
                    <w:jc w:val="both"/>
                  </w:pPr>
                  <w:r>
                    <w:rPr>
                      <w:rFonts w:ascii="仿宋_GB2312" w:hAnsi="仿宋_GB2312" w:cs="仿宋_GB2312" w:eastAsia="仿宋_GB2312"/>
                      <w:sz w:val="18"/>
                    </w:rPr>
                    <w:t>（3）服务方式：产品实行“三包”，并承担由此产生的包装、运输等一切费用。</w:t>
                  </w:r>
                </w:p>
                <w:p>
                  <w:pPr>
                    <w:pStyle w:val="null3"/>
                    <w:jc w:val="both"/>
                  </w:pPr>
                  <w:r>
                    <w:rPr>
                      <w:rFonts w:ascii="仿宋_GB2312" w:hAnsi="仿宋_GB2312" w:cs="仿宋_GB2312" w:eastAsia="仿宋_GB2312"/>
                      <w:sz w:val="18"/>
                    </w:rPr>
                    <w:t>（4）对于存在质量问题或者短少的货物，成交供应商应在接到采购人的通知5个日历日内负责修复，调换、重新制作或补齐。</w:t>
                  </w:r>
                </w:p>
                <w:p>
                  <w:pPr>
                    <w:pStyle w:val="null3"/>
                    <w:jc w:val="both"/>
                  </w:pPr>
                  <w:r>
                    <w:rPr>
                      <w:rFonts w:ascii="仿宋_GB2312" w:hAnsi="仿宋_GB2312" w:cs="仿宋_GB2312" w:eastAsia="仿宋_GB2312"/>
                      <w:sz w:val="18"/>
                    </w:rPr>
                    <w:t>（5）在最终验收后的质量保证期内，成交供应商应对设计、工艺或材料等的缺陷而产生的故障负责（负责解决并承担全部费用）。质保期满后如出现此类问题亦应负责。</w:t>
                  </w:r>
                </w:p>
                <w:p>
                  <w:pPr>
                    <w:pStyle w:val="null3"/>
                    <w:jc w:val="both"/>
                  </w:pPr>
                  <w:r>
                    <w:rPr>
                      <w:rFonts w:ascii="仿宋_GB2312" w:hAnsi="仿宋_GB2312" w:cs="仿宋_GB2312" w:eastAsia="仿宋_GB2312"/>
                      <w:sz w:val="18"/>
                    </w:rPr>
                    <w:t>（6）成交供应商应承诺质保期的售后服务条款（包括具体的服务内容、响应时间、响应方式、售后措施及时限等方面），未提供任何质保期的售后服务条款或提供的内容不实的，以不实质性满足采购文件要求对待。</w:t>
                  </w:r>
                </w:p>
                <w:p>
                  <w:pPr>
                    <w:pStyle w:val="null3"/>
                    <w:jc w:val="both"/>
                  </w:pPr>
                  <w:r>
                    <w:rPr>
                      <w:rFonts w:ascii="仿宋_GB2312" w:hAnsi="仿宋_GB2312" w:cs="仿宋_GB2312" w:eastAsia="仿宋_GB2312"/>
                      <w:sz w:val="18"/>
                    </w:rPr>
                    <w:t>（7）对于未按约定提供质保服务的成交供应商或违约的成交供应商，采购人将拒绝其参加采购人单位的政府采购项目。且采购人有权委托第三方进行维修，所产生的费用由成交供应商承担，不足部分应由成交供应商支付。</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合同签订后10天内交付。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采购人指定地点，如同一合同产品需到不同地点交货，乙方应按甲方提供的交货地点及数量分别交货。</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进度款，所有货物交付并验收合格后，达到付款条件起10个工作日内，支付合同总金额的100.0%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1.货物运抵甲方指定地点后，由甲方和乙方组织相关人员共同对到货货物的数量、型号、外观、包装质量等进行检查； 2.产品到货后，甲方有权按照采购需求要求及相关标准对货物进行抽查，并送产品至具备资质的第三方检测机构进行检测，检测费用由乙方承担，该机构出具的检验结论，甲方和乙方均无条件认可并接受。如经检测产品未满足国家标准和谈判文件要求，视为产品不合格，甲方有权全部拒收，所有损失由乙方自行承担； 3.货物检查完成以后，如无质量问题，由采购单位组织相关人员在3个工作日内共同对货物进行验收，并提供验收报告；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1.一年，自甲方验收合格之日起计算。 2.在质保期内，衣服在洗涤过程中出现严重缩水、脱色现象或质量不符合标准及合同要求等，或鞋类出现尺寸大小不一、顺脚、断帮、断底、皮面脱落、严重脱浆、开胶、开线、掉跟等情况下，乙方应全部按甲方要求在甲方指定期限内给予无偿重新修正或重新制作。3.售后服务响应时间（质保期内）：即时响应（包括电话响应）；电话响应无法解决2小时内到达现场。修复时间8小时内解决；如在8小时内无法修复，则提供部件冗余服务或采取应急措施，提供相同产品或不低于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未按合同要求提供货物质量不能满足技术要求，采购人有权终止合同，并对供方违约行为进行追究，同时按《中华人民共和国政府采购法》、《中华人民共和国民法典》等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成交供应商须在结果公告发布之日起5个工作日内，提交响应文件一正一副（双面打印）至西安市雁塔区二环南路西段88号老三届世纪星大厦30层AB座（陕西明正招标有限公司）。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商务应答表 样式图.docx 报价表 资格证明文件.docx 响应文件封面 产品技术参数表 分项报价表（1）.docx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非法定代表人参加投标的，须提供法定代表人委托授权书及被授权人身份证复印件，法定代表人参加投标时,需提供法定代表人身份证复印件及法定代表人身份证明书；并进行电子签章。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供应商提供截止至谈判时间前1年内任一月份的纳税证明或完税证明；依法免税的应提供相关文件证明；并进行电子签章。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供应商提供截止至谈判时间前1年内任一月份的缴费凭据或社保机构开具的社会保险参保缴费情况证明；依法不需要缴纳社会保障资金的应提供相关文件证明；并进行电子签章。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供应商出具参加本次政府采购活动前3年内在经营活动中没有重大违法违纪，以及未被列入失信被执行人、重大税收违法案件当事人名单、政府采购严重违法失信行为记录名单的书面声明；并进行电子签章。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非联合体投标声明（格式自拟）；并进行电子签章。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中小企业声明函 商务应答表 样式图.docx 报价表 资格证明文件.docx 响应文件封面 产品技术参数表 分项报价表（1）.docx 供应商认为有必要补充说明的事项.docx 残疾人福利性单位声明函 标的清单 承诺文件.docx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标的种类和数量、交货期限、交货地点、质量保修范围和保修期</w:t>
            </w:r>
          </w:p>
        </w:tc>
        <w:tc>
          <w:tcPr>
            <w:tcW w:type="dxa" w:w="3322"/>
          </w:tcPr>
          <w:p>
            <w:pPr>
              <w:pStyle w:val="null3"/>
            </w:pPr>
            <w:r>
              <w:rPr>
                <w:rFonts w:ascii="仿宋_GB2312" w:hAnsi="仿宋_GB2312" w:cs="仿宋_GB2312" w:eastAsia="仿宋_GB2312"/>
              </w:rPr>
              <w:t>符合谈判文件中的规定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谈判响应文件满足采购技术要求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不存在法律、法规和谈判文件规定的其他无效投标情形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详见附件：样式图.docx</w:t>
      </w:r>
    </w:p>
    <w:p>
      <w:pPr>
        <w:pStyle w:val="null3"/>
        <w:ind w:firstLine="960"/>
      </w:pPr>
      <w:r>
        <w:rPr>
          <w:rFonts w:ascii="仿宋_GB2312" w:hAnsi="仿宋_GB2312" w:cs="仿宋_GB2312" w:eastAsia="仿宋_GB2312"/>
        </w:rPr>
        <w:t>详见附件：承诺文件.docx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