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E2ADE">
      <w:pPr>
        <w:pStyle w:val="7"/>
        <w:jc w:val="center"/>
        <w:outlineLvl w:val="1"/>
        <w:rPr>
          <w:rFonts w:hint="default"/>
        </w:rPr>
      </w:pPr>
      <w:r>
        <w:rPr>
          <w:rFonts w:ascii="仿宋_GB2312" w:hAnsi="仿宋_GB2312" w:eastAsia="仿宋_GB2312" w:cs="仿宋_GB2312"/>
          <w:b/>
          <w:sz w:val="36"/>
        </w:rPr>
        <w:t>拟签订采购合同文本</w:t>
      </w:r>
    </w:p>
    <w:p w14:paraId="7506AFE7">
      <w:pPr>
        <w:jc w:val="center"/>
        <w:rPr>
          <w:rFonts w:hint="eastAsia" w:ascii="仿宋" w:hAnsi="仿宋" w:eastAsia="仿宋" w:cs="仿宋"/>
          <w:b/>
          <w:bCs/>
          <w:kern w:val="0"/>
          <w:sz w:val="21"/>
          <w:szCs w:val="21"/>
        </w:rPr>
      </w:pPr>
    </w:p>
    <w:p w14:paraId="66F831EF">
      <w:pPr>
        <w:jc w:val="center"/>
        <w:rPr>
          <w:rFonts w:ascii="仿宋" w:hAnsi="仿宋" w:eastAsia="仿宋" w:cs="仿宋"/>
          <w:b/>
          <w:bCs/>
          <w:kern w:val="0"/>
          <w:sz w:val="21"/>
          <w:szCs w:val="21"/>
        </w:rPr>
      </w:pPr>
      <w:r>
        <w:rPr>
          <w:rFonts w:hint="eastAsia" w:ascii="仿宋" w:hAnsi="仿宋" w:eastAsia="仿宋" w:cs="仿宋"/>
          <w:b/>
          <w:bCs/>
          <w:kern w:val="0"/>
          <w:sz w:val="21"/>
          <w:szCs w:val="21"/>
        </w:rPr>
        <w:t>合同范本(仅供参考)</w:t>
      </w:r>
    </w:p>
    <w:p w14:paraId="5056F26F">
      <w:pPr>
        <w:rPr>
          <w:rFonts w:ascii="仿宋" w:hAnsi="仿宋" w:eastAsia="仿宋" w:cs="仿宋"/>
          <w:b/>
          <w:bCs/>
          <w:kern w:val="0"/>
          <w:sz w:val="44"/>
          <w:szCs w:val="44"/>
        </w:rPr>
      </w:pPr>
    </w:p>
    <w:p w14:paraId="1E65DA3C">
      <w:pPr>
        <w:jc w:val="center"/>
        <w:rPr>
          <w:rFonts w:hint="eastAsia" w:ascii="仿宋" w:hAnsi="仿宋" w:eastAsia="仿宋" w:cs="仿宋"/>
          <w:bCs/>
          <w:kern w:val="0"/>
          <w:sz w:val="44"/>
          <w:szCs w:val="44"/>
        </w:rPr>
      </w:pPr>
      <w:r>
        <w:rPr>
          <w:rFonts w:hint="eastAsia" w:ascii="仿宋" w:hAnsi="仿宋" w:eastAsia="仿宋" w:cs="仿宋"/>
          <w:bCs/>
          <w:kern w:val="0"/>
          <w:sz w:val="44"/>
          <w:szCs w:val="44"/>
        </w:rPr>
        <w:t>西安市12345热线大模型智能化提升建设项目</w:t>
      </w:r>
    </w:p>
    <w:p w14:paraId="147BD32F">
      <w:pPr>
        <w:jc w:val="center"/>
        <w:rPr>
          <w:rFonts w:ascii="仿宋" w:hAnsi="仿宋" w:eastAsia="仿宋" w:cs="仿宋"/>
          <w:bCs/>
          <w:kern w:val="0"/>
          <w:sz w:val="44"/>
          <w:szCs w:val="44"/>
        </w:rPr>
      </w:pPr>
      <w:r>
        <w:rPr>
          <w:rFonts w:hint="eastAsia" w:ascii="仿宋" w:hAnsi="仿宋" w:eastAsia="仿宋" w:cs="仿宋"/>
          <w:bCs/>
          <w:kern w:val="0"/>
          <w:sz w:val="44"/>
          <w:szCs w:val="44"/>
          <w:lang w:val="en-US" w:eastAsia="zh-CN"/>
        </w:rPr>
        <w:t>全过程</w:t>
      </w:r>
      <w:r>
        <w:rPr>
          <w:rFonts w:hint="eastAsia" w:ascii="仿宋" w:hAnsi="仿宋" w:eastAsia="仿宋" w:cs="仿宋"/>
          <w:bCs/>
          <w:kern w:val="0"/>
          <w:sz w:val="44"/>
          <w:szCs w:val="44"/>
        </w:rPr>
        <w:t>监理服务</w:t>
      </w:r>
    </w:p>
    <w:p w14:paraId="3A6E916F">
      <w:pPr>
        <w:spacing w:line="800" w:lineRule="exact"/>
        <w:rPr>
          <w:rFonts w:ascii="仿宋" w:hAnsi="仿宋" w:eastAsia="仿宋" w:cs="仿宋"/>
          <w:b/>
          <w:kern w:val="0"/>
          <w:sz w:val="36"/>
          <w:szCs w:val="36"/>
        </w:rPr>
      </w:pPr>
    </w:p>
    <w:p w14:paraId="4F28FDC5">
      <w:pPr>
        <w:spacing w:line="800" w:lineRule="exact"/>
        <w:rPr>
          <w:rFonts w:ascii="仿宋" w:hAnsi="仿宋" w:eastAsia="仿宋" w:cs="仿宋"/>
          <w:b/>
          <w:kern w:val="0"/>
          <w:sz w:val="36"/>
          <w:szCs w:val="36"/>
        </w:rPr>
      </w:pPr>
    </w:p>
    <w:p w14:paraId="766D6630">
      <w:pPr>
        <w:spacing w:line="800" w:lineRule="exact"/>
        <w:jc w:val="center"/>
        <w:rPr>
          <w:rFonts w:ascii="仿宋" w:hAnsi="仿宋" w:eastAsia="仿宋" w:cs="仿宋"/>
          <w:b/>
          <w:bCs/>
          <w:kern w:val="0"/>
          <w:sz w:val="72"/>
          <w:szCs w:val="72"/>
        </w:rPr>
      </w:pPr>
      <w:r>
        <w:rPr>
          <w:rFonts w:hint="eastAsia" w:ascii="仿宋" w:hAnsi="仿宋" w:eastAsia="仿宋" w:cs="仿宋"/>
          <w:b/>
          <w:bCs/>
          <w:kern w:val="0"/>
          <w:sz w:val="72"/>
          <w:szCs w:val="72"/>
        </w:rPr>
        <w:t>合 同 书</w:t>
      </w:r>
    </w:p>
    <w:p w14:paraId="5B5F83C3">
      <w:pPr>
        <w:rPr>
          <w:rFonts w:ascii="仿宋" w:hAnsi="仿宋" w:eastAsia="仿宋" w:cs="仿宋"/>
          <w:kern w:val="0"/>
          <w:sz w:val="34"/>
          <w:szCs w:val="20"/>
        </w:rPr>
      </w:pPr>
    </w:p>
    <w:p w14:paraId="0841BB27">
      <w:pPr>
        <w:rPr>
          <w:rFonts w:ascii="仿宋" w:hAnsi="仿宋" w:eastAsia="仿宋" w:cs="仿宋"/>
          <w:kern w:val="0"/>
          <w:sz w:val="34"/>
          <w:szCs w:val="20"/>
        </w:rPr>
      </w:pPr>
    </w:p>
    <w:p w14:paraId="682F3035">
      <w:pPr>
        <w:rPr>
          <w:rFonts w:ascii="仿宋" w:hAnsi="仿宋" w:eastAsia="仿宋" w:cs="仿宋"/>
          <w:kern w:val="0"/>
          <w:sz w:val="34"/>
          <w:szCs w:val="20"/>
        </w:rPr>
      </w:pPr>
    </w:p>
    <w:p w14:paraId="67846CF9">
      <w:pPr>
        <w:rPr>
          <w:rFonts w:ascii="仿宋" w:hAnsi="仿宋" w:eastAsia="仿宋" w:cs="仿宋"/>
          <w:kern w:val="0"/>
          <w:sz w:val="30"/>
          <w:szCs w:val="30"/>
        </w:rPr>
      </w:pPr>
    </w:p>
    <w:p w14:paraId="7AD619EE">
      <w:pPr>
        <w:pStyle w:val="8"/>
        <w:rPr>
          <w:rFonts w:ascii="仿宋" w:hAnsi="仿宋" w:eastAsia="仿宋" w:cs="仿宋"/>
        </w:rPr>
      </w:pPr>
    </w:p>
    <w:p w14:paraId="00FD19F0">
      <w:pPr>
        <w:pStyle w:val="8"/>
        <w:rPr>
          <w:rFonts w:ascii="仿宋" w:hAnsi="仿宋" w:eastAsia="仿宋" w:cs="仿宋"/>
        </w:rPr>
      </w:pPr>
    </w:p>
    <w:p w14:paraId="24E87E8F">
      <w:pPr>
        <w:rPr>
          <w:rFonts w:ascii="仿宋" w:hAnsi="仿宋" w:eastAsia="仿宋" w:cs="仿宋"/>
          <w:kern w:val="0"/>
          <w:sz w:val="28"/>
          <w:szCs w:val="28"/>
        </w:rPr>
      </w:pPr>
    </w:p>
    <w:p w14:paraId="423411B0">
      <w:pPr>
        <w:rPr>
          <w:rFonts w:ascii="仿宋" w:hAnsi="仿宋" w:eastAsia="仿宋" w:cs="仿宋"/>
          <w:kern w:val="0"/>
          <w:sz w:val="28"/>
          <w:szCs w:val="28"/>
        </w:rPr>
      </w:pPr>
    </w:p>
    <w:p w14:paraId="616B39BF">
      <w:pPr>
        <w:rPr>
          <w:rFonts w:ascii="仿宋" w:hAnsi="仿宋" w:eastAsia="仿宋" w:cs="仿宋"/>
          <w:kern w:val="0"/>
          <w:sz w:val="28"/>
          <w:szCs w:val="28"/>
        </w:rPr>
      </w:pPr>
    </w:p>
    <w:p w14:paraId="6708A671">
      <w:pPr>
        <w:spacing w:line="400" w:lineRule="exact"/>
        <w:ind w:firstLine="1795" w:firstLineChars="596"/>
        <w:rPr>
          <w:rFonts w:ascii="仿宋" w:hAnsi="仿宋" w:eastAsia="仿宋" w:cs="仿宋"/>
          <w:kern w:val="0"/>
          <w:sz w:val="30"/>
          <w:szCs w:val="30"/>
        </w:rPr>
      </w:pPr>
      <w:r>
        <w:rPr>
          <w:rFonts w:hint="eastAsia" w:ascii="仿宋" w:hAnsi="仿宋" w:eastAsia="仿宋" w:cs="仿宋"/>
          <w:b/>
          <w:kern w:val="0"/>
          <w:sz w:val="30"/>
          <w:szCs w:val="30"/>
        </w:rPr>
        <w:t>甲方</w:t>
      </w:r>
      <w:r>
        <w:rPr>
          <w:rFonts w:hint="eastAsia" w:ascii="仿宋" w:hAnsi="仿宋" w:eastAsia="仿宋" w:cs="仿宋"/>
          <w:kern w:val="0"/>
          <w:sz w:val="30"/>
          <w:szCs w:val="30"/>
        </w:rPr>
        <w:t>：西安市数据局</w:t>
      </w:r>
    </w:p>
    <w:p w14:paraId="0C20B238">
      <w:pPr>
        <w:spacing w:line="400" w:lineRule="exact"/>
        <w:rPr>
          <w:rFonts w:ascii="仿宋" w:hAnsi="仿宋" w:eastAsia="仿宋" w:cs="仿宋"/>
          <w:kern w:val="0"/>
          <w:sz w:val="32"/>
          <w:szCs w:val="32"/>
        </w:rPr>
      </w:pPr>
    </w:p>
    <w:p w14:paraId="28CC3030">
      <w:pPr>
        <w:spacing w:line="400" w:lineRule="exact"/>
        <w:ind w:firstLine="1795" w:firstLineChars="596"/>
        <w:rPr>
          <w:rFonts w:ascii="仿宋" w:hAnsi="仿宋" w:eastAsia="仿宋" w:cs="仿宋"/>
          <w:kern w:val="0"/>
          <w:sz w:val="30"/>
          <w:szCs w:val="30"/>
        </w:rPr>
      </w:pPr>
      <w:r>
        <w:rPr>
          <w:rFonts w:hint="eastAsia" w:ascii="仿宋" w:hAnsi="仿宋" w:eastAsia="仿宋" w:cs="仿宋"/>
          <w:b/>
          <w:kern w:val="0"/>
          <w:sz w:val="30"/>
          <w:szCs w:val="30"/>
        </w:rPr>
        <w:t>乙方：</w:t>
      </w:r>
    </w:p>
    <w:p w14:paraId="49556026">
      <w:pPr>
        <w:spacing w:line="400" w:lineRule="exact"/>
        <w:rPr>
          <w:rFonts w:ascii="仿宋" w:hAnsi="仿宋" w:eastAsia="仿宋" w:cs="仿宋"/>
          <w:kern w:val="0"/>
          <w:sz w:val="30"/>
          <w:szCs w:val="30"/>
        </w:rPr>
      </w:pPr>
    </w:p>
    <w:p w14:paraId="78F5E803">
      <w:pPr>
        <w:spacing w:after="312" w:afterLines="100" w:line="560" w:lineRule="exact"/>
        <w:jc w:val="center"/>
        <w:rPr>
          <w:rFonts w:ascii="仿宋" w:hAnsi="仿宋" w:eastAsia="仿宋" w:cs="仿宋"/>
          <w:kern w:val="0"/>
          <w:sz w:val="28"/>
          <w:szCs w:val="28"/>
        </w:rPr>
        <w:sectPr>
          <w:footerReference r:id="rId5" w:type="default"/>
          <w:pgSz w:w="11906" w:h="16838"/>
          <w:pgMar w:top="1440" w:right="1133" w:bottom="1440" w:left="1418" w:header="851" w:footer="992" w:gutter="0"/>
          <w:pgNumType w:fmt="decimal" w:start="1"/>
          <w:cols w:space="425" w:num="1"/>
          <w:docGrid w:type="lines" w:linePitch="312" w:charSpace="0"/>
        </w:sectPr>
      </w:pPr>
      <w:r>
        <w:rPr>
          <w:rFonts w:hint="eastAsia" w:ascii="仿宋" w:hAnsi="仿宋" w:eastAsia="仿宋" w:cs="仿宋"/>
          <w:kern w:val="0"/>
          <w:sz w:val="28"/>
          <w:szCs w:val="28"/>
        </w:rPr>
        <w:t xml:space="preserve">      年   月</w:t>
      </w:r>
    </w:p>
    <w:p w14:paraId="2373EB3B">
      <w:pPr>
        <w:spacing w:after="312" w:afterLines="100" w:line="560" w:lineRule="exact"/>
        <w:jc w:val="center"/>
        <w:rPr>
          <w:rFonts w:ascii="仿宋" w:hAnsi="仿宋" w:eastAsia="仿宋" w:cs="仿宋"/>
          <w:b/>
          <w:kern w:val="0"/>
          <w:sz w:val="32"/>
          <w:szCs w:val="32"/>
        </w:rPr>
      </w:pPr>
      <w:r>
        <w:rPr>
          <w:rFonts w:hint="eastAsia" w:ascii="仿宋" w:hAnsi="仿宋" w:eastAsia="仿宋" w:cs="仿宋"/>
          <w:b/>
          <w:kern w:val="0"/>
          <w:sz w:val="32"/>
          <w:szCs w:val="32"/>
        </w:rPr>
        <w:t>项目合同书</w:t>
      </w:r>
    </w:p>
    <w:p w14:paraId="5966DAA0">
      <w:pPr>
        <w:spacing w:line="360" w:lineRule="auto"/>
        <w:ind w:firstLine="480" w:firstLineChars="200"/>
        <w:rPr>
          <w:rFonts w:ascii="仿宋" w:hAnsi="仿宋" w:eastAsia="仿宋" w:cs="仿宋"/>
          <w:sz w:val="24"/>
        </w:rPr>
      </w:pPr>
      <w:r>
        <w:rPr>
          <w:rFonts w:hint="eastAsia" w:ascii="仿宋" w:hAnsi="仿宋" w:eastAsia="仿宋" w:cs="仿宋"/>
          <w:sz w:val="24"/>
        </w:rPr>
        <w:t>委托方（甲方）： 西安市数据局</w:t>
      </w:r>
    </w:p>
    <w:p w14:paraId="1D0B64B9">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受托方（乙方）： </w:t>
      </w:r>
    </w:p>
    <w:p w14:paraId="638E307A">
      <w:pPr>
        <w:spacing w:line="360" w:lineRule="auto"/>
        <w:ind w:firstLine="480" w:firstLineChars="200"/>
        <w:rPr>
          <w:rFonts w:ascii="仿宋" w:hAnsi="仿宋" w:eastAsia="仿宋" w:cs="仿宋"/>
          <w:sz w:val="24"/>
        </w:rPr>
      </w:pPr>
      <w:r>
        <w:rPr>
          <w:rFonts w:hint="eastAsia" w:ascii="仿宋" w:hAnsi="仿宋" w:eastAsia="仿宋" w:cs="仿宋"/>
          <w:sz w:val="24"/>
        </w:rPr>
        <w:t>依照《中华人民共和国政府采购法》《中华人民共和国民法典》等有关法律、法规，遵循平等、自愿、公平和诚实信用的原则，就甲方委托乙方承担的“</w:t>
      </w:r>
      <w:r>
        <w:rPr>
          <w:rFonts w:hint="eastAsia" w:ascii="仿宋" w:hAnsi="仿宋" w:eastAsia="仿宋" w:cs="仿宋"/>
          <w:sz w:val="24"/>
          <w:u w:val="single"/>
        </w:rPr>
        <w:t>西安市12345热线大模型智能化提升建设项目</w:t>
      </w:r>
      <w:r>
        <w:rPr>
          <w:rFonts w:hint="eastAsia" w:ascii="仿宋" w:hAnsi="仿宋" w:eastAsia="仿宋" w:cs="仿宋"/>
          <w:sz w:val="24"/>
          <w:u w:val="single"/>
          <w:lang w:val="en-US" w:eastAsia="zh-CN"/>
        </w:rPr>
        <w:t>全过程</w:t>
      </w:r>
      <w:r>
        <w:rPr>
          <w:rFonts w:hint="eastAsia" w:ascii="仿宋" w:hAnsi="仿宋" w:eastAsia="仿宋" w:cs="仿宋"/>
          <w:sz w:val="24"/>
          <w:u w:val="single"/>
        </w:rPr>
        <w:t>监理服务</w:t>
      </w:r>
      <w:r>
        <w:rPr>
          <w:rFonts w:hint="eastAsia" w:ascii="仿宋" w:hAnsi="仿宋" w:eastAsia="仿宋" w:cs="仿宋"/>
          <w:sz w:val="24"/>
        </w:rPr>
        <w:t>”事宜，达成如下合同协议：</w:t>
      </w:r>
    </w:p>
    <w:p w14:paraId="7A70675A">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1.项目名称</w:t>
      </w:r>
    </w:p>
    <w:p w14:paraId="28F4AC08">
      <w:pPr>
        <w:spacing w:line="360" w:lineRule="auto"/>
        <w:ind w:firstLine="480" w:firstLineChars="200"/>
        <w:rPr>
          <w:rFonts w:ascii="仿宋" w:hAnsi="仿宋" w:eastAsia="仿宋" w:cs="仿宋"/>
          <w:sz w:val="24"/>
        </w:rPr>
      </w:pPr>
      <w:r>
        <w:rPr>
          <w:rFonts w:hint="eastAsia" w:ascii="仿宋" w:hAnsi="仿宋" w:eastAsia="仿宋" w:cs="仿宋"/>
          <w:sz w:val="24"/>
          <w:u w:val="single"/>
        </w:rPr>
        <w:t>西安市12345热线大模型智能化提升建设项目</w:t>
      </w:r>
      <w:r>
        <w:rPr>
          <w:rFonts w:hint="eastAsia" w:ascii="仿宋" w:hAnsi="仿宋" w:eastAsia="仿宋" w:cs="仿宋"/>
          <w:sz w:val="24"/>
          <w:u w:val="single"/>
          <w:lang w:val="en-US" w:eastAsia="zh-CN"/>
        </w:rPr>
        <w:t>全过程</w:t>
      </w:r>
      <w:r>
        <w:rPr>
          <w:rFonts w:hint="eastAsia" w:ascii="仿宋" w:hAnsi="仿宋" w:eastAsia="仿宋" w:cs="仿宋"/>
          <w:sz w:val="24"/>
          <w:u w:val="single"/>
        </w:rPr>
        <w:t>监理服务</w:t>
      </w:r>
    </w:p>
    <w:p w14:paraId="164A1536">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2.合同组成</w:t>
      </w:r>
    </w:p>
    <w:p w14:paraId="78E05973">
      <w:pPr>
        <w:spacing w:line="360" w:lineRule="auto"/>
        <w:ind w:firstLine="480" w:firstLineChars="200"/>
        <w:rPr>
          <w:rFonts w:ascii="仿宋" w:hAnsi="仿宋" w:eastAsia="仿宋" w:cs="仿宋"/>
          <w:sz w:val="24"/>
        </w:rPr>
      </w:pPr>
      <w:r>
        <w:rPr>
          <w:rFonts w:hint="eastAsia" w:ascii="仿宋" w:hAnsi="仿宋" w:eastAsia="仿宋" w:cs="仿宋"/>
          <w:sz w:val="24"/>
        </w:rPr>
        <w:t>2.1下列文件应被认为是本合同的组成部分</w:t>
      </w:r>
    </w:p>
    <w:p w14:paraId="1AC560A2">
      <w:pPr>
        <w:spacing w:line="360" w:lineRule="auto"/>
        <w:ind w:firstLine="570"/>
        <w:rPr>
          <w:rFonts w:ascii="仿宋" w:hAnsi="仿宋" w:eastAsia="仿宋" w:cs="仿宋"/>
          <w:color w:val="000000"/>
          <w:sz w:val="24"/>
        </w:rPr>
      </w:pPr>
      <w:r>
        <w:rPr>
          <w:rFonts w:hint="eastAsia" w:ascii="仿宋" w:hAnsi="仿宋" w:eastAsia="仿宋" w:cs="仿宋"/>
          <w:color w:val="000000"/>
          <w:sz w:val="24"/>
        </w:rPr>
        <w:t>（1）本合同各条款</w:t>
      </w:r>
    </w:p>
    <w:p w14:paraId="4FE02C2C">
      <w:pPr>
        <w:spacing w:line="360" w:lineRule="auto"/>
        <w:ind w:firstLine="570"/>
        <w:rPr>
          <w:rFonts w:ascii="仿宋" w:hAnsi="仿宋" w:eastAsia="仿宋" w:cs="仿宋"/>
          <w:color w:val="000000"/>
          <w:sz w:val="24"/>
        </w:rPr>
      </w:pPr>
      <w:r>
        <w:rPr>
          <w:rFonts w:hint="eastAsia" w:ascii="仿宋" w:hAnsi="仿宋" w:eastAsia="仿宋" w:cs="仿宋"/>
          <w:color w:val="000000"/>
          <w:sz w:val="24"/>
        </w:rPr>
        <w:t>（2）磋商材料</w:t>
      </w:r>
    </w:p>
    <w:p w14:paraId="351F751C">
      <w:pPr>
        <w:spacing w:line="360" w:lineRule="auto"/>
        <w:ind w:firstLine="570"/>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kern w:val="0"/>
          <w:sz w:val="24"/>
        </w:rPr>
        <w:t>双方有关本项目的洽商、变更、调整等书面协议或文件</w:t>
      </w:r>
    </w:p>
    <w:p w14:paraId="5F6ECC65">
      <w:pPr>
        <w:spacing w:line="360" w:lineRule="auto"/>
        <w:ind w:firstLine="570"/>
        <w:rPr>
          <w:rFonts w:ascii="仿宋" w:hAnsi="仿宋" w:eastAsia="仿宋" w:cs="仿宋"/>
          <w:sz w:val="24"/>
        </w:rPr>
      </w:pPr>
      <w:r>
        <w:rPr>
          <w:rFonts w:hint="eastAsia" w:ascii="仿宋" w:hAnsi="仿宋" w:eastAsia="仿宋" w:cs="仿宋"/>
          <w:sz w:val="24"/>
        </w:rPr>
        <w:t>以上文本构成此合同不可分割的部分并与合同正文具有同等法律效力。</w:t>
      </w:r>
    </w:p>
    <w:p w14:paraId="00C3B2AE">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2.2本合同文件解释</w:t>
      </w:r>
    </w:p>
    <w:p w14:paraId="7DB7331B">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本合同文件的执行、解释优先级按本合同条款2.1顺序，当合同文件出现含糊不清或不一致时，由双方协商解决。</w:t>
      </w:r>
    </w:p>
    <w:p w14:paraId="77981A8E">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3.服务内容及要求</w:t>
      </w:r>
    </w:p>
    <w:p w14:paraId="3E94DA84">
      <w:pPr>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乙方受甲方委托，代表甲方利益，依法对</w:t>
      </w:r>
      <w:r>
        <w:rPr>
          <w:rFonts w:hint="eastAsia" w:ascii="仿宋" w:hAnsi="仿宋" w:eastAsia="仿宋" w:cs="仿宋"/>
          <w:sz w:val="24"/>
          <w:u w:val="single"/>
        </w:rPr>
        <w:t>西安市12345热线大模型智能化提升建设项目</w:t>
      </w:r>
      <w:r>
        <w:rPr>
          <w:rFonts w:hint="eastAsia" w:ascii="仿宋" w:hAnsi="仿宋" w:eastAsia="仿宋" w:cs="仿宋"/>
          <w:sz w:val="24"/>
          <w:u w:val="single"/>
          <w:lang w:val="en-US" w:eastAsia="zh-CN"/>
        </w:rPr>
        <w:t>全过程</w:t>
      </w:r>
      <w:r>
        <w:rPr>
          <w:rFonts w:hint="eastAsia" w:ascii="仿宋" w:hAnsi="仿宋" w:eastAsia="仿宋" w:cs="仿宋"/>
          <w:sz w:val="24"/>
          <w:u w:val="single"/>
        </w:rPr>
        <w:t>监理服务</w:t>
      </w:r>
      <w:r>
        <w:rPr>
          <w:rFonts w:hint="eastAsia" w:ascii="仿宋" w:hAnsi="仿宋" w:eastAsia="仿宋" w:cs="仿宋"/>
          <w:kern w:val="0"/>
          <w:sz w:val="24"/>
        </w:rPr>
        <w:t>进行全过程监督管理。乙方应严格按照国家电子政务管理办法、甲方和承建方签订的合同、信息系统监理规范及规划行业和计算机技术相关国家标准开展监理工作。应结合项目的特点，对项目建设准备、详细设计、实施和验收四个阶段进行全过程监理，包括质量控制、进度控制、投资控制、合同管理、文档资料管理、项目协调等，确保项目按期、高质、高效地完成，并顺利通过验收。</w:t>
      </w:r>
    </w:p>
    <w:p w14:paraId="52D4ABA2">
      <w:pPr>
        <w:bidi w:val="0"/>
        <w:ind w:firstLine="420" w:firstLineChars="200"/>
        <w:rPr>
          <w:rFonts w:hint="eastAsia" w:ascii="仿宋" w:hAnsi="仿宋" w:eastAsia="仿宋" w:cs="仿宋"/>
          <w:color w:val="auto"/>
          <w:kern w:val="0"/>
          <w:sz w:val="24"/>
          <w:lang w:val="en-US" w:eastAsia="zh-CN"/>
        </w:rPr>
      </w:pPr>
      <w:r>
        <w:rPr>
          <w:rFonts w:hint="eastAsia"/>
          <w:color w:val="auto"/>
          <w:lang w:val="en-US" w:eastAsia="zh-CN"/>
        </w:rPr>
        <w:t xml:space="preserve"> </w:t>
      </w:r>
      <w:r>
        <w:rPr>
          <w:rFonts w:hint="default" w:ascii="仿宋" w:hAnsi="仿宋" w:eastAsia="仿宋" w:cs="仿宋"/>
          <w:color w:val="auto"/>
          <w:kern w:val="0"/>
          <w:sz w:val="24"/>
          <w:lang w:val="en-US" w:eastAsia="zh-CN"/>
        </w:rPr>
        <w:t>交付成果包括</w:t>
      </w:r>
      <w:r>
        <w:rPr>
          <w:rFonts w:hint="eastAsia" w:ascii="仿宋" w:hAnsi="仿宋" w:eastAsia="仿宋" w:cs="仿宋"/>
          <w:color w:val="auto"/>
          <w:kern w:val="0"/>
          <w:sz w:val="24"/>
          <w:lang w:val="en-US" w:eastAsia="zh-CN"/>
        </w:rPr>
        <w:t>但不限于</w:t>
      </w:r>
      <w:r>
        <w:rPr>
          <w:rFonts w:hint="default" w:ascii="仿宋" w:hAnsi="仿宋" w:eastAsia="仿宋" w:cs="仿宋"/>
          <w:color w:val="auto"/>
          <w:kern w:val="0"/>
          <w:sz w:val="24"/>
          <w:lang w:val="en-US" w:eastAsia="zh-CN"/>
        </w:rPr>
        <w:t>项目监理规划、监理实施细则、开工令、监理通知单、监理工作联系单、会议纪要、进场核验报告、质量巡检记录、进度计划审核报告、进度偏差分析及整改建议、工程变更/签证审核意见书、项目阶段性监理周报、监理月报，软硬件交付成果清单，资产交付清单，分项/初步/竣工验收监理评估报告、监理工作总结报告和完整的项目监理档案（纸质</w:t>
      </w:r>
      <w:r>
        <w:rPr>
          <w:rFonts w:hint="eastAsia" w:ascii="仿宋" w:hAnsi="仿宋" w:eastAsia="仿宋" w:cs="仿宋"/>
          <w:color w:val="auto"/>
          <w:kern w:val="0"/>
          <w:sz w:val="24"/>
          <w:lang w:val="en-US" w:eastAsia="zh-CN"/>
        </w:rPr>
        <w:t>3份</w:t>
      </w:r>
      <w:r>
        <w:rPr>
          <w:rFonts w:hint="default" w:ascii="仿宋" w:hAnsi="仿宋" w:eastAsia="仿宋" w:cs="仿宋"/>
          <w:color w:val="auto"/>
          <w:kern w:val="0"/>
          <w:sz w:val="24"/>
          <w:lang w:val="en-US" w:eastAsia="zh-CN"/>
        </w:rPr>
        <w:t>+电子版本）等资料。</w:t>
      </w:r>
    </w:p>
    <w:p w14:paraId="330FE8A0">
      <w:pPr>
        <w:spacing w:line="360" w:lineRule="auto"/>
        <w:ind w:firstLine="470" w:firstLineChars="196"/>
        <w:outlineLvl w:val="0"/>
        <w:rPr>
          <w:rFonts w:ascii="仿宋" w:hAnsi="仿宋" w:eastAsia="仿宋" w:cs="仿宋"/>
          <w:bCs/>
          <w:color w:val="auto"/>
          <w:sz w:val="24"/>
        </w:rPr>
      </w:pPr>
      <w:r>
        <w:rPr>
          <w:rFonts w:hint="eastAsia" w:ascii="仿宋" w:hAnsi="仿宋" w:eastAsia="仿宋" w:cs="仿宋"/>
          <w:bCs/>
          <w:color w:val="auto"/>
          <w:sz w:val="24"/>
        </w:rPr>
        <w:t>4.工期要求</w:t>
      </w:r>
    </w:p>
    <w:p w14:paraId="079D095E">
      <w:pPr>
        <w:spacing w:line="360" w:lineRule="auto"/>
        <w:ind w:firstLine="570"/>
        <w:rPr>
          <w:rFonts w:ascii="仿宋" w:hAnsi="仿宋" w:eastAsia="仿宋" w:cs="仿宋"/>
          <w:color w:val="auto"/>
          <w:sz w:val="24"/>
        </w:rPr>
      </w:pPr>
      <w:r>
        <w:rPr>
          <w:rFonts w:hint="eastAsia" w:ascii="仿宋" w:hAnsi="仿宋" w:eastAsia="仿宋" w:cs="仿宋"/>
          <w:color w:val="auto"/>
          <w:sz w:val="24"/>
        </w:rPr>
        <w:t>监理服务期限</w:t>
      </w:r>
      <w:r>
        <w:rPr>
          <w:rFonts w:hint="eastAsia" w:ascii="仿宋" w:hAnsi="仿宋" w:eastAsia="仿宋" w:cs="仿宋"/>
          <w:color w:val="auto"/>
          <w:sz w:val="24"/>
          <w:lang w:eastAsia="zh-CN"/>
        </w:rPr>
        <w:t>：</w:t>
      </w:r>
      <w:r>
        <w:rPr>
          <w:rFonts w:hint="eastAsia" w:ascii="仿宋" w:hAnsi="仿宋" w:eastAsia="仿宋" w:cs="仿宋"/>
          <w:color w:val="auto"/>
          <w:sz w:val="24"/>
        </w:rPr>
        <w:t>自监理合同签订之日起至项目验收合格为止。</w:t>
      </w:r>
    </w:p>
    <w:p w14:paraId="6E68D3C2">
      <w:pPr>
        <w:spacing w:line="360" w:lineRule="auto"/>
        <w:ind w:firstLine="470" w:firstLineChars="196"/>
        <w:outlineLvl w:val="0"/>
        <w:rPr>
          <w:rFonts w:ascii="仿宋" w:hAnsi="仿宋" w:eastAsia="仿宋" w:cs="仿宋"/>
          <w:bCs/>
          <w:color w:val="auto"/>
          <w:sz w:val="24"/>
        </w:rPr>
      </w:pPr>
      <w:r>
        <w:rPr>
          <w:rFonts w:hint="eastAsia" w:ascii="仿宋" w:hAnsi="仿宋" w:eastAsia="仿宋" w:cs="仿宋"/>
          <w:bCs/>
          <w:color w:val="auto"/>
          <w:sz w:val="24"/>
        </w:rPr>
        <w:t>5.合同价款与支付</w:t>
      </w:r>
    </w:p>
    <w:p w14:paraId="005590CB">
      <w:pPr>
        <w:spacing w:line="360" w:lineRule="auto"/>
        <w:ind w:firstLine="470" w:firstLineChars="196"/>
        <w:rPr>
          <w:rFonts w:ascii="仿宋" w:hAnsi="仿宋" w:eastAsia="仿宋" w:cs="仿宋"/>
          <w:color w:val="auto"/>
          <w:sz w:val="24"/>
          <w:highlight w:val="yellow"/>
        </w:rPr>
      </w:pPr>
      <w:r>
        <w:rPr>
          <w:rFonts w:hint="eastAsia" w:ascii="仿宋" w:hAnsi="仿宋" w:eastAsia="仿宋" w:cs="仿宋"/>
          <w:color w:val="auto"/>
          <w:sz w:val="24"/>
        </w:rPr>
        <w:t>5.1合同价款</w:t>
      </w:r>
    </w:p>
    <w:p w14:paraId="17C8C485">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本项目合同总价为人民币￥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元（大写：</w:t>
      </w:r>
      <w:r>
        <w:rPr>
          <w:rFonts w:hint="eastAsia" w:ascii="仿宋" w:hAnsi="仿宋" w:eastAsia="仿宋" w:cs="仿宋"/>
          <w:color w:val="auto"/>
          <w:sz w:val="24"/>
          <w:u w:val="single"/>
        </w:rPr>
        <w:t xml:space="preserve">      </w:t>
      </w:r>
      <w:r>
        <w:rPr>
          <w:rFonts w:hint="eastAsia" w:ascii="仿宋" w:hAnsi="仿宋" w:eastAsia="仿宋" w:cs="仿宋"/>
          <w:color w:val="auto"/>
          <w:sz w:val="24"/>
        </w:rPr>
        <w:t>整）。该价格为含税价，包括但不限于增值税及附加税。</w:t>
      </w:r>
    </w:p>
    <w:p w14:paraId="2F7A888D">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5.2支付方式</w:t>
      </w:r>
    </w:p>
    <w:p w14:paraId="016636C1">
      <w:pPr>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（1）合同签订生效后，达到付款条件起</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0日内，支付合同总金额的40%，首付款为人民币￥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元（大写：</w:t>
      </w:r>
      <w:r>
        <w:rPr>
          <w:rFonts w:hint="eastAsia" w:ascii="仿宋" w:hAnsi="仿宋" w:eastAsia="仿宋" w:cs="仿宋"/>
          <w:color w:val="auto"/>
          <w:sz w:val="24"/>
          <w:highlight w:val="none"/>
          <w:u w:val="single"/>
        </w:rPr>
        <w:t xml:space="preserve">        整</w:t>
      </w:r>
      <w:r>
        <w:rPr>
          <w:rFonts w:hint="eastAsia" w:ascii="仿宋" w:hAnsi="仿宋" w:eastAsia="仿宋" w:cs="仿宋"/>
          <w:color w:val="auto"/>
          <w:sz w:val="24"/>
          <w:highlight w:val="none"/>
        </w:rPr>
        <w:t>）。</w:t>
      </w:r>
    </w:p>
    <w:p w14:paraId="54FECA3C">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（2）建设项目初验收合格后，达到付款条件起</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日内，支付合同总金额的</w:t>
      </w:r>
      <w:r>
        <w:rPr>
          <w:rFonts w:hint="eastAsia" w:ascii="仿宋" w:hAnsi="仿宋" w:eastAsia="仿宋" w:cs="仿宋"/>
          <w:color w:val="auto"/>
          <w:sz w:val="24"/>
          <w:highlight w:val="none"/>
          <w:lang w:eastAsia="zh-CN"/>
        </w:rPr>
        <w:t>40</w:t>
      </w:r>
      <w:r>
        <w:rPr>
          <w:rFonts w:hint="eastAsia" w:ascii="仿宋" w:hAnsi="仿宋" w:eastAsia="仿宋" w:cs="仿宋"/>
          <w:color w:val="auto"/>
          <w:sz w:val="24"/>
          <w:highlight w:val="none"/>
        </w:rPr>
        <w:t>%，初验款为人民币￥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元（大写：</w:t>
      </w:r>
      <w:r>
        <w:rPr>
          <w:rFonts w:hint="eastAsia" w:ascii="仿宋" w:hAnsi="仿宋" w:eastAsia="仿宋" w:cs="仿宋"/>
          <w:color w:val="auto"/>
          <w:sz w:val="24"/>
          <w:highlight w:val="none"/>
          <w:u w:val="single"/>
        </w:rPr>
        <w:t xml:space="preserve">         整</w:t>
      </w:r>
      <w:r>
        <w:rPr>
          <w:rFonts w:hint="eastAsia" w:ascii="仿宋" w:hAnsi="仿宋" w:eastAsia="仿宋" w:cs="仿宋"/>
          <w:color w:val="auto"/>
          <w:sz w:val="24"/>
          <w:highlight w:val="none"/>
        </w:rPr>
        <w:t>）。</w:t>
      </w:r>
    </w:p>
    <w:p w14:paraId="4C92F75F">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）建设项目终验合格后，达到付款条件起</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日内，支付合同总金额的</w:t>
      </w:r>
      <w:r>
        <w:rPr>
          <w:rFonts w:hint="eastAsia" w:ascii="仿宋" w:hAnsi="仿宋" w:eastAsia="仿宋" w:cs="仿宋"/>
          <w:color w:val="auto"/>
          <w:sz w:val="24"/>
          <w:highlight w:val="none"/>
          <w:lang w:val="en-US" w:eastAsia="zh-CN"/>
        </w:rPr>
        <w:t>20</w:t>
      </w:r>
      <w:r>
        <w:rPr>
          <w:rFonts w:hint="eastAsia" w:ascii="仿宋" w:hAnsi="仿宋" w:eastAsia="仿宋" w:cs="仿宋"/>
          <w:color w:val="auto"/>
          <w:sz w:val="24"/>
          <w:highlight w:val="none"/>
          <w:lang w:eastAsia="zh-CN"/>
        </w:rPr>
        <w:t>%。终验</w:t>
      </w:r>
      <w:r>
        <w:rPr>
          <w:rFonts w:hint="eastAsia" w:ascii="仿宋" w:hAnsi="仿宋" w:eastAsia="仿宋" w:cs="仿宋"/>
          <w:color w:val="auto"/>
          <w:sz w:val="24"/>
          <w:highlight w:val="none"/>
        </w:rPr>
        <w:t>款为人民币￥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元（大写：</w:t>
      </w:r>
      <w:r>
        <w:rPr>
          <w:rFonts w:hint="eastAsia" w:ascii="仿宋" w:hAnsi="仿宋" w:eastAsia="仿宋" w:cs="仿宋"/>
          <w:color w:val="auto"/>
          <w:sz w:val="24"/>
          <w:highlight w:val="none"/>
          <w:u w:val="single"/>
        </w:rPr>
        <w:t xml:space="preserve">         整</w:t>
      </w:r>
      <w:r>
        <w:rPr>
          <w:rFonts w:hint="eastAsia" w:ascii="仿宋" w:hAnsi="仿宋" w:eastAsia="仿宋" w:cs="仿宋"/>
          <w:color w:val="auto"/>
          <w:sz w:val="24"/>
          <w:highlight w:val="none"/>
        </w:rPr>
        <w:t>）。</w:t>
      </w:r>
    </w:p>
    <w:p w14:paraId="282093B1">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4</w:t>
      </w:r>
      <w:r>
        <w:rPr>
          <w:rFonts w:hint="eastAsia" w:ascii="仿宋" w:hAnsi="仿宋" w:eastAsia="仿宋" w:cs="仿宋"/>
          <w:color w:val="auto"/>
          <w:sz w:val="24"/>
        </w:rPr>
        <w:t>）采用银行转账支付，在甲方支付合同款项前，乙方应当出具与待付款项同等金额且符合甲方要求的税务发票，否则甲方有权拒绝付款且不承担逾期支付的责任，同时乙方不得因此拒绝或延迟履行其合同义务。</w:t>
      </w:r>
    </w:p>
    <w:p w14:paraId="5554B85B">
      <w:pPr>
        <w:spacing w:line="360" w:lineRule="auto"/>
        <w:ind w:firstLine="470" w:firstLineChars="196"/>
        <w:outlineLvl w:val="0"/>
        <w:rPr>
          <w:rFonts w:ascii="仿宋" w:hAnsi="仿宋" w:eastAsia="仿宋" w:cs="仿宋"/>
          <w:bCs/>
          <w:color w:val="auto"/>
          <w:sz w:val="24"/>
        </w:rPr>
      </w:pPr>
      <w:r>
        <w:rPr>
          <w:rFonts w:hint="eastAsia" w:ascii="仿宋" w:hAnsi="仿宋" w:eastAsia="仿宋" w:cs="仿宋"/>
          <w:bCs/>
          <w:color w:val="auto"/>
          <w:sz w:val="24"/>
        </w:rPr>
        <w:t>6.知识产权</w:t>
      </w:r>
    </w:p>
    <w:p w14:paraId="237CA1FD">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本项目所产生的知识产权由甲方享有，乙方应保证在本项目使用任何产品和服务（包括部分使用）时，不会产生因第三方提出侵犯其著作权或其它知识产权而引起的法律和经济纠纷，如因著作权或其它知识产权而引起法律和经济纠纷，由乙方承担全部相关责任，由此造成甲方无法完成本合同约定的项目内容，甲方有权解除合同，并要求乙方全额退还已收的全部款项。</w:t>
      </w:r>
    </w:p>
    <w:p w14:paraId="68A970D0">
      <w:pPr>
        <w:spacing w:line="360" w:lineRule="auto"/>
        <w:ind w:firstLine="480" w:firstLineChars="200"/>
        <w:outlineLvl w:val="0"/>
        <w:rPr>
          <w:rFonts w:ascii="仿宋" w:hAnsi="仿宋" w:eastAsia="仿宋" w:cs="仿宋"/>
          <w:bCs/>
          <w:color w:val="auto"/>
          <w:sz w:val="24"/>
        </w:rPr>
      </w:pPr>
      <w:r>
        <w:rPr>
          <w:rFonts w:hint="eastAsia" w:ascii="仿宋" w:hAnsi="仿宋" w:eastAsia="仿宋" w:cs="仿宋"/>
          <w:bCs/>
          <w:color w:val="auto"/>
          <w:sz w:val="24"/>
        </w:rPr>
        <w:t>7.甲方的权利和义务</w:t>
      </w:r>
    </w:p>
    <w:p w14:paraId="3AB9B3BB">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7.1在项目服务范围内要求乙方提供技术、服务支持。</w:t>
      </w:r>
    </w:p>
    <w:p w14:paraId="21990016">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7.2按合同约定的内容对乙方进行监督检查和过程控制，对不符合本合同约定的情形，甲方有权要求乙方进行整改。</w:t>
      </w:r>
    </w:p>
    <w:p w14:paraId="1F51C7DD">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7.3甲方有权要求乙方更换不能胜任本项目工作的项目总监。</w:t>
      </w:r>
    </w:p>
    <w:p w14:paraId="2CB8424D">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7.4对乙方提供成果的商业秘密、技术秘密有保密的义务。</w:t>
      </w:r>
    </w:p>
    <w:p w14:paraId="12BBFA81">
      <w:pPr>
        <w:spacing w:line="360" w:lineRule="auto"/>
        <w:ind w:firstLine="470" w:firstLineChars="196"/>
        <w:rPr>
          <w:rFonts w:ascii="仿宋" w:hAnsi="仿宋" w:eastAsia="仿宋" w:cs="仿宋"/>
          <w:color w:val="auto"/>
          <w:sz w:val="24"/>
        </w:rPr>
      </w:pPr>
      <w:r>
        <w:rPr>
          <w:rFonts w:hint="eastAsia" w:ascii="仿宋" w:hAnsi="仿宋" w:eastAsia="仿宋" w:cs="仿宋"/>
          <w:color w:val="auto"/>
          <w:sz w:val="24"/>
        </w:rPr>
        <w:t>7.5按合同约定的期限和方式向乙方支付应付合同价款。</w:t>
      </w:r>
    </w:p>
    <w:p w14:paraId="61938EA7">
      <w:pPr>
        <w:spacing w:line="360" w:lineRule="auto"/>
        <w:ind w:firstLine="470" w:firstLineChars="196"/>
        <w:rPr>
          <w:rFonts w:ascii="仿宋" w:hAnsi="仿宋" w:eastAsia="仿宋" w:cs="仿宋"/>
          <w:sz w:val="24"/>
        </w:rPr>
      </w:pPr>
      <w:r>
        <w:rPr>
          <w:rFonts w:hint="eastAsia" w:ascii="仿宋" w:hAnsi="仿宋" w:eastAsia="仿宋" w:cs="仿宋"/>
          <w:color w:val="auto"/>
          <w:sz w:val="24"/>
        </w:rPr>
        <w:t>7.6甲方独自承担本</w:t>
      </w:r>
      <w:r>
        <w:rPr>
          <w:rFonts w:hint="eastAsia" w:ascii="仿宋" w:hAnsi="仿宋" w:eastAsia="仿宋" w:cs="仿宋"/>
          <w:sz w:val="24"/>
        </w:rPr>
        <w:t>项目成果汇交义务。</w:t>
      </w:r>
    </w:p>
    <w:p w14:paraId="3245F9E9">
      <w:pPr>
        <w:spacing w:line="360" w:lineRule="auto"/>
        <w:ind w:firstLine="480" w:firstLineChars="200"/>
        <w:outlineLvl w:val="0"/>
        <w:rPr>
          <w:rFonts w:ascii="仿宋" w:hAnsi="仿宋" w:eastAsia="仿宋" w:cs="仿宋"/>
          <w:bCs/>
          <w:sz w:val="24"/>
        </w:rPr>
      </w:pPr>
      <w:r>
        <w:rPr>
          <w:rFonts w:hint="eastAsia" w:ascii="仿宋" w:hAnsi="仿宋" w:eastAsia="仿宋" w:cs="仿宋"/>
          <w:bCs/>
          <w:sz w:val="24"/>
        </w:rPr>
        <w:t>8.乙方的权利和义务</w:t>
      </w:r>
    </w:p>
    <w:p w14:paraId="376F3451">
      <w:pPr>
        <w:spacing w:line="360" w:lineRule="auto"/>
        <w:ind w:firstLine="470" w:firstLineChars="196"/>
        <w:rPr>
          <w:rFonts w:ascii="仿宋" w:hAnsi="仿宋" w:eastAsia="仿宋" w:cs="仿宋"/>
          <w:sz w:val="24"/>
        </w:rPr>
      </w:pPr>
      <w:r>
        <w:rPr>
          <w:rFonts w:hint="eastAsia" w:ascii="仿宋" w:hAnsi="仿宋" w:eastAsia="仿宋" w:cs="仿宋"/>
          <w:sz w:val="24"/>
        </w:rPr>
        <w:t>8.1及时响应甲方提出的技术、服务支持要求。</w:t>
      </w:r>
    </w:p>
    <w:p w14:paraId="0E67363D">
      <w:pPr>
        <w:spacing w:line="360" w:lineRule="auto"/>
        <w:ind w:firstLine="470" w:firstLineChars="196"/>
        <w:rPr>
          <w:rFonts w:ascii="仿宋" w:hAnsi="仿宋" w:eastAsia="仿宋" w:cs="仿宋"/>
          <w:sz w:val="24"/>
        </w:rPr>
      </w:pPr>
      <w:r>
        <w:rPr>
          <w:rFonts w:hint="eastAsia" w:ascii="仿宋" w:hAnsi="仿宋" w:eastAsia="仿宋" w:cs="仿宋"/>
          <w:sz w:val="24"/>
        </w:rPr>
        <w:t>8.2项目进行过程中，乙方项目总监和专业监理工程师如需更换，必须向甲方提交书面报告，经同意后方可更换。</w:t>
      </w:r>
    </w:p>
    <w:p w14:paraId="643D4E7E">
      <w:pPr>
        <w:spacing w:line="360" w:lineRule="auto"/>
        <w:ind w:firstLine="470" w:firstLineChars="196"/>
        <w:rPr>
          <w:rFonts w:ascii="仿宋" w:hAnsi="仿宋" w:eastAsia="仿宋" w:cs="仿宋"/>
          <w:sz w:val="24"/>
        </w:rPr>
      </w:pPr>
      <w:r>
        <w:rPr>
          <w:rFonts w:hint="eastAsia" w:ascii="仿宋" w:hAnsi="仿宋" w:eastAsia="仿宋" w:cs="仿宋"/>
          <w:sz w:val="24"/>
        </w:rPr>
        <w:t>8.3完成本合同规定的工作内容，在约定期限内将全部合格成果提交甲方。</w:t>
      </w:r>
    </w:p>
    <w:p w14:paraId="61F0DBF2">
      <w:pPr>
        <w:spacing w:line="360" w:lineRule="auto"/>
        <w:ind w:firstLine="470" w:firstLineChars="196"/>
        <w:rPr>
          <w:rFonts w:ascii="仿宋" w:hAnsi="仿宋" w:eastAsia="仿宋" w:cs="仿宋"/>
          <w:sz w:val="24"/>
        </w:rPr>
      </w:pPr>
      <w:r>
        <w:rPr>
          <w:rFonts w:hint="eastAsia" w:ascii="仿宋" w:hAnsi="仿宋" w:eastAsia="仿宋" w:cs="仿宋"/>
          <w:sz w:val="24"/>
        </w:rPr>
        <w:t>8.4本项目所有资料、成果的所有权归甲方。乙方对本项目所有的成果资料具有保密的义务，未经甲方允许不得以任何形式向第三方提供和泄露，不得利用本项目成果资料生产其它任何形式的产品，本项目终止时应将所有资料交给甲方，不得做任何形式的保留。</w:t>
      </w:r>
    </w:p>
    <w:p w14:paraId="0B462CF4">
      <w:pPr>
        <w:spacing w:line="360" w:lineRule="auto"/>
        <w:ind w:firstLine="470" w:firstLineChars="196"/>
        <w:rPr>
          <w:rFonts w:ascii="仿宋" w:hAnsi="仿宋" w:eastAsia="仿宋" w:cs="仿宋"/>
          <w:sz w:val="24"/>
        </w:rPr>
      </w:pPr>
      <w:r>
        <w:rPr>
          <w:rFonts w:hint="eastAsia" w:ascii="仿宋" w:hAnsi="仿宋" w:eastAsia="仿宋" w:cs="仿宋"/>
          <w:sz w:val="24"/>
        </w:rPr>
        <w:t>8.5乙方承担其人员、设备及其它全部安全责任。</w:t>
      </w:r>
    </w:p>
    <w:p w14:paraId="40C92956">
      <w:pPr>
        <w:spacing w:line="360" w:lineRule="auto"/>
        <w:ind w:firstLine="470" w:firstLineChars="196"/>
        <w:rPr>
          <w:rFonts w:ascii="仿宋" w:hAnsi="仿宋" w:eastAsia="仿宋" w:cs="仿宋"/>
          <w:sz w:val="24"/>
        </w:rPr>
      </w:pPr>
      <w:r>
        <w:rPr>
          <w:rFonts w:hint="eastAsia" w:ascii="仿宋" w:hAnsi="仿宋" w:eastAsia="仿宋" w:cs="仿宋"/>
          <w:sz w:val="24"/>
        </w:rPr>
        <w:t>8.6根据约定条款向甲方收取服务费用。</w:t>
      </w:r>
    </w:p>
    <w:p w14:paraId="0AF0AE93">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9.甲乙双方违约责任</w:t>
      </w:r>
    </w:p>
    <w:p w14:paraId="04143300">
      <w:pPr>
        <w:spacing w:line="360" w:lineRule="auto"/>
        <w:ind w:firstLine="470" w:firstLineChars="196"/>
        <w:rPr>
          <w:rFonts w:ascii="仿宋" w:hAnsi="仿宋" w:eastAsia="仿宋" w:cs="仿宋"/>
          <w:sz w:val="24"/>
        </w:rPr>
      </w:pPr>
      <w:r>
        <w:rPr>
          <w:rFonts w:hint="eastAsia" w:ascii="仿宋" w:hAnsi="仿宋" w:eastAsia="仿宋" w:cs="仿宋"/>
          <w:sz w:val="24"/>
        </w:rPr>
        <w:t>9.1甲乙双方必须遵守本合同并执行合同中的各项规定，保证本合同的正常履行。</w:t>
      </w:r>
    </w:p>
    <w:p w14:paraId="578BDFC4">
      <w:pPr>
        <w:spacing w:line="360" w:lineRule="auto"/>
        <w:ind w:firstLine="470" w:firstLineChars="196"/>
        <w:rPr>
          <w:rFonts w:ascii="仿宋" w:hAnsi="仿宋" w:eastAsia="仿宋" w:cs="仿宋"/>
          <w:sz w:val="24"/>
        </w:rPr>
      </w:pPr>
      <w:r>
        <w:rPr>
          <w:rFonts w:hint="eastAsia" w:ascii="仿宋" w:hAnsi="仿宋" w:eastAsia="仿宋" w:cs="仿宋"/>
          <w:sz w:val="24"/>
        </w:rPr>
        <w:t>9.2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B33B050">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10.合同的变更和修改、中止和终止</w:t>
      </w:r>
    </w:p>
    <w:p w14:paraId="761792B7">
      <w:pPr>
        <w:spacing w:line="360" w:lineRule="auto"/>
        <w:ind w:firstLine="470" w:firstLineChars="196"/>
        <w:rPr>
          <w:rFonts w:ascii="仿宋" w:hAnsi="仿宋" w:eastAsia="仿宋" w:cs="仿宋"/>
          <w:sz w:val="24"/>
        </w:rPr>
      </w:pPr>
      <w:r>
        <w:rPr>
          <w:rFonts w:hint="eastAsia" w:ascii="仿宋" w:hAnsi="仿宋" w:eastAsia="仿宋" w:cs="仿宋"/>
          <w:sz w:val="24"/>
        </w:rPr>
        <w:t>10.1本合同一经生效，合同双方均不得擅自对本合同的内容（包括附件）作任何单方的修改。但任何一方均可以对合同内容以书面形式提出变更、修改、取消或补充的建议，经双方同意后，由双方法人代表或委托代理人（须经法定代表人书面授权委托）签字后生效。</w:t>
      </w:r>
    </w:p>
    <w:p w14:paraId="170134B7">
      <w:pPr>
        <w:spacing w:line="360" w:lineRule="auto"/>
        <w:ind w:firstLine="470" w:firstLineChars="196"/>
        <w:rPr>
          <w:rFonts w:ascii="仿宋" w:hAnsi="仿宋" w:eastAsia="仿宋" w:cs="仿宋"/>
          <w:sz w:val="24"/>
        </w:rPr>
      </w:pPr>
      <w:r>
        <w:rPr>
          <w:rFonts w:hint="eastAsia" w:ascii="仿宋" w:hAnsi="仿宋" w:eastAsia="仿宋" w:cs="仿宋"/>
          <w:sz w:val="24"/>
        </w:rPr>
        <w:t>10.2如果甲方认定乙方在执行合同中有腐败或欺诈行为，有权在任何时候发出书面通知终止合同，并不承担任何责任。</w:t>
      </w:r>
    </w:p>
    <w:p w14:paraId="7E449F74">
      <w:pPr>
        <w:spacing w:line="360" w:lineRule="auto"/>
        <w:ind w:firstLine="470" w:firstLineChars="196"/>
        <w:rPr>
          <w:rFonts w:ascii="仿宋" w:hAnsi="仿宋" w:eastAsia="仿宋" w:cs="仿宋"/>
          <w:sz w:val="24"/>
        </w:rPr>
      </w:pPr>
      <w:r>
        <w:rPr>
          <w:rFonts w:hint="eastAsia" w:ascii="仿宋" w:hAnsi="仿宋" w:eastAsia="仿宋" w:cs="仿宋"/>
          <w:sz w:val="24"/>
        </w:rPr>
        <w:t>10.3甲方因乙方不履约或乙方其他原因而解除合同的，乙方须返还甲方所有已付款项、赔偿甲方由此产生的损失并承担其他相关责任。</w:t>
      </w:r>
    </w:p>
    <w:p w14:paraId="741C4D4D">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11.不可抗力</w:t>
      </w:r>
    </w:p>
    <w:p w14:paraId="584752AA">
      <w:pPr>
        <w:spacing w:line="360" w:lineRule="auto"/>
        <w:ind w:firstLine="470" w:firstLineChars="196"/>
        <w:rPr>
          <w:rFonts w:ascii="仿宋" w:hAnsi="仿宋" w:eastAsia="仿宋" w:cs="仿宋"/>
          <w:sz w:val="24"/>
        </w:rPr>
      </w:pPr>
      <w:r>
        <w:rPr>
          <w:rFonts w:hint="eastAsia" w:ascii="仿宋" w:hAnsi="仿宋" w:eastAsia="仿宋" w:cs="仿宋"/>
          <w:sz w:val="24"/>
        </w:rPr>
        <w:t>11.1不可抗力是指合同签字后发生的非甲乙双方所能控制的、并非合同方过失的、无法中止的、不能预防的事件。合同双方中的任何一方，由于不可抗力事件而影响合同义务的执行时，则延迟履行合同义务的期限相当于不可抗力事件影响的时间，但是不能因为不可抗力的延迟而调整合同价格。</w:t>
      </w:r>
    </w:p>
    <w:p w14:paraId="2BDC1374">
      <w:pPr>
        <w:spacing w:line="360" w:lineRule="auto"/>
        <w:ind w:firstLine="470" w:firstLineChars="196"/>
        <w:rPr>
          <w:rFonts w:ascii="仿宋" w:hAnsi="仿宋" w:eastAsia="仿宋" w:cs="仿宋"/>
          <w:sz w:val="24"/>
        </w:rPr>
      </w:pPr>
      <w:r>
        <w:rPr>
          <w:rFonts w:hint="eastAsia" w:ascii="仿宋" w:hAnsi="仿宋" w:eastAsia="仿宋" w:cs="仿宋"/>
          <w:sz w:val="24"/>
        </w:rPr>
        <w:t>11.2受到不可抗力影响的一方应在不可抗力事故发生后，尽快将所发生的不可抗力事件的情况以传真或电报通知另一方，并尽快取得另一方审阅确认，受影响的一方同时应尽量设法缩小这种影响和由此而引起的延误，一旦不可抗力的影响消除后，应将此情况立即通知对方。</w:t>
      </w:r>
    </w:p>
    <w:p w14:paraId="1CDFB2B6">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12.争议的解决方式</w:t>
      </w:r>
    </w:p>
    <w:p w14:paraId="37D76B9A">
      <w:pPr>
        <w:spacing w:line="360" w:lineRule="auto"/>
        <w:ind w:firstLine="470" w:firstLineChars="196"/>
        <w:rPr>
          <w:rFonts w:ascii="仿宋" w:hAnsi="仿宋" w:eastAsia="仿宋" w:cs="仿宋"/>
          <w:sz w:val="24"/>
        </w:rPr>
      </w:pPr>
      <w:r>
        <w:rPr>
          <w:rFonts w:hint="eastAsia" w:ascii="仿宋" w:hAnsi="仿宋" w:eastAsia="仿宋" w:cs="仿宋"/>
          <w:sz w:val="24"/>
        </w:rPr>
        <w:t>12.1本合同适用法律为中华人民共和国法律。</w:t>
      </w:r>
    </w:p>
    <w:p w14:paraId="22068AAD">
      <w:pPr>
        <w:spacing w:line="360" w:lineRule="auto"/>
        <w:ind w:firstLine="470" w:firstLineChars="196"/>
        <w:rPr>
          <w:rFonts w:ascii="仿宋" w:hAnsi="仿宋" w:eastAsia="仿宋" w:cs="仿宋"/>
          <w:sz w:val="24"/>
        </w:rPr>
      </w:pPr>
      <w:r>
        <w:rPr>
          <w:rFonts w:hint="eastAsia" w:ascii="仿宋" w:hAnsi="仿宋" w:eastAsia="仿宋" w:cs="仿宋"/>
          <w:sz w:val="24"/>
        </w:rPr>
        <w:t>12.2凡与本合同有关的一切争议，甲乙双方应通过友好协商解决。如经协商后仍不能达成协议时，任何一方都有权向甲方所在地人民法院提起诉讼。</w:t>
      </w:r>
    </w:p>
    <w:p w14:paraId="7198EE7C">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13.合同生效及其它事项</w:t>
      </w:r>
    </w:p>
    <w:p w14:paraId="6551FB28">
      <w:pPr>
        <w:spacing w:line="360" w:lineRule="auto"/>
        <w:ind w:firstLine="470" w:firstLineChars="196"/>
        <w:rPr>
          <w:rFonts w:ascii="仿宋" w:hAnsi="仿宋" w:eastAsia="仿宋" w:cs="仿宋"/>
          <w:sz w:val="24"/>
        </w:rPr>
      </w:pPr>
      <w:r>
        <w:rPr>
          <w:rFonts w:hint="eastAsia" w:ascii="仿宋" w:hAnsi="仿宋" w:eastAsia="仿宋" w:cs="仿宋"/>
          <w:sz w:val="24"/>
        </w:rPr>
        <w:t>13.1本合同经双方法定代表人或授权代表签字、盖章后生效。本合同壹式</w:t>
      </w:r>
      <w:r>
        <w:rPr>
          <w:rFonts w:hint="eastAsia" w:ascii="仿宋" w:hAnsi="仿宋" w:eastAsia="仿宋" w:cs="仿宋"/>
          <w:sz w:val="24"/>
          <w:u w:val="single"/>
        </w:rPr>
        <w:t>陆</w:t>
      </w:r>
      <w:r>
        <w:rPr>
          <w:rFonts w:hint="eastAsia" w:ascii="仿宋" w:hAnsi="仿宋" w:eastAsia="仿宋" w:cs="仿宋"/>
          <w:sz w:val="24"/>
        </w:rPr>
        <w:t>份，甲方</w:t>
      </w:r>
      <w:r>
        <w:rPr>
          <w:rFonts w:hint="eastAsia" w:ascii="仿宋" w:hAnsi="仿宋" w:eastAsia="仿宋" w:cs="仿宋"/>
          <w:sz w:val="24"/>
          <w:u w:val="single"/>
        </w:rPr>
        <w:t>叁</w:t>
      </w:r>
      <w:r>
        <w:rPr>
          <w:rFonts w:hint="eastAsia" w:ascii="仿宋" w:hAnsi="仿宋" w:eastAsia="仿宋" w:cs="仿宋"/>
          <w:sz w:val="24"/>
        </w:rPr>
        <w:t>份，乙方</w:t>
      </w:r>
      <w:r>
        <w:rPr>
          <w:rFonts w:hint="eastAsia" w:ascii="仿宋" w:hAnsi="仿宋" w:eastAsia="仿宋" w:cs="仿宋"/>
          <w:sz w:val="24"/>
          <w:u w:val="single"/>
        </w:rPr>
        <w:t>叁</w:t>
      </w:r>
      <w:r>
        <w:rPr>
          <w:rFonts w:hint="eastAsia" w:ascii="仿宋" w:hAnsi="仿宋" w:eastAsia="仿宋" w:cs="仿宋"/>
          <w:sz w:val="24"/>
        </w:rPr>
        <w:t>份，具有同等法律效力。</w:t>
      </w:r>
    </w:p>
    <w:p w14:paraId="2D339964">
      <w:pPr>
        <w:spacing w:line="360" w:lineRule="auto"/>
        <w:ind w:firstLine="470" w:firstLineChars="196"/>
        <w:rPr>
          <w:rFonts w:ascii="仿宋" w:hAnsi="仿宋" w:eastAsia="仿宋" w:cs="仿宋"/>
          <w:sz w:val="24"/>
        </w:rPr>
      </w:pPr>
      <w:r>
        <w:rPr>
          <w:rFonts w:hint="eastAsia" w:ascii="仿宋" w:hAnsi="仿宋" w:eastAsia="仿宋" w:cs="仿宋"/>
          <w:sz w:val="24"/>
        </w:rPr>
        <w:t>13.2本合同未尽事宜两方另行协商，并以经两方协商后形成的有关补充协议为准。</w:t>
      </w:r>
    </w:p>
    <w:tbl>
      <w:tblPr>
        <w:tblStyle w:val="9"/>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36"/>
        <w:gridCol w:w="4384"/>
      </w:tblGrid>
      <w:tr w14:paraId="378F6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tcPr>
          <w:p w14:paraId="57DFABB6">
            <w:pPr>
              <w:spacing w:line="360" w:lineRule="auto"/>
              <w:jc w:val="left"/>
              <w:rPr>
                <w:rFonts w:ascii="仿宋" w:hAnsi="仿宋" w:eastAsia="仿宋" w:cs="仿宋"/>
                <w:kern w:val="0"/>
                <w:sz w:val="24"/>
              </w:rPr>
            </w:pPr>
            <w:r>
              <w:rPr>
                <w:rFonts w:hint="eastAsia" w:ascii="仿宋" w:hAnsi="仿宋" w:eastAsia="仿宋" w:cs="仿宋"/>
                <w:bCs/>
                <w:kern w:val="0"/>
                <w:sz w:val="24"/>
              </w:rPr>
              <w:t>甲 方</w:t>
            </w:r>
            <w:r>
              <w:rPr>
                <w:rFonts w:hint="eastAsia" w:ascii="仿宋" w:hAnsi="仿宋" w:eastAsia="仿宋" w:cs="仿宋"/>
                <w:kern w:val="0"/>
                <w:sz w:val="24"/>
              </w:rPr>
              <w:t>:(公章)</w:t>
            </w:r>
          </w:p>
        </w:tc>
        <w:tc>
          <w:tcPr>
            <w:tcW w:w="2572" w:type="pct"/>
          </w:tcPr>
          <w:p w14:paraId="580A022B">
            <w:pPr>
              <w:spacing w:line="360" w:lineRule="auto"/>
              <w:ind w:firstLine="2"/>
              <w:rPr>
                <w:rFonts w:ascii="仿宋" w:hAnsi="仿宋" w:eastAsia="仿宋" w:cs="仿宋"/>
                <w:kern w:val="0"/>
                <w:sz w:val="24"/>
              </w:rPr>
            </w:pPr>
            <w:r>
              <w:rPr>
                <w:rFonts w:hint="eastAsia" w:ascii="仿宋" w:hAnsi="仿宋" w:eastAsia="仿宋" w:cs="仿宋"/>
                <w:bCs/>
                <w:kern w:val="0"/>
                <w:sz w:val="24"/>
              </w:rPr>
              <w:t>乙 方:(公章)</w:t>
            </w:r>
          </w:p>
        </w:tc>
      </w:tr>
      <w:tr w14:paraId="76998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tcPr>
          <w:p w14:paraId="5ABDC4BB">
            <w:pPr>
              <w:spacing w:line="360" w:lineRule="auto"/>
              <w:jc w:val="left"/>
              <w:rPr>
                <w:rFonts w:ascii="仿宋" w:hAnsi="仿宋" w:eastAsia="仿宋" w:cs="仿宋"/>
                <w:kern w:val="0"/>
                <w:sz w:val="24"/>
              </w:rPr>
            </w:pPr>
            <w:r>
              <w:rPr>
                <w:rFonts w:hint="eastAsia" w:ascii="仿宋" w:hAnsi="仿宋" w:eastAsia="仿宋" w:cs="仿宋"/>
                <w:kern w:val="0"/>
                <w:sz w:val="24"/>
              </w:rPr>
              <w:t>法定代表人(委托代理人)：</w:t>
            </w:r>
          </w:p>
        </w:tc>
        <w:tc>
          <w:tcPr>
            <w:tcW w:w="2572" w:type="pct"/>
          </w:tcPr>
          <w:p w14:paraId="32AE84EA">
            <w:pPr>
              <w:spacing w:line="360" w:lineRule="auto"/>
              <w:ind w:firstLine="2"/>
              <w:rPr>
                <w:rFonts w:ascii="仿宋" w:hAnsi="仿宋" w:eastAsia="仿宋" w:cs="仿宋"/>
                <w:kern w:val="0"/>
                <w:sz w:val="24"/>
              </w:rPr>
            </w:pPr>
            <w:r>
              <w:rPr>
                <w:rFonts w:hint="eastAsia" w:ascii="仿宋" w:hAnsi="仿宋" w:eastAsia="仿宋" w:cs="仿宋"/>
                <w:kern w:val="0"/>
                <w:sz w:val="24"/>
                <w:lang w:eastAsia="en-US"/>
              </w:rPr>
              <w:t>法定代表人</w:t>
            </w:r>
            <w:r>
              <w:rPr>
                <w:rFonts w:hint="eastAsia" w:ascii="仿宋" w:hAnsi="仿宋" w:eastAsia="仿宋" w:cs="仿宋"/>
                <w:kern w:val="0"/>
                <w:sz w:val="24"/>
              </w:rPr>
              <w:t>(委托代理人)</w:t>
            </w:r>
            <w:r>
              <w:rPr>
                <w:rFonts w:hint="eastAsia" w:ascii="仿宋" w:hAnsi="仿宋" w:eastAsia="仿宋" w:cs="仿宋"/>
                <w:kern w:val="0"/>
                <w:sz w:val="24"/>
                <w:lang w:eastAsia="en-US"/>
              </w:rPr>
              <w:t>：</w:t>
            </w:r>
          </w:p>
        </w:tc>
      </w:tr>
      <w:tr w14:paraId="1C49A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6C4C6838">
            <w:pPr>
              <w:spacing w:line="360" w:lineRule="auto"/>
              <w:rPr>
                <w:rFonts w:ascii="仿宋" w:hAnsi="仿宋" w:eastAsia="仿宋" w:cs="仿宋"/>
                <w:kern w:val="0"/>
                <w:sz w:val="24"/>
              </w:rPr>
            </w:pPr>
            <w:r>
              <w:rPr>
                <w:rFonts w:hint="eastAsia" w:ascii="仿宋" w:hAnsi="仿宋" w:eastAsia="仿宋" w:cs="仿宋"/>
                <w:kern w:val="0"/>
                <w:sz w:val="24"/>
              </w:rPr>
              <w:t>地 址：</w:t>
            </w:r>
          </w:p>
        </w:tc>
        <w:tc>
          <w:tcPr>
            <w:tcW w:w="2572" w:type="pct"/>
            <w:vAlign w:val="center"/>
          </w:tcPr>
          <w:p w14:paraId="47669FA9">
            <w:pPr>
              <w:spacing w:line="360" w:lineRule="auto"/>
              <w:ind w:firstLine="2"/>
              <w:rPr>
                <w:rFonts w:ascii="仿宋" w:hAnsi="仿宋" w:eastAsia="仿宋" w:cs="仿宋"/>
                <w:kern w:val="0"/>
                <w:sz w:val="24"/>
              </w:rPr>
            </w:pPr>
            <w:r>
              <w:rPr>
                <w:rFonts w:hint="eastAsia" w:ascii="仿宋" w:hAnsi="仿宋" w:eastAsia="仿宋" w:cs="仿宋"/>
                <w:kern w:val="0"/>
                <w:sz w:val="24"/>
              </w:rPr>
              <w:t>地 址：</w:t>
            </w:r>
          </w:p>
        </w:tc>
      </w:tr>
      <w:tr w14:paraId="35E6A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15C50616">
            <w:pPr>
              <w:spacing w:line="360" w:lineRule="auto"/>
              <w:rPr>
                <w:rFonts w:ascii="仿宋" w:hAnsi="仿宋" w:eastAsia="仿宋" w:cs="仿宋"/>
                <w:kern w:val="0"/>
                <w:sz w:val="24"/>
              </w:rPr>
            </w:pPr>
            <w:r>
              <w:rPr>
                <w:rFonts w:hint="eastAsia" w:ascii="仿宋" w:hAnsi="仿宋" w:eastAsia="仿宋" w:cs="仿宋"/>
                <w:kern w:val="0"/>
                <w:sz w:val="24"/>
              </w:rPr>
              <w:t>邮政编码：</w:t>
            </w:r>
          </w:p>
        </w:tc>
        <w:tc>
          <w:tcPr>
            <w:tcW w:w="2572" w:type="pct"/>
            <w:vAlign w:val="center"/>
          </w:tcPr>
          <w:p w14:paraId="0ED1868A">
            <w:pPr>
              <w:spacing w:line="360" w:lineRule="auto"/>
              <w:ind w:firstLine="2"/>
              <w:rPr>
                <w:rFonts w:ascii="仿宋" w:hAnsi="仿宋" w:eastAsia="仿宋" w:cs="仿宋"/>
                <w:kern w:val="0"/>
                <w:sz w:val="24"/>
              </w:rPr>
            </w:pPr>
            <w:r>
              <w:rPr>
                <w:rFonts w:hint="eastAsia" w:ascii="仿宋" w:hAnsi="仿宋" w:eastAsia="仿宋" w:cs="仿宋"/>
                <w:kern w:val="0"/>
                <w:sz w:val="24"/>
              </w:rPr>
              <w:t>邮政编码：</w:t>
            </w:r>
          </w:p>
        </w:tc>
      </w:tr>
      <w:tr w14:paraId="3A7AF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77901189">
            <w:pPr>
              <w:spacing w:line="360" w:lineRule="auto"/>
              <w:rPr>
                <w:rFonts w:ascii="仿宋" w:hAnsi="仿宋" w:eastAsia="仿宋" w:cs="仿宋"/>
                <w:kern w:val="0"/>
                <w:sz w:val="24"/>
              </w:rPr>
            </w:pPr>
            <w:r>
              <w:rPr>
                <w:rFonts w:hint="eastAsia" w:ascii="仿宋" w:hAnsi="仿宋" w:eastAsia="仿宋" w:cs="仿宋"/>
                <w:kern w:val="0"/>
                <w:sz w:val="24"/>
              </w:rPr>
              <w:t>电 话：</w:t>
            </w:r>
          </w:p>
        </w:tc>
        <w:tc>
          <w:tcPr>
            <w:tcW w:w="2572" w:type="pct"/>
            <w:vAlign w:val="center"/>
          </w:tcPr>
          <w:p w14:paraId="48AAE4B8">
            <w:pPr>
              <w:spacing w:line="360" w:lineRule="auto"/>
              <w:ind w:firstLine="2"/>
              <w:rPr>
                <w:rFonts w:ascii="仿宋" w:hAnsi="仿宋" w:eastAsia="仿宋" w:cs="仿宋"/>
                <w:kern w:val="0"/>
                <w:sz w:val="24"/>
              </w:rPr>
            </w:pPr>
            <w:r>
              <w:rPr>
                <w:rFonts w:hint="eastAsia" w:ascii="仿宋" w:hAnsi="仿宋" w:eastAsia="仿宋" w:cs="仿宋"/>
                <w:kern w:val="0"/>
                <w:sz w:val="24"/>
              </w:rPr>
              <w:t>电 话：</w:t>
            </w:r>
          </w:p>
        </w:tc>
      </w:tr>
      <w:tr w14:paraId="33E7A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57F648DA">
            <w:pPr>
              <w:spacing w:line="360" w:lineRule="auto"/>
              <w:rPr>
                <w:rFonts w:ascii="仿宋" w:hAnsi="仿宋" w:eastAsia="仿宋" w:cs="仿宋"/>
                <w:kern w:val="0"/>
                <w:sz w:val="24"/>
              </w:rPr>
            </w:pPr>
            <w:r>
              <w:rPr>
                <w:rFonts w:hint="eastAsia" w:ascii="仿宋" w:hAnsi="仿宋" w:eastAsia="仿宋" w:cs="仿宋"/>
                <w:kern w:val="0"/>
                <w:sz w:val="24"/>
              </w:rPr>
              <w:t>开户银行：</w:t>
            </w:r>
          </w:p>
        </w:tc>
        <w:tc>
          <w:tcPr>
            <w:tcW w:w="2572" w:type="pct"/>
            <w:vAlign w:val="center"/>
          </w:tcPr>
          <w:p w14:paraId="5C99EC3C">
            <w:pPr>
              <w:spacing w:line="360" w:lineRule="auto"/>
              <w:ind w:firstLine="2"/>
              <w:rPr>
                <w:rFonts w:ascii="仿宋" w:hAnsi="仿宋" w:eastAsia="仿宋" w:cs="仿宋"/>
                <w:kern w:val="0"/>
                <w:sz w:val="24"/>
              </w:rPr>
            </w:pPr>
            <w:r>
              <w:rPr>
                <w:rFonts w:hint="eastAsia" w:ascii="仿宋" w:hAnsi="仿宋" w:eastAsia="仿宋" w:cs="仿宋"/>
                <w:kern w:val="0"/>
                <w:sz w:val="24"/>
              </w:rPr>
              <w:t>开户银行：</w:t>
            </w:r>
          </w:p>
        </w:tc>
      </w:tr>
      <w:tr w14:paraId="0D47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63B90852">
            <w:pPr>
              <w:spacing w:line="360" w:lineRule="auto"/>
              <w:rPr>
                <w:rFonts w:ascii="仿宋" w:hAnsi="仿宋" w:eastAsia="仿宋" w:cs="仿宋"/>
                <w:kern w:val="0"/>
                <w:sz w:val="24"/>
              </w:rPr>
            </w:pPr>
            <w:r>
              <w:rPr>
                <w:rFonts w:hint="eastAsia" w:ascii="仿宋" w:hAnsi="仿宋" w:eastAsia="仿宋" w:cs="仿宋"/>
                <w:kern w:val="0"/>
                <w:sz w:val="24"/>
              </w:rPr>
              <w:t>账号：</w:t>
            </w:r>
          </w:p>
        </w:tc>
        <w:tc>
          <w:tcPr>
            <w:tcW w:w="2572" w:type="pct"/>
            <w:vAlign w:val="center"/>
          </w:tcPr>
          <w:p w14:paraId="3D3134C8">
            <w:pPr>
              <w:spacing w:line="360" w:lineRule="auto"/>
              <w:ind w:firstLine="2"/>
              <w:rPr>
                <w:rFonts w:ascii="仿宋" w:hAnsi="仿宋" w:eastAsia="仿宋" w:cs="仿宋"/>
                <w:kern w:val="0"/>
                <w:sz w:val="24"/>
              </w:rPr>
            </w:pPr>
            <w:r>
              <w:rPr>
                <w:rFonts w:hint="eastAsia" w:ascii="仿宋" w:hAnsi="仿宋" w:eastAsia="仿宋" w:cs="仿宋"/>
                <w:kern w:val="0"/>
                <w:sz w:val="24"/>
              </w:rPr>
              <w:t>账号：</w:t>
            </w:r>
          </w:p>
        </w:tc>
      </w:tr>
      <w:tr w14:paraId="7E58B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5000" w:type="pct"/>
            <w:gridSpan w:val="2"/>
          </w:tcPr>
          <w:p w14:paraId="3152CE29">
            <w:pPr>
              <w:spacing w:line="360" w:lineRule="auto"/>
              <w:ind w:firstLine="1440" w:firstLineChars="600"/>
              <w:jc w:val="left"/>
              <w:rPr>
                <w:rFonts w:ascii="仿宋" w:hAnsi="仿宋" w:eastAsia="仿宋" w:cs="仿宋"/>
                <w:kern w:val="0"/>
                <w:sz w:val="24"/>
              </w:rPr>
            </w:pPr>
            <w:r>
              <w:rPr>
                <w:rFonts w:hint="eastAsia" w:ascii="仿宋" w:hAnsi="仿宋" w:eastAsia="仿宋" w:cs="仿宋"/>
                <w:kern w:val="0"/>
                <w:sz w:val="24"/>
              </w:rPr>
              <w:t>合同订立日期：     年    月    日</w:t>
            </w:r>
          </w:p>
        </w:tc>
      </w:tr>
    </w:tbl>
    <w:p w14:paraId="602B0E55">
      <w:pPr>
        <w:pStyle w:val="7"/>
        <w:rPr>
          <w:rFonts w:hint="default"/>
        </w:rPr>
      </w:pPr>
    </w:p>
    <w:p w14:paraId="3861D834">
      <w:pPr>
        <w:rPr>
          <w:rFonts w:hint="default"/>
        </w:rPr>
      </w:pPr>
      <w:bookmarkStart w:id="0" w:name="_GoBack"/>
      <w:bookmarkEnd w:id="0"/>
      <w:r>
        <w:rPr>
          <w:rFonts w:hint="default"/>
        </w:rPr>
        <w:br w:type="page"/>
      </w:r>
    </w:p>
    <w:p w14:paraId="6B6FB388">
      <w:pPr>
        <w:jc w:val="both"/>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附件1：</w:t>
      </w:r>
    </w:p>
    <w:p w14:paraId="68C11081">
      <w:pPr>
        <w:jc w:val="center"/>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西安市12345热线大模型智能化提升建设项目全过程监理服务绩效评价考核方案</w:t>
      </w:r>
    </w:p>
    <w:p w14:paraId="2B8337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一、考核目的</w:t>
      </w:r>
    </w:p>
    <w:p w14:paraId="3FBA7C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此次绩效评价考核目的是为了科学、公平、公正的评估“西安市12345热线大模型智能化提升建设项目全过程监理服务”交付实施的完整度、交付质量、交付效果。按照考核标准在履约验收时对中标方的服务进行考核，并按照考核结果支付项目尾款，项目服务期内共考核一次。</w:t>
      </w:r>
    </w:p>
    <w:p w14:paraId="4C5462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二、考核标准</w:t>
      </w:r>
    </w:p>
    <w:p w14:paraId="680A9E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本次绩效评价考核从人员服务，进度管理，项目变更管控，成果交付，协调、文档、安全管理，验收配合等6个维度进行评价，总分值为100分。</w:t>
      </w:r>
    </w:p>
    <w:p w14:paraId="1D70AD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绩效评价考核标准如下所示：</w:t>
      </w:r>
    </w:p>
    <w:tbl>
      <w:tblPr>
        <w:tblStyle w:val="5"/>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1056"/>
        <w:gridCol w:w="3727"/>
        <w:gridCol w:w="1916"/>
        <w:gridCol w:w="831"/>
      </w:tblGrid>
      <w:tr w14:paraId="16C3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blHeader/>
          <w:jc w:val="center"/>
        </w:trPr>
        <w:tc>
          <w:tcPr>
            <w:tcW w:w="989" w:type="dxa"/>
            <w:shd w:val="clear" w:color="auto" w:fill="D8D8D8"/>
            <w:noWrap w:val="0"/>
            <w:vAlign w:val="center"/>
          </w:tcPr>
          <w:p w14:paraId="596EA53C">
            <w:pPr>
              <w:widowControl/>
              <w:jc w:val="cente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序号</w:t>
            </w:r>
          </w:p>
        </w:tc>
        <w:tc>
          <w:tcPr>
            <w:tcW w:w="1056" w:type="dxa"/>
            <w:shd w:val="clear" w:color="auto" w:fill="D8D8D8"/>
            <w:noWrap w:val="0"/>
            <w:vAlign w:val="center"/>
          </w:tcPr>
          <w:p w14:paraId="6F090C2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评价</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指标</w:t>
            </w:r>
          </w:p>
        </w:tc>
        <w:tc>
          <w:tcPr>
            <w:tcW w:w="3727" w:type="dxa"/>
            <w:shd w:val="clear" w:color="auto" w:fill="D8D8D8"/>
            <w:noWrap w:val="0"/>
            <w:vAlign w:val="center"/>
          </w:tcPr>
          <w:p w14:paraId="7A4AC2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指标明细</w:t>
            </w:r>
          </w:p>
        </w:tc>
        <w:tc>
          <w:tcPr>
            <w:tcW w:w="1916" w:type="dxa"/>
            <w:shd w:val="clear" w:color="auto" w:fill="D8D8D8"/>
            <w:noWrap w:val="0"/>
            <w:vAlign w:val="center"/>
          </w:tcPr>
          <w:p w14:paraId="1E7D08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分值范围</w:t>
            </w:r>
          </w:p>
        </w:tc>
        <w:tc>
          <w:tcPr>
            <w:tcW w:w="831" w:type="dxa"/>
            <w:shd w:val="clear" w:color="auto" w:fill="D8D8D8"/>
            <w:noWrap w:val="0"/>
            <w:vAlign w:val="center"/>
          </w:tcPr>
          <w:p w14:paraId="0C34D02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指标</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得分</w:t>
            </w:r>
          </w:p>
        </w:tc>
      </w:tr>
      <w:tr w14:paraId="23AD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9" w:type="dxa"/>
            <w:noWrap w:val="0"/>
            <w:vAlign w:val="center"/>
          </w:tcPr>
          <w:p w14:paraId="0285FF3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056" w:type="dxa"/>
            <w:vMerge w:val="restart"/>
            <w:noWrap w:val="0"/>
            <w:vAlign w:val="top"/>
          </w:tcPr>
          <w:p w14:paraId="48B92633">
            <w:pPr>
              <w:widowControl w:val="0"/>
              <w:jc w:val="left"/>
              <w:rPr>
                <w:rFonts w:hint="eastAsia" w:ascii="仿宋" w:hAnsi="仿宋" w:eastAsia="仿宋" w:cs="仿宋"/>
                <w:sz w:val="24"/>
                <w:vertAlign w:val="baseline"/>
                <w:lang w:val="en-US" w:eastAsia="zh-CN"/>
              </w:rPr>
            </w:pPr>
          </w:p>
          <w:p w14:paraId="3860511F">
            <w:pPr>
              <w:widowControl w:val="0"/>
              <w:jc w:val="left"/>
              <w:rPr>
                <w:rFonts w:hint="eastAsia" w:ascii="仿宋" w:hAnsi="仿宋" w:eastAsia="仿宋" w:cs="仿宋"/>
                <w:sz w:val="24"/>
                <w:vertAlign w:val="baseline"/>
                <w:lang w:val="en-US" w:eastAsia="zh-CN"/>
              </w:rPr>
            </w:pPr>
          </w:p>
          <w:p w14:paraId="11A94527">
            <w:pPr>
              <w:widowControl w:val="0"/>
              <w:jc w:val="left"/>
              <w:rPr>
                <w:rFonts w:hint="eastAsia" w:ascii="仿宋" w:hAnsi="仿宋" w:eastAsia="仿宋" w:cs="仿宋"/>
                <w:sz w:val="24"/>
                <w:vertAlign w:val="baseline"/>
                <w:lang w:val="en-US" w:eastAsia="zh-CN"/>
              </w:rPr>
            </w:pPr>
          </w:p>
          <w:p w14:paraId="788B8F9C">
            <w:pPr>
              <w:widowControl w:val="0"/>
              <w:jc w:val="left"/>
              <w:rPr>
                <w:rFonts w:hint="eastAsia" w:ascii="仿宋" w:hAnsi="仿宋" w:eastAsia="仿宋" w:cs="仿宋"/>
                <w:sz w:val="24"/>
                <w:vertAlign w:val="baseline"/>
                <w:lang w:val="en-US" w:eastAsia="zh-CN"/>
              </w:rPr>
            </w:pPr>
          </w:p>
          <w:p w14:paraId="7F84924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人员服务</w:t>
            </w:r>
          </w:p>
        </w:tc>
        <w:tc>
          <w:tcPr>
            <w:tcW w:w="3727" w:type="dxa"/>
            <w:noWrap w:val="0"/>
            <w:vAlign w:val="center"/>
          </w:tcPr>
          <w:p w14:paraId="05EAF13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总监理工程师、专业监理人员资质、数量不满足磋商要求</w:t>
            </w:r>
          </w:p>
        </w:tc>
        <w:tc>
          <w:tcPr>
            <w:tcW w:w="1916" w:type="dxa"/>
            <w:noWrap w:val="0"/>
            <w:vAlign w:val="center"/>
          </w:tcPr>
          <w:p w14:paraId="0A90F44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每人次扣5分</w:t>
            </w:r>
          </w:p>
        </w:tc>
        <w:tc>
          <w:tcPr>
            <w:tcW w:w="831" w:type="dxa"/>
            <w:noWrap w:val="0"/>
            <w:vAlign w:val="center"/>
          </w:tcPr>
          <w:p w14:paraId="78C772C6">
            <w:pPr>
              <w:widowControl w:val="0"/>
              <w:jc w:val="center"/>
              <w:rPr>
                <w:rFonts w:hint="eastAsia" w:ascii="仿宋" w:hAnsi="仿宋" w:eastAsia="仿宋" w:cs="仿宋"/>
                <w:sz w:val="24"/>
                <w:vertAlign w:val="baseline"/>
              </w:rPr>
            </w:pPr>
          </w:p>
        </w:tc>
      </w:tr>
      <w:tr w14:paraId="67A6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89" w:type="dxa"/>
            <w:noWrap w:val="0"/>
            <w:vAlign w:val="center"/>
          </w:tcPr>
          <w:p w14:paraId="5B7D907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056" w:type="dxa"/>
            <w:vMerge w:val="continue"/>
            <w:noWrap w:val="0"/>
            <w:vAlign w:val="top"/>
          </w:tcPr>
          <w:p w14:paraId="1F371F4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22D871C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监理人员未常驻工作现场、关键节点缺席</w:t>
            </w:r>
          </w:p>
        </w:tc>
        <w:tc>
          <w:tcPr>
            <w:tcW w:w="1916" w:type="dxa"/>
            <w:noWrap w:val="0"/>
            <w:vAlign w:val="center"/>
          </w:tcPr>
          <w:p w14:paraId="2B9409B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单次扣4分</w:t>
            </w:r>
          </w:p>
        </w:tc>
        <w:tc>
          <w:tcPr>
            <w:tcW w:w="831" w:type="dxa"/>
            <w:noWrap w:val="0"/>
            <w:vAlign w:val="center"/>
          </w:tcPr>
          <w:p w14:paraId="1C8BC2AC">
            <w:pPr>
              <w:widowControl w:val="0"/>
              <w:jc w:val="center"/>
              <w:rPr>
                <w:rFonts w:hint="eastAsia" w:ascii="仿宋" w:hAnsi="仿宋" w:eastAsia="仿宋" w:cs="仿宋"/>
                <w:sz w:val="24"/>
                <w:vertAlign w:val="baseline"/>
              </w:rPr>
            </w:pPr>
          </w:p>
        </w:tc>
      </w:tr>
      <w:tr w14:paraId="1ECE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519BE9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056" w:type="dxa"/>
            <w:vMerge w:val="continue"/>
            <w:noWrap w:val="0"/>
            <w:vAlign w:val="top"/>
          </w:tcPr>
          <w:p w14:paraId="4FF52091">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3D4F89BB">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人员专业能力不足，无法把控大模型、政务系统建设重难点</w:t>
            </w:r>
          </w:p>
        </w:tc>
        <w:tc>
          <w:tcPr>
            <w:tcW w:w="1916" w:type="dxa"/>
            <w:noWrap w:val="0"/>
            <w:vAlign w:val="center"/>
          </w:tcPr>
          <w:p w14:paraId="12076DF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380C67C3">
            <w:pPr>
              <w:widowControl w:val="0"/>
              <w:jc w:val="center"/>
              <w:rPr>
                <w:rFonts w:hint="eastAsia" w:ascii="仿宋" w:hAnsi="仿宋" w:eastAsia="仿宋" w:cs="仿宋"/>
                <w:sz w:val="24"/>
                <w:vertAlign w:val="baseline"/>
              </w:rPr>
            </w:pPr>
          </w:p>
        </w:tc>
      </w:tr>
      <w:tr w14:paraId="4EA6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6D08A8">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056" w:type="dxa"/>
            <w:vMerge w:val="continue"/>
            <w:noWrap w:val="0"/>
            <w:vAlign w:val="top"/>
          </w:tcPr>
          <w:p w14:paraId="6250D30D">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4B448EFB">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未经甲方书面同意擅自更换总监/核心监理人员</w:t>
            </w:r>
          </w:p>
        </w:tc>
        <w:tc>
          <w:tcPr>
            <w:tcW w:w="1916" w:type="dxa"/>
            <w:noWrap w:val="0"/>
            <w:vAlign w:val="center"/>
          </w:tcPr>
          <w:p w14:paraId="0EB9321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扣6分</w:t>
            </w:r>
          </w:p>
        </w:tc>
        <w:tc>
          <w:tcPr>
            <w:tcW w:w="831" w:type="dxa"/>
            <w:noWrap w:val="0"/>
            <w:vAlign w:val="center"/>
          </w:tcPr>
          <w:p w14:paraId="42F74534">
            <w:pPr>
              <w:widowControl w:val="0"/>
              <w:jc w:val="center"/>
              <w:rPr>
                <w:rFonts w:hint="eastAsia" w:ascii="仿宋" w:hAnsi="仿宋" w:eastAsia="仿宋" w:cs="仿宋"/>
                <w:sz w:val="24"/>
                <w:vertAlign w:val="baseline"/>
              </w:rPr>
            </w:pPr>
          </w:p>
        </w:tc>
      </w:tr>
      <w:tr w14:paraId="7D70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shd w:val="clear" w:color="auto" w:fill="auto"/>
            <w:noWrap w:val="0"/>
            <w:vAlign w:val="center"/>
          </w:tcPr>
          <w:p w14:paraId="2E1E6D0C">
            <w:pPr>
              <w:widowControl w:val="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5</w:t>
            </w:r>
          </w:p>
        </w:tc>
        <w:tc>
          <w:tcPr>
            <w:tcW w:w="1056" w:type="dxa"/>
            <w:vMerge w:val="continue"/>
            <w:shd w:val="clear" w:color="auto" w:fill="auto"/>
            <w:noWrap w:val="0"/>
            <w:vAlign w:val="top"/>
          </w:tcPr>
          <w:p w14:paraId="3AF4F935">
            <w:pPr>
              <w:widowControl w:val="0"/>
              <w:jc w:val="left"/>
              <w:rPr>
                <w:rFonts w:hint="eastAsia" w:ascii="仿宋" w:hAnsi="仿宋" w:eastAsia="仿宋" w:cs="仿宋"/>
                <w:kern w:val="2"/>
                <w:sz w:val="24"/>
                <w:szCs w:val="24"/>
                <w:vertAlign w:val="baseline"/>
                <w:lang w:val="en-US" w:eastAsia="zh-CN" w:bidi="ar-SA"/>
              </w:rPr>
            </w:pPr>
          </w:p>
        </w:tc>
        <w:tc>
          <w:tcPr>
            <w:tcW w:w="3727" w:type="dxa"/>
            <w:shd w:val="clear" w:color="auto" w:fill="auto"/>
            <w:noWrap w:val="0"/>
            <w:vAlign w:val="center"/>
          </w:tcPr>
          <w:p w14:paraId="4261DFFB">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监理人员泄露项目资料、业务信息</w:t>
            </w:r>
          </w:p>
        </w:tc>
        <w:tc>
          <w:tcPr>
            <w:tcW w:w="1916" w:type="dxa"/>
            <w:shd w:val="clear" w:color="auto" w:fill="auto"/>
            <w:noWrap w:val="0"/>
            <w:vAlign w:val="center"/>
          </w:tcPr>
          <w:p w14:paraId="05F45844">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vertAlign w:val="baseline"/>
                <w:lang w:val="en-US" w:eastAsia="zh-CN"/>
              </w:rPr>
              <w:t>单次扣8分</w:t>
            </w:r>
          </w:p>
        </w:tc>
        <w:tc>
          <w:tcPr>
            <w:tcW w:w="831" w:type="dxa"/>
            <w:noWrap w:val="0"/>
            <w:vAlign w:val="center"/>
          </w:tcPr>
          <w:p w14:paraId="1DBF9B62">
            <w:pPr>
              <w:widowControl w:val="0"/>
              <w:jc w:val="center"/>
              <w:rPr>
                <w:rFonts w:hint="eastAsia" w:ascii="仿宋" w:hAnsi="仿宋" w:eastAsia="仿宋" w:cs="仿宋"/>
                <w:sz w:val="24"/>
                <w:vertAlign w:val="baseline"/>
              </w:rPr>
            </w:pPr>
          </w:p>
        </w:tc>
      </w:tr>
      <w:tr w14:paraId="6F8C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89" w:type="dxa"/>
            <w:noWrap w:val="0"/>
            <w:vAlign w:val="center"/>
          </w:tcPr>
          <w:p w14:paraId="3579ACC3">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1056" w:type="dxa"/>
            <w:vMerge w:val="restart"/>
            <w:noWrap w:val="0"/>
            <w:vAlign w:val="top"/>
          </w:tcPr>
          <w:p w14:paraId="6A349254">
            <w:pPr>
              <w:widowControl w:val="0"/>
              <w:jc w:val="left"/>
              <w:rPr>
                <w:rFonts w:hint="eastAsia" w:ascii="仿宋" w:hAnsi="仿宋" w:eastAsia="仿宋" w:cs="仿宋"/>
                <w:sz w:val="24"/>
                <w:vertAlign w:val="baseline"/>
                <w:lang w:val="en-US" w:eastAsia="zh-CN"/>
              </w:rPr>
            </w:pPr>
          </w:p>
          <w:p w14:paraId="533D79D4">
            <w:pPr>
              <w:widowControl w:val="0"/>
              <w:jc w:val="left"/>
              <w:rPr>
                <w:rFonts w:hint="eastAsia" w:ascii="仿宋" w:hAnsi="仿宋" w:eastAsia="仿宋" w:cs="仿宋"/>
                <w:sz w:val="24"/>
                <w:vertAlign w:val="baseline"/>
                <w:lang w:val="en-US" w:eastAsia="zh-CN"/>
              </w:rPr>
            </w:pPr>
          </w:p>
          <w:p w14:paraId="1428B50E">
            <w:pPr>
              <w:widowControl w:val="0"/>
              <w:jc w:val="left"/>
              <w:rPr>
                <w:rFonts w:hint="eastAsia" w:ascii="仿宋" w:hAnsi="仿宋" w:eastAsia="仿宋" w:cs="仿宋"/>
                <w:sz w:val="24"/>
                <w:vertAlign w:val="baseline"/>
                <w:lang w:val="en-US" w:eastAsia="zh-CN"/>
              </w:rPr>
            </w:pPr>
          </w:p>
          <w:p w14:paraId="6F2622BE">
            <w:pPr>
              <w:widowControl w:val="0"/>
              <w:jc w:val="left"/>
              <w:rPr>
                <w:rFonts w:hint="eastAsia" w:ascii="仿宋" w:hAnsi="仿宋" w:eastAsia="仿宋" w:cs="仿宋"/>
                <w:sz w:val="24"/>
                <w:vertAlign w:val="baseline"/>
                <w:lang w:val="en-US" w:eastAsia="zh-CN"/>
              </w:rPr>
            </w:pPr>
          </w:p>
          <w:p w14:paraId="51007365">
            <w:pPr>
              <w:widowControl w:val="0"/>
              <w:jc w:val="left"/>
              <w:rPr>
                <w:rFonts w:hint="eastAsia" w:ascii="仿宋" w:hAnsi="仿宋" w:eastAsia="仿宋" w:cs="仿宋"/>
                <w:sz w:val="24"/>
                <w:vertAlign w:val="baseline"/>
                <w:lang w:val="en-US" w:eastAsia="zh-CN"/>
              </w:rPr>
            </w:pPr>
          </w:p>
          <w:p w14:paraId="089C2B0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进度管控</w:t>
            </w:r>
          </w:p>
        </w:tc>
        <w:tc>
          <w:tcPr>
            <w:tcW w:w="3727" w:type="dxa"/>
            <w:noWrap w:val="0"/>
            <w:vAlign w:val="center"/>
          </w:tcPr>
          <w:p w14:paraId="1A176EA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未审核总进度、阶段性实施计划</w:t>
            </w:r>
          </w:p>
        </w:tc>
        <w:tc>
          <w:tcPr>
            <w:tcW w:w="1916" w:type="dxa"/>
            <w:noWrap w:val="0"/>
            <w:vAlign w:val="center"/>
          </w:tcPr>
          <w:p w14:paraId="297EE5C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34B1FB6B">
            <w:pPr>
              <w:widowControl w:val="0"/>
              <w:jc w:val="center"/>
              <w:rPr>
                <w:rFonts w:hint="eastAsia" w:ascii="仿宋" w:hAnsi="仿宋" w:eastAsia="仿宋" w:cs="仿宋"/>
                <w:sz w:val="24"/>
                <w:vertAlign w:val="baseline"/>
              </w:rPr>
            </w:pPr>
          </w:p>
        </w:tc>
      </w:tr>
      <w:tr w14:paraId="79FE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9FB45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1056" w:type="dxa"/>
            <w:vMerge w:val="continue"/>
            <w:noWrap w:val="0"/>
            <w:vAlign w:val="top"/>
          </w:tcPr>
          <w:p w14:paraId="262CF1C3">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4CDC46E2">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未定期开展进度巡检、未出具进度分析月报等</w:t>
            </w:r>
          </w:p>
        </w:tc>
        <w:tc>
          <w:tcPr>
            <w:tcW w:w="1916" w:type="dxa"/>
            <w:noWrap w:val="0"/>
            <w:vAlign w:val="center"/>
          </w:tcPr>
          <w:p w14:paraId="2EAC95C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缺一期扣2分</w:t>
            </w:r>
          </w:p>
        </w:tc>
        <w:tc>
          <w:tcPr>
            <w:tcW w:w="831" w:type="dxa"/>
            <w:noWrap w:val="0"/>
            <w:vAlign w:val="center"/>
          </w:tcPr>
          <w:p w14:paraId="4BBFE9EB">
            <w:pPr>
              <w:widowControl w:val="0"/>
              <w:jc w:val="center"/>
              <w:rPr>
                <w:rFonts w:hint="eastAsia" w:ascii="仿宋" w:hAnsi="仿宋" w:eastAsia="仿宋" w:cs="仿宋"/>
                <w:sz w:val="24"/>
                <w:vertAlign w:val="baseline"/>
              </w:rPr>
            </w:pPr>
          </w:p>
        </w:tc>
      </w:tr>
      <w:tr w14:paraId="4512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0CBF65AC">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1056" w:type="dxa"/>
            <w:vMerge w:val="continue"/>
            <w:noWrap w:val="0"/>
            <w:vAlign w:val="top"/>
          </w:tcPr>
          <w:p w14:paraId="51FA30E4">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5559248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发现工期滞后未出具监理整改通知单</w:t>
            </w:r>
          </w:p>
        </w:tc>
        <w:tc>
          <w:tcPr>
            <w:tcW w:w="1916" w:type="dxa"/>
            <w:noWrap w:val="0"/>
            <w:vAlign w:val="center"/>
          </w:tcPr>
          <w:p w14:paraId="2460308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73C25D9F">
            <w:pPr>
              <w:widowControl w:val="0"/>
              <w:jc w:val="center"/>
              <w:rPr>
                <w:rFonts w:hint="eastAsia" w:ascii="仿宋" w:hAnsi="仿宋" w:eastAsia="仿宋" w:cs="仿宋"/>
                <w:sz w:val="24"/>
                <w:vertAlign w:val="baseline"/>
              </w:rPr>
            </w:pPr>
          </w:p>
        </w:tc>
      </w:tr>
      <w:tr w14:paraId="3E23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E66F5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1056" w:type="dxa"/>
            <w:vMerge w:val="continue"/>
            <w:noWrap w:val="0"/>
            <w:vAlign w:val="top"/>
          </w:tcPr>
          <w:p w14:paraId="7110188A">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5F47EA6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初验、试运行、竣工各阶段监理核查不及时</w:t>
            </w:r>
          </w:p>
        </w:tc>
        <w:tc>
          <w:tcPr>
            <w:tcW w:w="1916" w:type="dxa"/>
            <w:noWrap w:val="0"/>
            <w:vAlign w:val="center"/>
          </w:tcPr>
          <w:p w14:paraId="364F6A3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每次扣4分</w:t>
            </w:r>
          </w:p>
        </w:tc>
        <w:tc>
          <w:tcPr>
            <w:tcW w:w="831" w:type="dxa"/>
            <w:noWrap w:val="0"/>
            <w:vAlign w:val="center"/>
          </w:tcPr>
          <w:p w14:paraId="2BB140D1">
            <w:pPr>
              <w:widowControl w:val="0"/>
              <w:jc w:val="center"/>
              <w:rPr>
                <w:rFonts w:hint="eastAsia" w:ascii="仿宋" w:hAnsi="仿宋" w:eastAsia="仿宋" w:cs="仿宋"/>
                <w:sz w:val="24"/>
                <w:vertAlign w:val="baseline"/>
              </w:rPr>
            </w:pPr>
          </w:p>
        </w:tc>
      </w:tr>
      <w:tr w14:paraId="1F30E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8FA56E2">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1056" w:type="dxa"/>
            <w:vMerge w:val="continue"/>
            <w:noWrap w:val="0"/>
            <w:vAlign w:val="top"/>
          </w:tcPr>
          <w:p w14:paraId="7C9B6272">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664A51C9">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整改期限超期未跟踪督办</w:t>
            </w:r>
          </w:p>
        </w:tc>
        <w:tc>
          <w:tcPr>
            <w:tcW w:w="1916" w:type="dxa"/>
            <w:noWrap w:val="0"/>
            <w:vAlign w:val="center"/>
          </w:tcPr>
          <w:p w14:paraId="74F6F23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每条扣2分</w:t>
            </w:r>
          </w:p>
        </w:tc>
        <w:tc>
          <w:tcPr>
            <w:tcW w:w="831" w:type="dxa"/>
            <w:noWrap w:val="0"/>
            <w:vAlign w:val="center"/>
          </w:tcPr>
          <w:p w14:paraId="221C877E">
            <w:pPr>
              <w:widowControl w:val="0"/>
              <w:jc w:val="center"/>
              <w:rPr>
                <w:rFonts w:hint="eastAsia" w:ascii="仿宋" w:hAnsi="仿宋" w:eastAsia="仿宋" w:cs="仿宋"/>
                <w:sz w:val="24"/>
                <w:vertAlign w:val="baseline"/>
              </w:rPr>
            </w:pPr>
          </w:p>
        </w:tc>
      </w:tr>
      <w:tr w14:paraId="4329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517BDA1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1056" w:type="dxa"/>
            <w:vMerge w:val="restart"/>
            <w:noWrap w:val="0"/>
            <w:vAlign w:val="center"/>
          </w:tcPr>
          <w:p w14:paraId="1D29F6B3">
            <w:pPr>
              <w:widowControl w:val="0"/>
              <w:jc w:val="center"/>
              <w:rPr>
                <w:rFonts w:hint="eastAsia" w:ascii="仿宋" w:hAnsi="仿宋" w:eastAsia="仿宋" w:cs="仿宋"/>
                <w:sz w:val="24"/>
                <w:vertAlign w:val="baseline"/>
                <w:lang w:val="en-US" w:eastAsia="zh-CN"/>
              </w:rPr>
            </w:pPr>
          </w:p>
          <w:p w14:paraId="2F9F12A4">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项目变更管控</w:t>
            </w:r>
          </w:p>
        </w:tc>
        <w:tc>
          <w:tcPr>
            <w:tcW w:w="3727" w:type="dxa"/>
            <w:noWrap w:val="0"/>
            <w:vAlign w:val="center"/>
          </w:tcPr>
          <w:p w14:paraId="0451B60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未审查承建方需求、总体/详细设计方案</w:t>
            </w:r>
          </w:p>
        </w:tc>
        <w:tc>
          <w:tcPr>
            <w:tcW w:w="1916" w:type="dxa"/>
            <w:noWrap w:val="0"/>
            <w:vAlign w:val="center"/>
          </w:tcPr>
          <w:p w14:paraId="5E2574B9">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扣4分</w:t>
            </w:r>
          </w:p>
        </w:tc>
        <w:tc>
          <w:tcPr>
            <w:tcW w:w="831" w:type="dxa"/>
            <w:noWrap w:val="0"/>
            <w:vAlign w:val="center"/>
          </w:tcPr>
          <w:p w14:paraId="19255A72">
            <w:pPr>
              <w:widowControl w:val="0"/>
              <w:jc w:val="center"/>
              <w:rPr>
                <w:rFonts w:hint="eastAsia" w:ascii="仿宋" w:hAnsi="仿宋" w:eastAsia="仿宋" w:cs="仿宋"/>
                <w:sz w:val="24"/>
                <w:vertAlign w:val="baseline"/>
              </w:rPr>
            </w:pPr>
          </w:p>
        </w:tc>
      </w:tr>
      <w:tr w14:paraId="17F6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B1A007E">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1056" w:type="dxa"/>
            <w:vMerge w:val="continue"/>
            <w:noWrap w:val="0"/>
            <w:vAlign w:val="top"/>
          </w:tcPr>
          <w:p w14:paraId="28F3629B">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1346118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软件开发、系统部署未旁站巡检、无质量记录</w:t>
            </w:r>
          </w:p>
        </w:tc>
        <w:tc>
          <w:tcPr>
            <w:tcW w:w="1916" w:type="dxa"/>
            <w:noWrap w:val="0"/>
            <w:vAlign w:val="center"/>
          </w:tcPr>
          <w:p w14:paraId="61D0325C">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2B0DC832">
            <w:pPr>
              <w:widowControl w:val="0"/>
              <w:jc w:val="center"/>
              <w:rPr>
                <w:rFonts w:hint="eastAsia" w:ascii="仿宋" w:hAnsi="仿宋" w:eastAsia="仿宋" w:cs="仿宋"/>
                <w:sz w:val="24"/>
                <w:vertAlign w:val="baseline"/>
              </w:rPr>
            </w:pPr>
          </w:p>
        </w:tc>
      </w:tr>
      <w:tr w14:paraId="1025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A6A86E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w:t>
            </w:r>
          </w:p>
        </w:tc>
        <w:tc>
          <w:tcPr>
            <w:tcW w:w="1056" w:type="dxa"/>
            <w:vMerge w:val="continue"/>
            <w:noWrap w:val="0"/>
            <w:vAlign w:val="top"/>
          </w:tcPr>
          <w:p w14:paraId="72F2F53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0C06977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系统缺陷未督促承建方整改闭环</w:t>
            </w:r>
          </w:p>
        </w:tc>
        <w:tc>
          <w:tcPr>
            <w:tcW w:w="1916" w:type="dxa"/>
            <w:noWrap w:val="0"/>
            <w:vAlign w:val="center"/>
          </w:tcPr>
          <w:p w14:paraId="339C991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每条扣2分</w:t>
            </w:r>
          </w:p>
        </w:tc>
        <w:tc>
          <w:tcPr>
            <w:tcW w:w="831" w:type="dxa"/>
            <w:noWrap w:val="0"/>
            <w:vAlign w:val="center"/>
          </w:tcPr>
          <w:p w14:paraId="6CC3ACBE">
            <w:pPr>
              <w:widowControl w:val="0"/>
              <w:jc w:val="center"/>
              <w:rPr>
                <w:rFonts w:hint="eastAsia" w:ascii="仿宋" w:hAnsi="仿宋" w:eastAsia="仿宋" w:cs="仿宋"/>
                <w:sz w:val="24"/>
                <w:vertAlign w:val="baseline"/>
              </w:rPr>
            </w:pPr>
          </w:p>
        </w:tc>
      </w:tr>
      <w:tr w14:paraId="1363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0DD0A0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w:t>
            </w:r>
          </w:p>
        </w:tc>
        <w:tc>
          <w:tcPr>
            <w:tcW w:w="1056" w:type="dxa"/>
            <w:vMerge w:val="continue"/>
            <w:noWrap w:val="0"/>
            <w:vAlign w:val="top"/>
          </w:tcPr>
          <w:p w14:paraId="18AC5383">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2E2AE1D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工程款支付审核不严、未核实工程量与质量</w:t>
            </w:r>
          </w:p>
        </w:tc>
        <w:tc>
          <w:tcPr>
            <w:tcW w:w="1916" w:type="dxa"/>
            <w:noWrap w:val="0"/>
            <w:vAlign w:val="center"/>
          </w:tcPr>
          <w:p w14:paraId="69EEA72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单次扣4分</w:t>
            </w:r>
          </w:p>
        </w:tc>
        <w:tc>
          <w:tcPr>
            <w:tcW w:w="831" w:type="dxa"/>
            <w:noWrap w:val="0"/>
            <w:vAlign w:val="center"/>
          </w:tcPr>
          <w:p w14:paraId="677AEB13">
            <w:pPr>
              <w:widowControl w:val="0"/>
              <w:jc w:val="center"/>
              <w:rPr>
                <w:rFonts w:hint="eastAsia" w:ascii="仿宋" w:hAnsi="仿宋" w:eastAsia="仿宋" w:cs="仿宋"/>
                <w:sz w:val="24"/>
                <w:vertAlign w:val="baseline"/>
              </w:rPr>
            </w:pPr>
          </w:p>
        </w:tc>
      </w:tr>
      <w:tr w14:paraId="3880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B5203AF">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w:t>
            </w:r>
          </w:p>
        </w:tc>
        <w:tc>
          <w:tcPr>
            <w:tcW w:w="1056" w:type="dxa"/>
            <w:vMerge w:val="continue"/>
            <w:noWrap w:val="0"/>
            <w:vAlign w:val="top"/>
          </w:tcPr>
          <w:p w14:paraId="44E1E57D">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044C0399">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若出现变更，未出具专业评估意见书，未管控变更造价、工期</w:t>
            </w:r>
          </w:p>
        </w:tc>
        <w:tc>
          <w:tcPr>
            <w:tcW w:w="1916" w:type="dxa"/>
            <w:noWrap w:val="0"/>
            <w:vAlign w:val="center"/>
          </w:tcPr>
          <w:p w14:paraId="3F35F3A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每项扣4分</w:t>
            </w:r>
          </w:p>
        </w:tc>
        <w:tc>
          <w:tcPr>
            <w:tcW w:w="831" w:type="dxa"/>
            <w:noWrap w:val="0"/>
            <w:vAlign w:val="center"/>
          </w:tcPr>
          <w:p w14:paraId="3BBAC874">
            <w:pPr>
              <w:widowControl w:val="0"/>
              <w:jc w:val="center"/>
              <w:rPr>
                <w:rFonts w:hint="eastAsia" w:ascii="仿宋" w:hAnsi="仿宋" w:eastAsia="仿宋" w:cs="仿宋"/>
                <w:sz w:val="24"/>
                <w:vertAlign w:val="baseline"/>
              </w:rPr>
            </w:pPr>
          </w:p>
        </w:tc>
      </w:tr>
      <w:tr w14:paraId="785A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F93C82">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16</w:t>
            </w:r>
          </w:p>
        </w:tc>
        <w:tc>
          <w:tcPr>
            <w:tcW w:w="1056" w:type="dxa"/>
            <w:vMerge w:val="continue"/>
            <w:noWrap w:val="0"/>
            <w:vAlign w:val="top"/>
          </w:tcPr>
          <w:p w14:paraId="0D9EA67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7E10E200">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未监督网络安全、等保、密码建设落实</w:t>
            </w:r>
          </w:p>
        </w:tc>
        <w:tc>
          <w:tcPr>
            <w:tcW w:w="1916" w:type="dxa"/>
            <w:noWrap w:val="0"/>
            <w:vAlign w:val="center"/>
          </w:tcPr>
          <w:p w14:paraId="2AF6BD8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扣4分</w:t>
            </w:r>
          </w:p>
        </w:tc>
        <w:tc>
          <w:tcPr>
            <w:tcW w:w="831" w:type="dxa"/>
            <w:noWrap w:val="0"/>
            <w:vAlign w:val="center"/>
          </w:tcPr>
          <w:p w14:paraId="0CEE488D">
            <w:pPr>
              <w:widowControl w:val="0"/>
              <w:jc w:val="center"/>
              <w:rPr>
                <w:rFonts w:hint="eastAsia" w:ascii="仿宋" w:hAnsi="仿宋" w:eastAsia="仿宋" w:cs="仿宋"/>
                <w:sz w:val="24"/>
                <w:vertAlign w:val="baseline"/>
              </w:rPr>
            </w:pPr>
          </w:p>
        </w:tc>
      </w:tr>
      <w:tr w14:paraId="6AF6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51CBED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17</w:t>
            </w:r>
          </w:p>
        </w:tc>
        <w:tc>
          <w:tcPr>
            <w:tcW w:w="1056" w:type="dxa"/>
            <w:vMerge w:val="restart"/>
            <w:noWrap w:val="0"/>
            <w:vAlign w:val="center"/>
          </w:tcPr>
          <w:p w14:paraId="7926F83A">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成果交付</w:t>
            </w:r>
          </w:p>
        </w:tc>
        <w:tc>
          <w:tcPr>
            <w:tcW w:w="3727" w:type="dxa"/>
            <w:noWrap w:val="0"/>
            <w:vAlign w:val="center"/>
          </w:tcPr>
          <w:p w14:paraId="369F4DE2">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缺失监理规划、细则、开工令、通知单、会议纪要任一文件</w:t>
            </w:r>
          </w:p>
        </w:tc>
        <w:tc>
          <w:tcPr>
            <w:tcW w:w="1916" w:type="dxa"/>
            <w:noWrap w:val="0"/>
            <w:vAlign w:val="center"/>
          </w:tcPr>
          <w:p w14:paraId="6EF37C2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每份扣2分</w:t>
            </w:r>
          </w:p>
        </w:tc>
        <w:tc>
          <w:tcPr>
            <w:tcW w:w="831" w:type="dxa"/>
            <w:noWrap w:val="0"/>
            <w:vAlign w:val="center"/>
          </w:tcPr>
          <w:p w14:paraId="03549861">
            <w:pPr>
              <w:widowControl w:val="0"/>
              <w:jc w:val="center"/>
              <w:rPr>
                <w:rFonts w:hint="eastAsia" w:ascii="仿宋" w:hAnsi="仿宋" w:eastAsia="仿宋" w:cs="仿宋"/>
                <w:sz w:val="24"/>
                <w:vertAlign w:val="baseline"/>
              </w:rPr>
            </w:pPr>
          </w:p>
        </w:tc>
      </w:tr>
      <w:tr w14:paraId="52F4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17B915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18</w:t>
            </w:r>
          </w:p>
        </w:tc>
        <w:tc>
          <w:tcPr>
            <w:tcW w:w="1056" w:type="dxa"/>
            <w:vMerge w:val="continue"/>
            <w:noWrap w:val="0"/>
            <w:vAlign w:val="center"/>
          </w:tcPr>
          <w:p w14:paraId="4BDC59CD">
            <w:pPr>
              <w:widowControl w:val="0"/>
              <w:jc w:val="center"/>
              <w:rPr>
                <w:rFonts w:hint="eastAsia" w:ascii="仿宋" w:hAnsi="仿宋" w:eastAsia="仿宋" w:cs="仿宋"/>
                <w:sz w:val="24"/>
                <w:vertAlign w:val="baseline"/>
              </w:rPr>
            </w:pPr>
          </w:p>
        </w:tc>
        <w:tc>
          <w:tcPr>
            <w:tcW w:w="3727" w:type="dxa"/>
            <w:noWrap w:val="0"/>
            <w:vAlign w:val="center"/>
          </w:tcPr>
          <w:p w14:paraId="004B2F9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无分项/初验/竣工监理评估报告</w:t>
            </w:r>
          </w:p>
        </w:tc>
        <w:tc>
          <w:tcPr>
            <w:tcW w:w="1916" w:type="dxa"/>
            <w:noWrap w:val="0"/>
            <w:vAlign w:val="center"/>
          </w:tcPr>
          <w:p w14:paraId="4089A87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每项扣4分</w:t>
            </w:r>
          </w:p>
        </w:tc>
        <w:tc>
          <w:tcPr>
            <w:tcW w:w="831" w:type="dxa"/>
            <w:noWrap w:val="0"/>
            <w:vAlign w:val="center"/>
          </w:tcPr>
          <w:p w14:paraId="108AF26E">
            <w:pPr>
              <w:widowControl w:val="0"/>
              <w:jc w:val="center"/>
              <w:rPr>
                <w:rFonts w:hint="eastAsia" w:ascii="仿宋" w:hAnsi="仿宋" w:eastAsia="仿宋" w:cs="仿宋"/>
                <w:sz w:val="24"/>
                <w:vertAlign w:val="baseline"/>
              </w:rPr>
            </w:pPr>
          </w:p>
        </w:tc>
      </w:tr>
      <w:tr w14:paraId="16B6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F4ED9C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19</w:t>
            </w:r>
          </w:p>
        </w:tc>
        <w:tc>
          <w:tcPr>
            <w:tcW w:w="1056" w:type="dxa"/>
            <w:vMerge w:val="continue"/>
            <w:noWrap w:val="0"/>
            <w:vAlign w:val="center"/>
          </w:tcPr>
          <w:p w14:paraId="735B03E3">
            <w:pPr>
              <w:widowControl w:val="0"/>
              <w:jc w:val="center"/>
              <w:rPr>
                <w:rFonts w:hint="eastAsia" w:ascii="仿宋" w:hAnsi="仿宋" w:eastAsia="仿宋" w:cs="仿宋"/>
                <w:sz w:val="24"/>
                <w:vertAlign w:val="baseline"/>
              </w:rPr>
            </w:pPr>
          </w:p>
        </w:tc>
        <w:tc>
          <w:tcPr>
            <w:tcW w:w="3727" w:type="dxa"/>
            <w:noWrap w:val="0"/>
            <w:vAlign w:val="center"/>
          </w:tcPr>
          <w:p w14:paraId="6DB56E43">
            <w:pPr>
              <w:widowControl w:val="0"/>
              <w:jc w:val="left"/>
              <w:rPr>
                <w:rFonts w:hint="eastAsia" w:ascii="仿宋" w:hAnsi="仿宋" w:eastAsia="仿宋" w:cs="仿宋"/>
                <w:sz w:val="24"/>
                <w:vertAlign w:val="baseline"/>
              </w:rPr>
            </w:pPr>
            <w:r>
              <w:rPr>
                <w:rFonts w:hint="eastAsia" w:ascii="仿宋" w:hAnsi="仿宋" w:eastAsia="仿宋" w:cs="仿宋"/>
                <w:sz w:val="24"/>
                <w:vertAlign w:val="baseline"/>
              </w:rPr>
              <w:t>监理周报/月报间断缺失</w:t>
            </w:r>
          </w:p>
        </w:tc>
        <w:tc>
          <w:tcPr>
            <w:tcW w:w="1916" w:type="dxa"/>
            <w:noWrap w:val="0"/>
            <w:vAlign w:val="center"/>
          </w:tcPr>
          <w:p w14:paraId="247A91B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缺一期扣1分</w:t>
            </w:r>
          </w:p>
        </w:tc>
        <w:tc>
          <w:tcPr>
            <w:tcW w:w="831" w:type="dxa"/>
            <w:noWrap w:val="0"/>
            <w:vAlign w:val="center"/>
          </w:tcPr>
          <w:p w14:paraId="51CB79C0">
            <w:pPr>
              <w:widowControl w:val="0"/>
              <w:jc w:val="center"/>
              <w:rPr>
                <w:rFonts w:hint="eastAsia" w:ascii="仿宋" w:hAnsi="仿宋" w:eastAsia="仿宋" w:cs="仿宋"/>
                <w:sz w:val="24"/>
                <w:vertAlign w:val="baseline"/>
              </w:rPr>
            </w:pPr>
          </w:p>
        </w:tc>
      </w:tr>
      <w:tr w14:paraId="0D0E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4894DF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w:t>
            </w:r>
          </w:p>
        </w:tc>
        <w:tc>
          <w:tcPr>
            <w:tcW w:w="1056" w:type="dxa"/>
            <w:vMerge w:val="continue"/>
            <w:noWrap w:val="0"/>
            <w:vAlign w:val="center"/>
          </w:tcPr>
          <w:p w14:paraId="3BF8CF04">
            <w:pPr>
              <w:widowControl w:val="0"/>
              <w:jc w:val="center"/>
              <w:rPr>
                <w:rFonts w:hint="eastAsia" w:ascii="仿宋" w:hAnsi="仿宋" w:eastAsia="仿宋" w:cs="仿宋"/>
                <w:sz w:val="24"/>
                <w:vertAlign w:val="baseline"/>
              </w:rPr>
            </w:pPr>
          </w:p>
        </w:tc>
        <w:tc>
          <w:tcPr>
            <w:tcW w:w="3727" w:type="dxa"/>
            <w:noWrap w:val="0"/>
            <w:vAlign w:val="center"/>
          </w:tcPr>
          <w:p w14:paraId="044AD5BA">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全套纸质和电子监理档案交付不全</w:t>
            </w:r>
          </w:p>
        </w:tc>
        <w:tc>
          <w:tcPr>
            <w:tcW w:w="1916" w:type="dxa"/>
            <w:noWrap w:val="0"/>
            <w:vAlign w:val="center"/>
          </w:tcPr>
          <w:p w14:paraId="5B0903B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3032061C">
            <w:pPr>
              <w:widowControl w:val="0"/>
              <w:jc w:val="center"/>
              <w:rPr>
                <w:rFonts w:hint="eastAsia" w:ascii="仿宋" w:hAnsi="仿宋" w:eastAsia="仿宋" w:cs="仿宋"/>
                <w:sz w:val="24"/>
                <w:vertAlign w:val="baseline"/>
              </w:rPr>
            </w:pPr>
          </w:p>
        </w:tc>
      </w:tr>
      <w:tr w14:paraId="5E394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F465A7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w:t>
            </w:r>
          </w:p>
        </w:tc>
        <w:tc>
          <w:tcPr>
            <w:tcW w:w="1056" w:type="dxa"/>
            <w:vMerge w:val="restart"/>
            <w:noWrap w:val="0"/>
            <w:vAlign w:val="center"/>
          </w:tcPr>
          <w:p w14:paraId="69E9CB24">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szCs w:val="24"/>
              </w:rPr>
              <w:t>协调、文档、安全管理</w:t>
            </w:r>
          </w:p>
        </w:tc>
        <w:tc>
          <w:tcPr>
            <w:tcW w:w="3727" w:type="dxa"/>
            <w:noWrap w:val="0"/>
            <w:vAlign w:val="center"/>
          </w:tcPr>
          <w:p w14:paraId="61C31AF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未定期组织甲乙双方项目协调会，矛盾协调不力</w:t>
            </w:r>
          </w:p>
        </w:tc>
        <w:tc>
          <w:tcPr>
            <w:tcW w:w="1916" w:type="dxa"/>
            <w:noWrap w:val="0"/>
            <w:vAlign w:val="center"/>
          </w:tcPr>
          <w:p w14:paraId="1110E37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每次扣2分</w:t>
            </w:r>
          </w:p>
        </w:tc>
        <w:tc>
          <w:tcPr>
            <w:tcW w:w="831" w:type="dxa"/>
            <w:noWrap w:val="0"/>
            <w:vAlign w:val="center"/>
          </w:tcPr>
          <w:p w14:paraId="08C135A7">
            <w:pPr>
              <w:widowControl w:val="0"/>
              <w:jc w:val="center"/>
              <w:rPr>
                <w:rFonts w:hint="eastAsia" w:ascii="仿宋" w:hAnsi="仿宋" w:eastAsia="仿宋" w:cs="仿宋"/>
                <w:sz w:val="24"/>
                <w:vertAlign w:val="baseline"/>
              </w:rPr>
            </w:pPr>
          </w:p>
        </w:tc>
      </w:tr>
      <w:tr w14:paraId="500E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1574718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w:t>
            </w:r>
          </w:p>
        </w:tc>
        <w:tc>
          <w:tcPr>
            <w:tcW w:w="1056" w:type="dxa"/>
            <w:vMerge w:val="continue"/>
            <w:noWrap w:val="0"/>
            <w:vAlign w:val="center"/>
          </w:tcPr>
          <w:p w14:paraId="5285C728">
            <w:pPr>
              <w:widowControl w:val="0"/>
              <w:jc w:val="center"/>
              <w:rPr>
                <w:rFonts w:hint="eastAsia" w:ascii="仿宋" w:hAnsi="仿宋" w:eastAsia="仿宋" w:cs="仿宋"/>
                <w:sz w:val="24"/>
                <w:vertAlign w:val="baseline"/>
              </w:rPr>
            </w:pPr>
          </w:p>
        </w:tc>
        <w:tc>
          <w:tcPr>
            <w:tcW w:w="3727" w:type="dxa"/>
            <w:noWrap w:val="0"/>
            <w:vAlign w:val="center"/>
          </w:tcPr>
          <w:p w14:paraId="32B967A6">
            <w:pPr>
              <w:widowControl w:val="0"/>
              <w:jc w:val="left"/>
              <w:rPr>
                <w:rFonts w:hint="eastAsia" w:ascii="仿宋" w:hAnsi="仿宋" w:eastAsia="仿宋" w:cs="仿宋"/>
                <w:sz w:val="24"/>
                <w:vertAlign w:val="baseline"/>
                <w:lang w:val="en-US"/>
              </w:rPr>
            </w:pPr>
            <w:r>
              <w:rPr>
                <w:rFonts w:hint="eastAsia" w:ascii="仿宋" w:hAnsi="仿宋" w:eastAsia="仿宋" w:cs="仿宋"/>
                <w:sz w:val="24"/>
                <w:vertAlign w:val="baseline"/>
                <w:lang w:val="en-US"/>
              </w:rPr>
              <w:t>未建立项目文档管控机制，督促资料归集不到位</w:t>
            </w:r>
          </w:p>
        </w:tc>
        <w:tc>
          <w:tcPr>
            <w:tcW w:w="1916" w:type="dxa"/>
            <w:noWrap w:val="0"/>
            <w:vAlign w:val="center"/>
          </w:tcPr>
          <w:p w14:paraId="7FD392E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扣2分</w:t>
            </w:r>
          </w:p>
        </w:tc>
        <w:tc>
          <w:tcPr>
            <w:tcW w:w="831" w:type="dxa"/>
            <w:noWrap w:val="0"/>
            <w:vAlign w:val="center"/>
          </w:tcPr>
          <w:p w14:paraId="0F17D6D9">
            <w:pPr>
              <w:widowControl w:val="0"/>
              <w:jc w:val="center"/>
              <w:rPr>
                <w:rFonts w:hint="eastAsia" w:ascii="仿宋" w:hAnsi="仿宋" w:eastAsia="仿宋" w:cs="仿宋"/>
                <w:sz w:val="24"/>
                <w:vertAlign w:val="baseline"/>
              </w:rPr>
            </w:pPr>
          </w:p>
        </w:tc>
      </w:tr>
      <w:tr w14:paraId="636F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F6203E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w:t>
            </w:r>
          </w:p>
        </w:tc>
        <w:tc>
          <w:tcPr>
            <w:tcW w:w="1056" w:type="dxa"/>
            <w:vMerge w:val="continue"/>
            <w:noWrap w:val="0"/>
            <w:vAlign w:val="center"/>
          </w:tcPr>
          <w:p w14:paraId="2138F34D">
            <w:pPr>
              <w:widowControl w:val="0"/>
              <w:jc w:val="center"/>
              <w:rPr>
                <w:rFonts w:hint="eastAsia" w:ascii="仿宋" w:hAnsi="仿宋" w:eastAsia="仿宋" w:cs="仿宋"/>
                <w:sz w:val="24"/>
                <w:vertAlign w:val="baseline"/>
              </w:rPr>
            </w:pPr>
          </w:p>
        </w:tc>
        <w:tc>
          <w:tcPr>
            <w:tcW w:w="3727" w:type="dxa"/>
            <w:noWrap w:val="0"/>
            <w:vAlign w:val="center"/>
          </w:tcPr>
          <w:p w14:paraId="0F0945A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未监督承建方数据、网络安全措施落实</w:t>
            </w:r>
          </w:p>
        </w:tc>
        <w:tc>
          <w:tcPr>
            <w:tcW w:w="1916" w:type="dxa"/>
            <w:noWrap w:val="0"/>
            <w:vAlign w:val="center"/>
          </w:tcPr>
          <w:p w14:paraId="32DE9DD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24891CA7">
            <w:pPr>
              <w:widowControl w:val="0"/>
              <w:jc w:val="center"/>
              <w:rPr>
                <w:rFonts w:hint="eastAsia" w:ascii="仿宋" w:hAnsi="仿宋" w:eastAsia="仿宋" w:cs="仿宋"/>
                <w:sz w:val="24"/>
                <w:vertAlign w:val="baseline"/>
              </w:rPr>
            </w:pPr>
          </w:p>
        </w:tc>
      </w:tr>
      <w:tr w14:paraId="456A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7195B24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24</w:t>
            </w:r>
          </w:p>
        </w:tc>
        <w:tc>
          <w:tcPr>
            <w:tcW w:w="1056" w:type="dxa"/>
            <w:vMerge w:val="continue"/>
            <w:noWrap w:val="0"/>
            <w:vAlign w:val="center"/>
          </w:tcPr>
          <w:p w14:paraId="09AA51A9">
            <w:pPr>
              <w:widowControl w:val="0"/>
              <w:jc w:val="center"/>
              <w:rPr>
                <w:rFonts w:hint="eastAsia" w:ascii="仿宋" w:hAnsi="仿宋" w:eastAsia="仿宋" w:cs="仿宋"/>
                <w:sz w:val="24"/>
                <w:vertAlign w:val="baseline"/>
              </w:rPr>
            </w:pPr>
          </w:p>
        </w:tc>
        <w:tc>
          <w:tcPr>
            <w:tcW w:w="3727" w:type="dxa"/>
            <w:noWrap w:val="0"/>
            <w:vAlign w:val="center"/>
          </w:tcPr>
          <w:p w14:paraId="1DE990A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项目全流程保密管控缺失</w:t>
            </w:r>
          </w:p>
        </w:tc>
        <w:tc>
          <w:tcPr>
            <w:tcW w:w="1916" w:type="dxa"/>
            <w:noWrap w:val="0"/>
            <w:vAlign w:val="center"/>
          </w:tcPr>
          <w:p w14:paraId="17DB3918">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6C2A0EC7">
            <w:pPr>
              <w:widowControl w:val="0"/>
              <w:jc w:val="center"/>
              <w:rPr>
                <w:rFonts w:hint="eastAsia" w:ascii="仿宋" w:hAnsi="仿宋" w:eastAsia="仿宋" w:cs="仿宋"/>
                <w:sz w:val="24"/>
                <w:vertAlign w:val="baseline"/>
              </w:rPr>
            </w:pPr>
          </w:p>
        </w:tc>
      </w:tr>
      <w:tr w14:paraId="5BD8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89" w:type="dxa"/>
            <w:noWrap w:val="0"/>
            <w:vAlign w:val="center"/>
          </w:tcPr>
          <w:p w14:paraId="1E64A12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25</w:t>
            </w:r>
          </w:p>
        </w:tc>
        <w:tc>
          <w:tcPr>
            <w:tcW w:w="1056" w:type="dxa"/>
            <w:vMerge w:val="restart"/>
            <w:noWrap w:val="0"/>
            <w:vAlign w:val="center"/>
          </w:tcPr>
          <w:p w14:paraId="08A094CA">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验收配合</w:t>
            </w:r>
          </w:p>
        </w:tc>
        <w:tc>
          <w:tcPr>
            <w:tcW w:w="3727" w:type="dxa"/>
            <w:noWrap w:val="0"/>
            <w:vAlign w:val="center"/>
          </w:tcPr>
          <w:p w14:paraId="35FF359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未协助甲方编制开展各阶段项目验收</w:t>
            </w:r>
          </w:p>
        </w:tc>
        <w:tc>
          <w:tcPr>
            <w:tcW w:w="1916" w:type="dxa"/>
            <w:noWrap w:val="0"/>
            <w:vAlign w:val="center"/>
          </w:tcPr>
          <w:p w14:paraId="3E96DFA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扣2分</w:t>
            </w:r>
          </w:p>
        </w:tc>
        <w:tc>
          <w:tcPr>
            <w:tcW w:w="831" w:type="dxa"/>
            <w:noWrap w:val="0"/>
            <w:vAlign w:val="center"/>
          </w:tcPr>
          <w:p w14:paraId="6B78CC9F">
            <w:pPr>
              <w:widowControl w:val="0"/>
              <w:jc w:val="center"/>
              <w:rPr>
                <w:rFonts w:hint="eastAsia" w:ascii="仿宋" w:hAnsi="仿宋" w:eastAsia="仿宋" w:cs="仿宋"/>
                <w:sz w:val="24"/>
                <w:vertAlign w:val="baseline"/>
              </w:rPr>
            </w:pPr>
          </w:p>
        </w:tc>
      </w:tr>
      <w:tr w14:paraId="1CCA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7777D34A">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26</w:t>
            </w:r>
          </w:p>
        </w:tc>
        <w:tc>
          <w:tcPr>
            <w:tcW w:w="1056" w:type="dxa"/>
            <w:vMerge w:val="continue"/>
            <w:noWrap w:val="0"/>
            <w:vAlign w:val="center"/>
          </w:tcPr>
          <w:p w14:paraId="6B8C6807">
            <w:pPr>
              <w:widowControl w:val="0"/>
              <w:jc w:val="center"/>
              <w:rPr>
                <w:rFonts w:hint="eastAsia" w:ascii="仿宋" w:hAnsi="仿宋" w:eastAsia="仿宋" w:cs="仿宋"/>
                <w:sz w:val="24"/>
                <w:vertAlign w:val="baseline"/>
              </w:rPr>
            </w:pPr>
          </w:p>
        </w:tc>
        <w:tc>
          <w:tcPr>
            <w:tcW w:w="3727" w:type="dxa"/>
            <w:noWrap w:val="0"/>
            <w:vAlign w:val="center"/>
          </w:tcPr>
          <w:p w14:paraId="1D5C8C6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验收问题未逐条跟踪整改、未出具复核意见</w:t>
            </w:r>
          </w:p>
        </w:tc>
        <w:tc>
          <w:tcPr>
            <w:tcW w:w="1916" w:type="dxa"/>
            <w:noWrap w:val="0"/>
            <w:vAlign w:val="center"/>
          </w:tcPr>
          <w:p w14:paraId="3A4CC5D8">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每条扣1分</w:t>
            </w:r>
          </w:p>
        </w:tc>
        <w:tc>
          <w:tcPr>
            <w:tcW w:w="831" w:type="dxa"/>
            <w:noWrap w:val="0"/>
            <w:vAlign w:val="center"/>
          </w:tcPr>
          <w:p w14:paraId="477F6F06">
            <w:pPr>
              <w:widowControl w:val="0"/>
              <w:jc w:val="center"/>
              <w:rPr>
                <w:rFonts w:hint="eastAsia" w:ascii="仿宋" w:hAnsi="仿宋" w:eastAsia="仿宋" w:cs="仿宋"/>
                <w:sz w:val="24"/>
                <w:vertAlign w:val="baseline"/>
              </w:rPr>
            </w:pPr>
          </w:p>
        </w:tc>
      </w:tr>
      <w:tr w14:paraId="473A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89" w:type="dxa"/>
            <w:noWrap w:val="0"/>
            <w:vAlign w:val="center"/>
          </w:tcPr>
          <w:p w14:paraId="7320928D">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27</w:t>
            </w:r>
          </w:p>
        </w:tc>
        <w:tc>
          <w:tcPr>
            <w:tcW w:w="1056" w:type="dxa"/>
            <w:vMerge w:val="continue"/>
            <w:noWrap w:val="0"/>
            <w:vAlign w:val="center"/>
          </w:tcPr>
          <w:p w14:paraId="73FF1D00">
            <w:pPr>
              <w:widowControl w:val="0"/>
              <w:jc w:val="center"/>
              <w:rPr>
                <w:rFonts w:hint="eastAsia" w:ascii="仿宋" w:hAnsi="仿宋" w:eastAsia="仿宋" w:cs="仿宋"/>
                <w:sz w:val="24"/>
                <w:vertAlign w:val="baseline"/>
              </w:rPr>
            </w:pPr>
          </w:p>
        </w:tc>
        <w:tc>
          <w:tcPr>
            <w:tcW w:w="3727" w:type="dxa"/>
            <w:noWrap w:val="0"/>
            <w:vAlign w:val="center"/>
          </w:tcPr>
          <w:p w14:paraId="2093044C">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竣工资料归集、归档配合不到位</w:t>
            </w:r>
          </w:p>
        </w:tc>
        <w:tc>
          <w:tcPr>
            <w:tcW w:w="1916" w:type="dxa"/>
            <w:noWrap w:val="0"/>
            <w:vAlign w:val="center"/>
          </w:tcPr>
          <w:p w14:paraId="0950F4C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扣2分</w:t>
            </w:r>
          </w:p>
        </w:tc>
        <w:tc>
          <w:tcPr>
            <w:tcW w:w="831" w:type="dxa"/>
            <w:noWrap w:val="0"/>
            <w:vAlign w:val="center"/>
          </w:tcPr>
          <w:p w14:paraId="70B944CE">
            <w:pPr>
              <w:widowControl w:val="0"/>
              <w:jc w:val="center"/>
              <w:rPr>
                <w:rFonts w:hint="eastAsia" w:ascii="仿宋" w:hAnsi="仿宋" w:eastAsia="仿宋" w:cs="仿宋"/>
                <w:sz w:val="24"/>
                <w:vertAlign w:val="baseline"/>
              </w:rPr>
            </w:pPr>
          </w:p>
        </w:tc>
      </w:tr>
      <w:tr w14:paraId="1666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688" w:type="dxa"/>
            <w:gridSpan w:val="4"/>
            <w:noWrap w:val="0"/>
            <w:vAlign w:val="center"/>
          </w:tcPr>
          <w:p w14:paraId="48E608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合计</w:t>
            </w:r>
          </w:p>
        </w:tc>
        <w:tc>
          <w:tcPr>
            <w:tcW w:w="831" w:type="dxa"/>
            <w:noWrap w:val="0"/>
            <w:vAlign w:val="center"/>
          </w:tcPr>
          <w:p w14:paraId="30E96D7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Hans" w:bidi="ar-SA"/>
              </w:rPr>
            </w:pPr>
          </w:p>
        </w:tc>
      </w:tr>
    </w:tbl>
    <w:p w14:paraId="791767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三、考核结果及运用</w:t>
      </w:r>
    </w:p>
    <w:p w14:paraId="3A5D79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根据考核标准对服务质量进行考核打分，并按照考核实际得分情况对照绩效考核系数进行尾款支付。绩效考核系数计算方法: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60A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D8D8D8"/>
            <w:vAlign w:val="center"/>
          </w:tcPr>
          <w:p w14:paraId="0C99726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bCs w:val="0"/>
                <w:sz w:val="24"/>
                <w:szCs w:val="24"/>
                <w:vertAlign w:val="baseline"/>
                <w:lang w:val="en-US" w:eastAsia="zh-CN"/>
              </w:rPr>
            </w:pPr>
            <w:r>
              <w:rPr>
                <w:rFonts w:hint="eastAsia" w:ascii="仿宋" w:hAnsi="仿宋" w:eastAsia="仿宋" w:cs="仿宋"/>
                <w:b/>
                <w:bCs w:val="0"/>
                <w:sz w:val="24"/>
                <w:szCs w:val="24"/>
                <w:vertAlign w:val="baseline"/>
                <w:lang w:val="en-US" w:eastAsia="zh-CN"/>
              </w:rPr>
              <w:t>绩效考核得分</w:t>
            </w:r>
          </w:p>
        </w:tc>
        <w:tc>
          <w:tcPr>
            <w:tcW w:w="4261" w:type="dxa"/>
            <w:shd w:val="clear" w:color="auto" w:fill="D8D8D8"/>
            <w:vAlign w:val="center"/>
          </w:tcPr>
          <w:p w14:paraId="30E026D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bCs w:val="0"/>
                <w:sz w:val="24"/>
                <w:szCs w:val="24"/>
                <w:vertAlign w:val="baseline"/>
                <w:lang w:val="en-US" w:eastAsia="zh-CN"/>
              </w:rPr>
            </w:pPr>
            <w:r>
              <w:rPr>
                <w:rFonts w:hint="eastAsia" w:ascii="仿宋" w:hAnsi="仿宋" w:eastAsia="仿宋" w:cs="仿宋"/>
                <w:b/>
                <w:bCs w:val="0"/>
                <w:sz w:val="24"/>
                <w:szCs w:val="24"/>
                <w:vertAlign w:val="baseline"/>
                <w:lang w:val="en-US" w:eastAsia="zh-CN"/>
              </w:rPr>
              <w:t>绩效考核系数</w:t>
            </w:r>
          </w:p>
        </w:tc>
      </w:tr>
      <w:tr w14:paraId="5FB5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0EFC654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100～90</w:t>
            </w:r>
          </w:p>
        </w:tc>
        <w:tc>
          <w:tcPr>
            <w:tcW w:w="4261" w:type="dxa"/>
            <w:vAlign w:val="center"/>
          </w:tcPr>
          <w:p w14:paraId="0AA4EBB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1.00</w:t>
            </w:r>
          </w:p>
        </w:tc>
      </w:tr>
      <w:tr w14:paraId="0A8A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157AFA32">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89～80</w:t>
            </w:r>
          </w:p>
        </w:tc>
        <w:tc>
          <w:tcPr>
            <w:tcW w:w="4261" w:type="dxa"/>
            <w:vAlign w:val="center"/>
          </w:tcPr>
          <w:p w14:paraId="66193F3D">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0.89～0.80</w:t>
            </w:r>
          </w:p>
        </w:tc>
      </w:tr>
      <w:tr w14:paraId="45E1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EF2699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79～70</w:t>
            </w:r>
          </w:p>
        </w:tc>
        <w:tc>
          <w:tcPr>
            <w:tcW w:w="4261" w:type="dxa"/>
            <w:vAlign w:val="center"/>
          </w:tcPr>
          <w:p w14:paraId="0026F15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0.79～0.70</w:t>
            </w:r>
          </w:p>
        </w:tc>
      </w:tr>
      <w:tr w14:paraId="2BB4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17394738">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69～60</w:t>
            </w:r>
          </w:p>
        </w:tc>
        <w:tc>
          <w:tcPr>
            <w:tcW w:w="4261" w:type="dxa"/>
            <w:vAlign w:val="center"/>
          </w:tcPr>
          <w:p w14:paraId="4D7D0FC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0.69～0.60</w:t>
            </w:r>
          </w:p>
        </w:tc>
      </w:tr>
      <w:tr w14:paraId="20C3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115CEB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60分以下</w:t>
            </w:r>
          </w:p>
        </w:tc>
        <w:tc>
          <w:tcPr>
            <w:tcW w:w="4261" w:type="dxa"/>
            <w:vAlign w:val="center"/>
          </w:tcPr>
          <w:p w14:paraId="264A9AA1">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w:t>
            </w:r>
          </w:p>
        </w:tc>
      </w:tr>
      <w:tr w14:paraId="6E02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14:paraId="4A3C1EF6">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说明:90以上(包含90分)绩效考核系数取1;60～89分绩效考核系数按照考核得分除以100计算;60分以下(不含60分)绩效考核系数为0，不予支付当期尾款，乙方需全面整改并重新考核。</w:t>
            </w:r>
          </w:p>
        </w:tc>
      </w:tr>
    </w:tbl>
    <w:p w14:paraId="1E67E53C">
      <w:pPr>
        <w:keepNext w:val="0"/>
        <w:keepLines w:val="0"/>
        <w:pageBreakBefore w:val="0"/>
        <w:widowControl w:val="0"/>
        <w:kinsoku/>
        <w:wordWrap/>
        <w:overflowPunct/>
        <w:topLinePunct w:val="0"/>
        <w:autoSpaceDE/>
        <w:autoSpaceDN/>
        <w:bidi w:val="0"/>
        <w:adjustRightInd/>
        <w:snapToGrid/>
        <w:spacing w:line="576" w:lineRule="exact"/>
        <w:ind w:firstLine="480" w:firstLineChars="200"/>
        <w:jc w:val="both"/>
        <w:textAlignment w:val="auto"/>
        <w:rPr>
          <w:rFonts w:hint="eastAsia" w:ascii="仿宋" w:hAnsi="仿宋" w:eastAsia="仿宋" w:cs="仿宋"/>
          <w:b w:val="0"/>
          <w:bCs/>
          <w:sz w:val="24"/>
          <w:szCs w:val="24"/>
          <w:lang w:val="en-US" w:eastAsia="zh-CN"/>
        </w:rPr>
      </w:pPr>
    </w:p>
    <w:p w14:paraId="3B629247">
      <w:pPr>
        <w:pStyle w:val="7"/>
        <w:rPr>
          <w:rFonts w:hint="eastAsia" w:ascii="仿宋" w:hAnsi="仿宋" w:eastAsia="仿宋" w:cs="仿宋"/>
          <w:sz w:val="24"/>
          <w:szCs w:val="24"/>
        </w:rPr>
      </w:pPr>
    </w:p>
    <w:p w14:paraId="7C762F76"/>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D4DE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ED2B7">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2ED2B7">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1487">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1B00B">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E11B00B">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682927"/>
    <w:rsid w:val="2D3E73E6"/>
    <w:rsid w:val="33F557B9"/>
    <w:rsid w:val="447C2011"/>
    <w:rsid w:val="4B5414AF"/>
    <w:rsid w:val="569369BB"/>
    <w:rsid w:val="644A7E43"/>
    <w:rsid w:val="775F37AE"/>
    <w:rsid w:val="7C653614"/>
    <w:rsid w:val="7F1D0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9">
    <w:name w:val="网格型1"/>
    <w:basedOn w:val="4"/>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3631</Words>
  <Characters>3774</Characters>
  <Lines>0</Lines>
  <Paragraphs>0</Paragraphs>
  <TotalTime>2</TotalTime>
  <ScaleCrop>false</ScaleCrop>
  <LinksUpToDate>false</LinksUpToDate>
  <CharactersWithSpaces>3865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2026-09-01T10:11:00Z</dcterms:created>
  <dc:creator>Lenovo</dc:creator>
  <cp:lastModifiedBy>慕妍baby</cp:lastModifiedBy>
  <dcterms:modified xsi:type="dcterms:W3CDTF">2026-09-01T11:18:42Z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eyJoZGlkIjoiNGM5YTEyZDdiZmUwMTU0ZjBjYzY2MWQzZDZhMGY5Y2MiLCJ1c2VySWQiOiI5MzkzMTM1NjYifQ==</vt:lpwstr>
  </property>
  <property fmtid="{D5CDD505-2E9C-101B-9397-08002B2CF9AE}" pid="4" name="ICV">
    <vt:lpwstr>521E866A82674F3EB9EF071EC239F830_12</vt:lpwstr>
  </property>
</Properties>
</file>