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版本号：FSGL-2026-002、XDZ2026-55-J-18.2B120260528001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西安高新区公园广场养护服务项目(二次)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FSGL-2026-002、XDZ2026-55-J-18.2B1</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凡硕工程管理咨询有限公司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凡硕工程管理咨询有限公司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西安高新区公园广场养护服务项目(二次)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FSGL-2026-002、XDZ2026-55-J-18.2B1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西安高新区公园广场养护服务项目(二次)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为提高西安高新区绿化养护管理水平，营造良好的投资和人居生活环境，实现品质高新景观最优城区目标，按照高新区作业标准，实施公园广场养护服务。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4、信誉要求：投标人未列入“失信被执行人”、“重大税收违法案件当事人名单”和“政府采购严重违法失信行为记录名单”。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陕西省西安市长安区郭杜街道西太路丝路创智谷 6 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凡硕工程管理咨询有限公司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西安市高新区汇鑫中心A座2204室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17349134683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采购包1：14,634,869.00元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标段中标金额为基数参考《国家计委关于印发&lt;招标代理服务收费管理暂行办法&gt;的通知》（计价格〔2002〕1980号）及《国家发改委关于降低部分建设项目收费标准规范收费行为等有关问题的通知》（发改价格〔2011〕534号）规定按标准下浮30%收取。 2、招标代理服务费可以采取现金、支票、银行汇票、电汇、网银等方式缴纳。 3、招标代理服务费缴纳信息： 银行户名：凡硕工程管理咨询有限公司 开户银行：中国民生银行股份有限公司西安分行营业部 账号：170511405 联系人：郭伟 联系电话：17349134683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凡硕工程管理咨询有限公司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凡硕工程管理咨询有限公司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凡硕工程管理咨询有限公司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联系人：郭伟</w:t>
      </w:r>
    </w:p>
    <w:p>
      <w:pPr>
        <w:pStyle w:val="null3"/>
      </w:pPr>
      <w:r>
        <w:rPr>
          <w:rFonts w:ascii="仿宋_GB2312" w:hAnsi="仿宋_GB2312" w:cs="仿宋_GB2312" w:eastAsia="仿宋_GB2312"/>
        </w:rPr>
        <w:t>联系电话：17349134683</w:t>
      </w:r>
    </w:p>
    <w:p>
      <w:pPr>
        <w:pStyle w:val="null3"/>
      </w:pPr>
      <w:r>
        <w:rPr>
          <w:rFonts w:ascii="仿宋_GB2312" w:hAnsi="仿宋_GB2312" w:cs="仿宋_GB2312" w:eastAsia="仿宋_GB2312"/>
        </w:rPr>
        <w:t>地址：西安市高新区汇鑫中心A座2204室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为提高西安高新区绿化养护管理水平，营造良好的投资和人居生活环境，实现品质高新景观最优城区目标，按照高新区作业标准，实施公园广场养护服务。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14,634,869.00</w:t>
      </w:r>
    </w:p>
    <w:p>
      <w:pPr>
        <w:pStyle w:val="null3"/>
      </w:pPr>
      <w:r>
        <w:rPr>
          <w:rFonts w:ascii="仿宋_GB2312" w:hAnsi="仿宋_GB2312" w:cs="仿宋_GB2312" w:eastAsia="仿宋_GB2312"/>
        </w:rPr>
        <w:t>采购包最高限价（元）: 14,634,869.00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公园广场养护B标段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14,634,869.00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标的名称：公园广场养护B标段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西安高新区公园广场养护服务项目</w:t>
            </w:r>
            <w:r>
              <w:rPr>
                <w:rFonts w:ascii="仿宋_GB2312" w:hAnsi="仿宋_GB2312" w:cs="仿宋_GB2312" w:eastAsia="仿宋_GB2312"/>
                <w:sz w:val="28"/>
                <w:b/>
              </w:rPr>
              <w:t>B</w:t>
            </w:r>
            <w:r>
              <w:rPr>
                <w:rFonts w:ascii="仿宋_GB2312" w:hAnsi="仿宋_GB2312" w:cs="仿宋_GB2312" w:eastAsia="仿宋_GB2312"/>
                <w:sz w:val="28"/>
                <w:b/>
              </w:rPr>
              <w:t>标段采购需求</w:t>
            </w:r>
          </w:p>
          <w:p>
            <w:pPr>
              <w:pStyle w:val="null3"/>
              <w:jc w:val="left"/>
            </w:pPr>
            <w:r>
              <w:rPr>
                <w:rFonts w:ascii="仿宋_GB2312" w:hAnsi="仿宋_GB2312" w:cs="仿宋_GB2312" w:eastAsia="仿宋_GB2312"/>
                <w:sz w:val="24"/>
              </w:rPr>
              <w:t>为提高西安高新区绿化养护管理水平，营造良好的投资和人居生活环境，实现品质高新景观最优城区目标，按照高新区作业标准，实施公园广场养护服务。</w:t>
            </w:r>
          </w:p>
          <w:p>
            <w:pPr>
              <w:pStyle w:val="null3"/>
              <w:ind w:firstLine="480"/>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西安高新区公园广场养护服务项目主要为</w:t>
            </w:r>
            <w:r>
              <w:rPr>
                <w:rFonts w:ascii="仿宋_GB2312" w:hAnsi="仿宋_GB2312" w:cs="仿宋_GB2312" w:eastAsia="仿宋_GB2312"/>
                <w:sz w:val="24"/>
              </w:rPr>
              <w:t>49个</w:t>
            </w:r>
            <w:r>
              <w:rPr>
                <w:rFonts w:ascii="仿宋_GB2312" w:hAnsi="仿宋_GB2312" w:cs="仿宋_GB2312" w:eastAsia="仿宋_GB2312"/>
                <w:sz w:val="24"/>
              </w:rPr>
              <w:t>公园，包括城市综合公园、运动公园、郊野公园、口袋公园，共计</w:t>
            </w:r>
            <w:r>
              <w:rPr>
                <w:rFonts w:ascii="仿宋_GB2312" w:hAnsi="仿宋_GB2312" w:cs="仿宋_GB2312" w:eastAsia="仿宋_GB2312"/>
                <w:sz w:val="24"/>
              </w:rPr>
              <w:t>861.456万平方米，服务内容包括：</w:t>
            </w:r>
          </w:p>
          <w:p>
            <w:pPr>
              <w:pStyle w:val="null3"/>
              <w:ind w:firstLine="480"/>
              <w:jc w:val="left"/>
            </w:pPr>
            <w:r>
              <w:rPr>
                <w:rFonts w:ascii="仿宋_GB2312" w:hAnsi="仿宋_GB2312" w:cs="仿宋_GB2312" w:eastAsia="仿宋_GB2312"/>
                <w:sz w:val="24"/>
              </w:rPr>
              <w:t>（一）乙方必须坚决贯彻《高新区公园、广场管理标准</w:t>
            </w:r>
            <w:r>
              <w:rPr>
                <w:rFonts w:ascii="仿宋_GB2312" w:hAnsi="仿宋_GB2312" w:cs="仿宋_GB2312" w:eastAsia="仿宋_GB2312"/>
                <w:sz w:val="24"/>
              </w:rPr>
              <w:t>2024版》、《高新区绿化养护管理标准版》、《西安市城市园林绿化植物修剪技术规程》、《中华人民共和国农药管理条例》、《中华人民共和国城市容貌标准》等法律法规和技术标准文件。</w:t>
            </w:r>
          </w:p>
          <w:p>
            <w:pPr>
              <w:pStyle w:val="null3"/>
              <w:ind w:firstLine="480"/>
              <w:jc w:val="left"/>
            </w:pPr>
            <w:r>
              <w:rPr>
                <w:rFonts w:ascii="仿宋_GB2312" w:hAnsi="仿宋_GB2312" w:cs="仿宋_GB2312" w:eastAsia="仿宋_GB2312"/>
                <w:sz w:val="24"/>
              </w:rPr>
              <w:t>（二）建立健全公园管理制度、管理运行机制；公园内绿地及绿化植物的养护和管理；公园内环境卫生清洁维护，垃圾的收集、清运；公园内房屋建筑、园林小品、景观灯、喷泉等设施设备的看护、小型维修及相关安全秩序的维护，景观灯、喷泉的按时开启与关闭；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建立公园档案，并依法予以妥善保存，管理物业相关工程图纸、档案及竣工验收资料；配备安保队伍，执行安全管理规范，保障公园经营游览等活动安全。引导公众、志愿者参与公园管理服务活动；车辆停放秩序的管理；区域内公厕的日常保洁、看护、设施设备的小型维修、日常养护和管理；监督物业区域内的外来单位施工，杜绝违法违章施工和非施工作业审批范围以外的公共场地及设施的破坏，如发生破坏及时查处破坏单位要求其及时恢复，如因巡查不及时未查处破坏单位，则由养护单位负责恢复原有绿化；及时处理数字化城管、热线等渠道的相关投诉。</w:t>
            </w:r>
          </w:p>
          <w:p>
            <w:pPr>
              <w:pStyle w:val="null3"/>
              <w:ind w:firstLine="480"/>
              <w:jc w:val="left"/>
            </w:pPr>
            <w:r>
              <w:rPr>
                <w:rFonts w:ascii="仿宋_GB2312" w:hAnsi="仿宋_GB2312" w:cs="仿宋_GB2312" w:eastAsia="仿宋_GB2312"/>
                <w:sz w:val="24"/>
              </w:rPr>
              <w:t>二、服务标准及考核办法</w:t>
            </w:r>
          </w:p>
          <w:p>
            <w:pPr>
              <w:pStyle w:val="null3"/>
              <w:ind w:firstLine="480"/>
              <w:jc w:val="left"/>
            </w:pPr>
            <w:r>
              <w:rPr>
                <w:rFonts w:ascii="仿宋_GB2312" w:hAnsi="仿宋_GB2312" w:cs="仿宋_GB2312" w:eastAsia="仿宋_GB2312"/>
                <w:sz w:val="24"/>
              </w:rPr>
              <w:t>（一）公园广场绿化养护管理、公厕管理服务等按照《高新区公园、广场管理标准</w:t>
            </w:r>
            <w:r>
              <w:rPr>
                <w:rFonts w:ascii="仿宋_GB2312" w:hAnsi="仿宋_GB2312" w:cs="仿宋_GB2312" w:eastAsia="仿宋_GB2312"/>
                <w:sz w:val="24"/>
              </w:rPr>
              <w:t>2024版》、《高新区绿化养护管理标准2025版》、《西安市城市园林绿化植物修剪技术规程》、《中华人民共和国农药管理条例》、《中华人民共和国城市容貌标准》等执行，考核按照《西安高新区城市绿地管理养护考核办法》（2025修订版）执行。</w:t>
            </w:r>
          </w:p>
          <w:p>
            <w:pPr>
              <w:pStyle w:val="null3"/>
              <w:ind w:firstLine="480"/>
              <w:jc w:val="left"/>
            </w:pPr>
            <w:r>
              <w:rPr>
                <w:rFonts w:ascii="仿宋_GB2312" w:hAnsi="仿宋_GB2312" w:cs="仿宋_GB2312" w:eastAsia="仿宋_GB2312"/>
                <w:sz w:val="24"/>
              </w:rPr>
              <w:t>（二）生产物资（肥料、农药、油漆、清洁剂等）所选材料必须保证质量可靠，符合国家和高新区相关标准，满足使用要求。</w:t>
            </w:r>
          </w:p>
          <w:p>
            <w:pPr>
              <w:pStyle w:val="null3"/>
              <w:ind w:firstLine="480"/>
              <w:jc w:val="left"/>
            </w:pPr>
            <w:r>
              <w:rPr>
                <w:rFonts w:ascii="仿宋_GB2312" w:hAnsi="仿宋_GB2312" w:cs="仿宋_GB2312" w:eastAsia="仿宋_GB2312"/>
                <w:sz w:val="24"/>
              </w:rPr>
              <w:t>（三）所使用机械设备应符合国家有关规范和标准。</w:t>
            </w:r>
          </w:p>
          <w:p>
            <w:pPr>
              <w:pStyle w:val="null3"/>
              <w:ind w:firstLine="480"/>
              <w:jc w:val="left"/>
            </w:pPr>
            <w:r>
              <w:rPr>
                <w:rFonts w:ascii="仿宋_GB2312" w:hAnsi="仿宋_GB2312" w:cs="仿宋_GB2312" w:eastAsia="仿宋_GB2312"/>
                <w:sz w:val="24"/>
              </w:rPr>
              <w:t>（四）备有物资仓库，生产物资及设备需满足日常作业的需求并满足突发事件应急需求储备。物资仓库需满足国家有关规定和标准，杜绝安全隐患。</w:t>
            </w:r>
          </w:p>
          <w:p>
            <w:pPr>
              <w:pStyle w:val="null3"/>
              <w:ind w:firstLine="480"/>
              <w:jc w:val="left"/>
            </w:pPr>
            <w:r>
              <w:rPr>
                <w:rFonts w:ascii="仿宋_GB2312" w:hAnsi="仿宋_GB2312" w:cs="仿宋_GB2312" w:eastAsia="仿宋_GB2312"/>
                <w:sz w:val="24"/>
              </w:rPr>
              <w:t>（五）绿化养护成活率</w:t>
            </w:r>
            <w:r>
              <w:rPr>
                <w:rFonts w:ascii="仿宋_GB2312" w:hAnsi="仿宋_GB2312" w:cs="仿宋_GB2312" w:eastAsia="仿宋_GB2312"/>
                <w:sz w:val="24"/>
              </w:rPr>
              <w:t>95%，铺装完好率100%，设施设备完好率100%，公厕正常使用开放率100%（保洁人员到岗率符合西安市相关规定）。</w:t>
            </w:r>
          </w:p>
          <w:p>
            <w:pPr>
              <w:pStyle w:val="null3"/>
              <w:ind w:firstLine="480"/>
              <w:jc w:val="left"/>
            </w:pPr>
            <w:r>
              <w:rPr>
                <w:rFonts w:ascii="仿宋_GB2312" w:hAnsi="仿宋_GB2312" w:cs="仿宋_GB2312" w:eastAsia="仿宋_GB2312"/>
                <w:sz w:val="24"/>
              </w:rPr>
              <w:t>三、项目预算和付款方法</w:t>
            </w:r>
          </w:p>
          <w:p>
            <w:pPr>
              <w:pStyle w:val="null3"/>
              <w:ind w:firstLine="480"/>
              <w:jc w:val="left"/>
            </w:pPr>
            <w:r>
              <w:rPr>
                <w:rFonts w:ascii="仿宋_GB2312" w:hAnsi="仿宋_GB2312" w:cs="仿宋_GB2312" w:eastAsia="仿宋_GB2312"/>
                <w:sz w:val="24"/>
              </w:rPr>
              <w:t>（一）项目预算</w:t>
            </w:r>
          </w:p>
          <w:p>
            <w:pPr>
              <w:pStyle w:val="null3"/>
              <w:ind w:firstLine="480"/>
              <w:jc w:val="left"/>
            </w:pPr>
            <w:r>
              <w:rPr>
                <w:rFonts w:ascii="仿宋_GB2312" w:hAnsi="仿宋_GB2312" w:cs="仿宋_GB2312" w:eastAsia="仿宋_GB2312"/>
                <w:sz w:val="24"/>
              </w:rPr>
              <w:t>为了便于按区域集中管理，同时通过充分竞争的方式提升管理水平，按照养护区域划分</w:t>
            </w:r>
            <w:r>
              <w:rPr>
                <w:rFonts w:ascii="仿宋_GB2312" w:hAnsi="仿宋_GB2312" w:cs="仿宋_GB2312" w:eastAsia="仿宋_GB2312"/>
                <w:sz w:val="24"/>
              </w:rPr>
              <w:t>,</w:t>
            </w:r>
            <w:r>
              <w:rPr>
                <w:rFonts w:ascii="仿宋_GB2312" w:hAnsi="仿宋_GB2312" w:cs="仿宋_GB2312" w:eastAsia="仿宋_GB2312"/>
                <w:sz w:val="24"/>
              </w:rPr>
              <w:t>B标段预算金额约14634869.00元。服务费用包括：人工费（包含但不限于保洁人员、绿化养护人员、各工种维修人员、安保人员等相关工资、社保、保险、福利等）、管理费、机械费、水费（含公厕、硬化绿化保洁冲洗、绿化养护浇灌、水域水体更换等产生的全部自来水费或中水水费）、电费（含现已交付正常使用的照明、设备等运行产生的全部电费）、建筑物及设备设施的小型维护维修费、垃圾清运及处理费，农药费、油料费、肥料费、库房租赁费、利润、税金、风险等。</w:t>
            </w:r>
          </w:p>
          <w:p>
            <w:pPr>
              <w:pStyle w:val="null3"/>
              <w:ind w:firstLine="480"/>
              <w:jc w:val="left"/>
            </w:pPr>
            <w:r>
              <w:rPr>
                <w:rFonts w:ascii="仿宋_GB2312" w:hAnsi="仿宋_GB2312" w:cs="仿宋_GB2312" w:eastAsia="仿宋_GB2312"/>
                <w:sz w:val="24"/>
              </w:rPr>
              <w:t>（二）付款方式及依据</w:t>
            </w:r>
          </w:p>
          <w:p>
            <w:pPr>
              <w:pStyle w:val="null3"/>
              <w:ind w:firstLine="480"/>
              <w:jc w:val="left"/>
            </w:pPr>
            <w:r>
              <w:rPr>
                <w:rFonts w:ascii="仿宋_GB2312" w:hAnsi="仿宋_GB2312" w:cs="仿宋_GB2312" w:eastAsia="仿宋_GB2312"/>
                <w:sz w:val="24"/>
              </w:rPr>
              <w:t>1、付款方式：按照当月养护面积与养护单价据实结算基数，根据每月考评得分分值计算本月应付服务费用。</w:t>
            </w:r>
          </w:p>
          <w:p>
            <w:pPr>
              <w:pStyle w:val="null3"/>
              <w:ind w:firstLine="480"/>
              <w:jc w:val="left"/>
            </w:pPr>
            <w:r>
              <w:rPr>
                <w:rFonts w:ascii="仿宋_GB2312" w:hAnsi="仿宋_GB2312" w:cs="仿宋_GB2312" w:eastAsia="仿宋_GB2312"/>
                <w:sz w:val="24"/>
              </w:rPr>
              <w:t>2、依据：据实养护面积、综合养护单价、应急事项处理情况、考核结果。</w:t>
            </w:r>
          </w:p>
          <w:p>
            <w:pPr>
              <w:pStyle w:val="null3"/>
              <w:ind w:firstLine="480"/>
              <w:jc w:val="left"/>
            </w:pPr>
            <w:r>
              <w:rPr>
                <w:rFonts w:ascii="仿宋_GB2312" w:hAnsi="仿宋_GB2312" w:cs="仿宋_GB2312" w:eastAsia="仿宋_GB2312"/>
                <w:sz w:val="24"/>
              </w:rPr>
              <w:t>四</w:t>
            </w:r>
            <w:r>
              <w:rPr>
                <w:rFonts w:ascii="仿宋_GB2312" w:hAnsi="仿宋_GB2312" w:cs="仿宋_GB2312" w:eastAsia="仿宋_GB2312"/>
                <w:sz w:val="24"/>
              </w:rPr>
              <w:t>.承包周期</w:t>
            </w:r>
          </w:p>
          <w:p>
            <w:pPr>
              <w:pStyle w:val="null3"/>
              <w:ind w:firstLine="480"/>
              <w:jc w:val="left"/>
            </w:pPr>
            <w:r>
              <w:rPr>
                <w:rFonts w:ascii="仿宋_GB2312" w:hAnsi="仿宋_GB2312" w:cs="仿宋_GB2312" w:eastAsia="仿宋_GB2312"/>
                <w:sz w:val="24"/>
              </w:rPr>
              <w:t>一年（具体以合同签订日期为准）。</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1.公园广场绿化养护服务范围及限价（B标段）</w:t>
            </w:r>
          </w:p>
          <w:p>
            <w:pPr>
              <w:pStyle w:val="null3"/>
              <w:ind w:left="1200"/>
              <w:jc w:val="left"/>
            </w:pPr>
            <w:r>
              <w:rPr>
                <w:rFonts w:ascii="仿宋_GB2312" w:hAnsi="仿宋_GB2312" w:cs="仿宋_GB2312" w:eastAsia="仿宋_GB2312"/>
                <w:sz w:val="24"/>
              </w:rPr>
              <w:t>2.</w:t>
            </w:r>
            <w:r>
              <w:rPr>
                <w:rFonts w:ascii="仿宋_GB2312" w:hAnsi="仿宋_GB2312" w:cs="仿宋_GB2312" w:eastAsia="仿宋_GB2312"/>
                <w:sz w:val="24"/>
              </w:rPr>
              <w:t>公园广场绿化养护服务人员设备最低配置表（</w:t>
            </w:r>
            <w:r>
              <w:rPr>
                <w:rFonts w:ascii="仿宋_GB2312" w:hAnsi="仿宋_GB2312" w:cs="仿宋_GB2312" w:eastAsia="仿宋_GB2312"/>
                <w:sz w:val="24"/>
              </w:rPr>
              <w:t>B标段）</w:t>
            </w:r>
          </w:p>
          <w:p>
            <w:pPr>
              <w:pStyle w:val="null3"/>
              <w:ind w:left="1200"/>
              <w:jc w:val="left"/>
            </w:pPr>
            <w:r>
              <w:rPr>
                <w:rFonts w:ascii="仿宋_GB2312" w:hAnsi="仿宋_GB2312" w:cs="仿宋_GB2312" w:eastAsia="仿宋_GB2312"/>
                <w:sz w:val="24"/>
              </w:rPr>
              <w:t>3.</w:t>
            </w:r>
            <w:r>
              <w:rPr>
                <w:rFonts w:ascii="仿宋_GB2312" w:hAnsi="仿宋_GB2312" w:cs="仿宋_GB2312" w:eastAsia="仿宋_GB2312"/>
                <w:sz w:val="24"/>
              </w:rPr>
              <w:t>园林绿化常用应急项目综合单价限价（</w:t>
            </w:r>
            <w:r>
              <w:rPr>
                <w:rFonts w:ascii="仿宋_GB2312" w:hAnsi="仿宋_GB2312" w:cs="仿宋_GB2312" w:eastAsia="仿宋_GB2312"/>
                <w:sz w:val="24"/>
              </w:rPr>
              <w:t>B标段）</w:t>
            </w:r>
          </w:p>
          <w:tbl>
            <w:tblPr>
              <w:tblBorders>
                <w:top w:val="none" w:color="000000" w:sz="4"/>
                <w:left w:val="none" w:color="000000" w:sz="4"/>
                <w:bottom w:val="none" w:color="000000" w:sz="4"/>
                <w:right w:val="none" w:color="000000" w:sz="4"/>
                <w:insideH w:val="none"/>
                <w:insideV w:val="none"/>
              </w:tblBorders>
            </w:tblPr>
            <w:tblGrid>
              <w:gridCol w:w="147"/>
              <w:gridCol w:w="240"/>
              <w:gridCol w:w="286"/>
              <w:gridCol w:w="286"/>
              <w:gridCol w:w="240"/>
              <w:gridCol w:w="240"/>
              <w:gridCol w:w="240"/>
              <w:gridCol w:w="105"/>
              <w:gridCol w:w="105"/>
              <w:gridCol w:w="147"/>
              <w:gridCol w:w="147"/>
              <w:gridCol w:w="172"/>
              <w:gridCol w:w="172"/>
            </w:tblGrid>
            <w:tr>
              <w:tc>
                <w:tcPr>
                  <w:tcW w:type="dxa" w:w="1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380"/>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1.公园广场绿化养护服务范围及限价（</w:t>
                  </w:r>
                  <w:r>
                    <w:rPr>
                      <w:rFonts w:ascii="仿宋_GB2312" w:hAnsi="仿宋_GB2312" w:cs="仿宋_GB2312" w:eastAsia="仿宋_GB2312"/>
                      <w:sz w:val="24"/>
                      <w:color w:val="000000"/>
                    </w:rPr>
                    <w:t>B</w:t>
                  </w:r>
                  <w:r>
                    <w:rPr>
                      <w:rFonts w:ascii="仿宋_GB2312" w:hAnsi="仿宋_GB2312" w:cs="仿宋_GB2312" w:eastAsia="仿宋_GB2312"/>
                      <w:sz w:val="24"/>
                      <w:color w:val="000000"/>
                    </w:rPr>
                    <w:t>标段）</w:t>
                  </w:r>
                </w:p>
              </w:tc>
            </w:tr>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公园名称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公园总面积</w:t>
                  </w:r>
                </w:p>
                <w:p>
                  <w:pPr>
                    <w:pStyle w:val="null3"/>
                    <w:jc w:val="center"/>
                  </w:pPr>
                  <w:r>
                    <w:rPr>
                      <w:rFonts w:ascii="仿宋_GB2312" w:hAnsi="仿宋_GB2312" w:cs="仿宋_GB2312" w:eastAsia="仿宋_GB2312"/>
                      <w:sz w:val="21"/>
                    </w:rPr>
                    <w:t>（㎡）</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非水域面积</w:t>
                  </w:r>
                </w:p>
                <w:p>
                  <w:pPr>
                    <w:pStyle w:val="null3"/>
                    <w:jc w:val="center"/>
                  </w:pPr>
                  <w:r>
                    <w:rPr>
                      <w:rFonts w:ascii="仿宋_GB2312" w:hAnsi="仿宋_GB2312" w:cs="仿宋_GB2312" w:eastAsia="仿宋_GB2312"/>
                      <w:sz w:val="21"/>
                    </w:rPr>
                    <w:t>（㎡）</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水域面积</w:t>
                  </w:r>
                </w:p>
                <w:p>
                  <w:pPr>
                    <w:pStyle w:val="null3"/>
                    <w:jc w:val="center"/>
                  </w:pPr>
                  <w:r>
                    <w:rPr>
                      <w:rFonts w:ascii="仿宋_GB2312" w:hAnsi="仿宋_GB2312" w:cs="仿宋_GB2312" w:eastAsia="仿宋_GB2312"/>
                      <w:sz w:val="21"/>
                    </w:rPr>
                    <w:t>（㎡）</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w:t>
                  </w:r>
                </w:p>
                <w:p>
                  <w:pPr>
                    <w:pStyle w:val="null3"/>
                    <w:jc w:val="center"/>
                  </w:pPr>
                  <w:r>
                    <w:rPr>
                      <w:rFonts w:ascii="仿宋_GB2312" w:hAnsi="仿宋_GB2312" w:cs="仿宋_GB2312" w:eastAsia="仿宋_GB2312"/>
                      <w:sz w:val="24"/>
                      <w:color w:val="000000"/>
                    </w:rPr>
                    <w:t>（座）</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w:t>
                  </w:r>
                </w:p>
                <w:p>
                  <w:pPr>
                    <w:pStyle w:val="null3"/>
                    <w:jc w:val="center"/>
                  </w:pPr>
                  <w:r>
                    <w:rPr>
                      <w:rFonts w:ascii="仿宋_GB2312" w:hAnsi="仿宋_GB2312" w:cs="仿宋_GB2312" w:eastAsia="仿宋_GB2312"/>
                      <w:sz w:val="24"/>
                      <w:color w:val="000000"/>
                    </w:rPr>
                    <w:t>（座）</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非水域养护等级</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水域养护等级</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非水域单价限价（元</w:t>
                  </w:r>
                  <w:r>
                    <w:rPr>
                      <w:rFonts w:ascii="仿宋_GB2312" w:hAnsi="仿宋_GB2312" w:cs="仿宋_GB2312" w:eastAsia="仿宋_GB2312"/>
                      <w:sz w:val="24"/>
                      <w:color w:val="000000"/>
                    </w:rPr>
                    <w:t>/年/㎡）</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水域单价限价（元</w:t>
                  </w:r>
                  <w:r>
                    <w:rPr>
                      <w:rFonts w:ascii="仿宋_GB2312" w:hAnsi="仿宋_GB2312" w:cs="仿宋_GB2312" w:eastAsia="仿宋_GB2312"/>
                      <w:sz w:val="24"/>
                      <w:color w:val="000000"/>
                    </w:rPr>
                    <w:t>/年/㎡）</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土建公厕单价限价（座</w:t>
                  </w:r>
                  <w:r>
                    <w:rPr>
                      <w:rFonts w:ascii="仿宋_GB2312" w:hAnsi="仿宋_GB2312" w:cs="仿宋_GB2312" w:eastAsia="仿宋_GB2312"/>
                      <w:sz w:val="24"/>
                      <w:color w:val="000000"/>
                    </w:rPr>
                    <w:t>/元）</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简易公厕单价限价（座</w:t>
                  </w:r>
                  <w:r>
                    <w:rPr>
                      <w:rFonts w:ascii="仿宋_GB2312" w:hAnsi="仿宋_GB2312" w:cs="仿宋_GB2312" w:eastAsia="仿宋_GB2312"/>
                      <w:sz w:val="24"/>
                      <w:color w:val="000000"/>
                    </w:rPr>
                    <w:t>/元）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永安渠公园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145464.4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130146.4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15318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国际社区生态景观林带</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401909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401909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沣河梁家滩湿地公园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546647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546647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三河一山沣河绿道高新段（秦镇桥南）</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1135342.5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1099838.5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35504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tcBorders>
                    <w:top w:val="none" w:color="000000" w:sz="4"/>
                    <w:left w:val="single" w:color="000000" w:sz="4"/>
                    <w:bottom w:val="none" w:color="000000" w:sz="4"/>
                    <w:right w:val="single" w:color="000000" w:sz="4"/>
                  </w:tcBorders>
                </w:tcPr>
                <w:p/>
              </w:tc>
              <w:tc>
                <w:tcPr>
                  <w:tcW w:type="dxa" w:w="240"/>
                  <w:vMerge/>
                  <w:tcBorders>
                    <w:top w:val="none" w:color="000000" w:sz="4"/>
                    <w:left w:val="none" w:color="000000" w:sz="4"/>
                    <w:bottom w:val="none" w:color="000000" w:sz="4"/>
                    <w:right w:val="single" w:color="000000" w:sz="4"/>
                  </w:tcBorders>
                </w:tcPr>
                <w:p/>
              </w:tc>
              <w:tc>
                <w:tcPr>
                  <w:tcW w:type="dxa" w:w="196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箱变前置专线</w:t>
                  </w:r>
                  <w:r>
                    <w:rPr>
                      <w:rFonts w:ascii="仿宋_GB2312" w:hAnsi="仿宋_GB2312" w:cs="仿宋_GB2312" w:eastAsia="仿宋_GB2312"/>
                      <w:sz w:val="24"/>
                      <w:color w:val="000000"/>
                    </w:rPr>
                    <w:t>12条线路总长度20390.17米，全线全年巡查及日常维护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40780元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流光公园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11834.47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11834.47</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中轴公园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9634.47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9634.47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听风公园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7737.99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7737.99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竹南路公园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23581.9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23581.9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盛丰路公园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8346.5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8346.5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大仁遗址公园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79050.74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79050.74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应急处置费</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1854"/>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1111599.34元</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2. 公园广场绿化养护服务人员设备最低配置表（</w:t>
            </w:r>
            <w:r>
              <w:rPr>
                <w:rFonts w:ascii="仿宋_GB2312" w:hAnsi="仿宋_GB2312" w:cs="仿宋_GB2312" w:eastAsia="仿宋_GB2312"/>
                <w:sz w:val="24"/>
              </w:rPr>
              <w:t>B</w:t>
            </w:r>
            <w:r>
              <w:rPr>
                <w:rFonts w:ascii="仿宋_GB2312" w:hAnsi="仿宋_GB2312" w:cs="仿宋_GB2312" w:eastAsia="仿宋_GB2312"/>
                <w:sz w:val="24"/>
              </w:rPr>
              <w:t>标段）</w:t>
            </w:r>
          </w:p>
          <w:tbl>
            <w:tblPr>
              <w:tblBorders>
                <w:top w:val="none" w:color="000000" w:sz="4"/>
                <w:left w:val="none" w:color="000000" w:sz="4"/>
                <w:bottom w:val="none" w:color="000000" w:sz="4"/>
                <w:right w:val="none" w:color="000000" w:sz="4"/>
                <w:insideH w:val="none"/>
                <w:insideV w:val="none"/>
              </w:tblBorders>
            </w:tblPr>
            <w:tblGrid>
              <w:gridCol w:w="172"/>
              <w:gridCol w:w="931"/>
              <w:gridCol w:w="892"/>
              <w:gridCol w:w="543"/>
            </w:tblGrid>
            <w:tr>
              <w:tc>
                <w:tcPr>
                  <w:tcW w:type="dxa" w:w="2538"/>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B标段</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序号</w:t>
                  </w:r>
                </w:p>
              </w:tc>
              <w:tc>
                <w:tcPr>
                  <w:tcW w:type="dxa" w:w="9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项目</w:t>
                  </w:r>
                </w:p>
              </w:tc>
              <w:tc>
                <w:tcPr>
                  <w:tcW w:type="dxa" w:w="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公园广场总面积（㎡）</w:t>
                  </w:r>
                </w:p>
              </w:tc>
              <w:tc>
                <w:tcPr>
                  <w:tcW w:type="dxa" w:w="5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最低配备要求</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养护工</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81</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技术员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区域负责人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专职安全员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司机（水车、打药车）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绿篱修剪机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r>
                    <w:rPr>
                      <w:rFonts w:ascii="仿宋_GB2312" w:hAnsi="仿宋_GB2312" w:cs="仿宋_GB2312" w:eastAsia="仿宋_GB2312"/>
                      <w:sz w:val="24"/>
                      <w:color w:val="000000"/>
                    </w:rPr>
                    <w:t>6</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割灌机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剪草机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打孔机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蔬草机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辆</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吹风机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高枝油锯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 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浇水车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辆</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3.园林绿化常用应急项目综合单价限价（</w:t>
            </w:r>
            <w:r>
              <w:rPr>
                <w:rFonts w:ascii="仿宋_GB2312" w:hAnsi="仿宋_GB2312" w:cs="仿宋_GB2312" w:eastAsia="仿宋_GB2312"/>
                <w:sz w:val="24"/>
              </w:rPr>
              <w:t>B</w:t>
            </w:r>
            <w:r>
              <w:rPr>
                <w:rFonts w:ascii="仿宋_GB2312" w:hAnsi="仿宋_GB2312" w:cs="仿宋_GB2312" w:eastAsia="仿宋_GB2312"/>
                <w:sz w:val="24"/>
              </w:rPr>
              <w:t>标段）</w:t>
            </w:r>
          </w:p>
          <w:tbl>
            <w:tblPr>
              <w:tblBorders>
                <w:top w:val="none" w:color="000000" w:sz="4"/>
                <w:left w:val="none" w:color="000000" w:sz="4"/>
                <w:bottom w:val="none" w:color="000000" w:sz="4"/>
                <w:right w:val="none" w:color="000000" w:sz="4"/>
                <w:insideH w:val="none"/>
                <w:insideV w:val="none"/>
              </w:tblBorders>
            </w:tblPr>
            <w:tblGrid>
              <w:gridCol w:w="226"/>
              <w:gridCol w:w="619"/>
              <w:gridCol w:w="933"/>
              <w:gridCol w:w="288"/>
              <w:gridCol w:w="48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w:t>
                  </w:r>
                  <w:r>
                    <w:br/>
                  </w:r>
                  <w:r>
                    <w:rPr>
                      <w:rFonts w:ascii="仿宋_GB2312" w:hAnsi="仿宋_GB2312" w:cs="仿宋_GB2312" w:eastAsia="仿宋_GB2312"/>
                      <w:sz w:val="24"/>
                      <w:color w:val="000000"/>
                    </w:rPr>
                    <w:t>单位</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综合单价限价</w:t>
                  </w:r>
                  <w:r>
                    <w:br/>
                  </w:r>
                  <w:r>
                    <w:rPr>
                      <w:rFonts w:ascii="仿宋_GB2312" w:hAnsi="仿宋_GB2312" w:cs="仿宋_GB2312" w:eastAsia="仿宋_GB2312"/>
                      <w:sz w:val="24"/>
                      <w:color w:val="000000"/>
                    </w:rPr>
                    <w:t>（元）</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整理绿化用地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1.排地表水</w:t>
                  </w:r>
                  <w:r>
                    <w:br/>
                  </w:r>
                  <w:r>
                    <w:rPr>
                      <w:rFonts w:ascii="仿宋_GB2312" w:hAnsi="仿宋_GB2312" w:cs="仿宋_GB2312" w:eastAsia="仿宋_GB2312"/>
                      <w:sz w:val="24"/>
                      <w:color w:val="000000"/>
                    </w:rPr>
                    <w:t>2.土方挖、运</w:t>
                  </w:r>
                  <w:r>
                    <w:br/>
                  </w:r>
                  <w:r>
                    <w:rPr>
                      <w:rFonts w:ascii="仿宋_GB2312" w:hAnsi="仿宋_GB2312" w:cs="仿宋_GB2312" w:eastAsia="仿宋_GB2312"/>
                      <w:sz w:val="24"/>
                      <w:color w:val="000000"/>
                    </w:rPr>
                    <w:t>3.耙细、过筛</w:t>
                  </w:r>
                  <w:r>
                    <w:br/>
                  </w:r>
                  <w:r>
                    <w:rPr>
                      <w:rFonts w:ascii="仿宋_GB2312" w:hAnsi="仿宋_GB2312" w:cs="仿宋_GB2312" w:eastAsia="仿宋_GB2312"/>
                      <w:sz w:val="24"/>
                      <w:color w:val="000000"/>
                    </w:rPr>
                    <w:t>4.回填</w:t>
                  </w:r>
                  <w:r>
                    <w:br/>
                  </w:r>
                  <w:r>
                    <w:rPr>
                      <w:rFonts w:ascii="仿宋_GB2312" w:hAnsi="仿宋_GB2312" w:cs="仿宋_GB2312" w:eastAsia="仿宋_GB2312"/>
                      <w:sz w:val="24"/>
                      <w:color w:val="000000"/>
                    </w:rPr>
                    <w:t>5.找平、找坡</w:t>
                  </w:r>
                  <w:r>
                    <w:br/>
                  </w:r>
                  <w:r>
                    <w:rPr>
                      <w:rFonts w:ascii="仿宋_GB2312" w:hAnsi="仿宋_GB2312" w:cs="仿宋_GB2312" w:eastAsia="仿宋_GB2312"/>
                      <w:sz w:val="24"/>
                      <w:color w:val="000000"/>
                    </w:rPr>
                    <w:t>6.拍实</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清理死亡苗木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1.清理死亡苗木</w:t>
                  </w:r>
                  <w:r>
                    <w:br/>
                  </w:r>
                  <w:r>
                    <w:rPr>
                      <w:rFonts w:ascii="仿宋_GB2312" w:hAnsi="仿宋_GB2312" w:cs="仿宋_GB2312" w:eastAsia="仿宋_GB2312"/>
                      <w:sz w:val="24"/>
                      <w:color w:val="000000"/>
                    </w:rPr>
                    <w:t>2.废弃物运输:1km以内</w:t>
                  </w:r>
                  <w:r>
                    <w:br/>
                  </w:r>
                  <w:r>
                    <w:rPr>
                      <w:rFonts w:ascii="仿宋_GB2312" w:hAnsi="仿宋_GB2312" w:cs="仿宋_GB2312" w:eastAsia="仿宋_GB2312"/>
                      <w:sz w:val="24"/>
                      <w:color w:val="000000"/>
                    </w:rPr>
                    <w:t>3.场地清理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垃圾外运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1.含装车、运输等全部内容</w:t>
                  </w:r>
                  <w:r>
                    <w:br/>
                  </w:r>
                  <w:r>
                    <w:rPr>
                      <w:rFonts w:ascii="仿宋_GB2312" w:hAnsi="仿宋_GB2312" w:cs="仿宋_GB2312" w:eastAsia="仿宋_GB2312"/>
                      <w:sz w:val="24"/>
                      <w:color w:val="000000"/>
                    </w:rPr>
                    <w:t>2.余方点装料运输至弃置点</w:t>
                  </w:r>
                  <w:r>
                    <w:br/>
                  </w:r>
                  <w:r>
                    <w:rPr>
                      <w:rFonts w:ascii="仿宋_GB2312" w:hAnsi="仿宋_GB2312" w:cs="仿宋_GB2312" w:eastAsia="仿宋_GB2312"/>
                      <w:sz w:val="24"/>
                      <w:color w:val="000000"/>
                    </w:rPr>
                    <w:t>3.据实结算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栽植麦冬</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1.栽植麦冬</w:t>
                  </w:r>
                  <w:r>
                    <w:br/>
                  </w:r>
                  <w:r>
                    <w:rPr>
                      <w:rFonts w:ascii="仿宋_GB2312" w:hAnsi="仿宋_GB2312" w:cs="仿宋_GB2312" w:eastAsia="仿宋_GB2312"/>
                      <w:sz w:val="24"/>
                      <w:color w:val="000000"/>
                    </w:rPr>
                    <w:t>2.64 窝/㎡</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播植草籽</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1.早熟禾、高羊茅、黑麦草6:3:1混合</w:t>
                  </w:r>
                  <w:r>
                    <w:br/>
                  </w:r>
                  <w:r>
                    <w:rPr>
                      <w:rFonts w:ascii="仿宋_GB2312" w:hAnsi="仿宋_GB2312" w:cs="仿宋_GB2312" w:eastAsia="仿宋_GB2312"/>
                      <w:sz w:val="24"/>
                      <w:color w:val="000000"/>
                    </w:rPr>
                    <w:t>2.喷播或洒播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栽植鸢尾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1.栽植鸢尾</w:t>
                  </w:r>
                  <w:r>
                    <w:br/>
                  </w:r>
                  <w:r>
                    <w:rPr>
                      <w:rFonts w:ascii="仿宋_GB2312" w:hAnsi="仿宋_GB2312" w:cs="仿宋_GB2312" w:eastAsia="仿宋_GB2312"/>
                      <w:sz w:val="24"/>
                      <w:color w:val="000000"/>
                    </w:rPr>
                    <w:t>2.49窝/㎡每窝，3芽以上</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34.95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铺种红花酢浆草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1.红花酢浆草</w:t>
                  </w:r>
                  <w:r>
                    <w:br/>
                  </w:r>
                  <w:r>
                    <w:rPr>
                      <w:rFonts w:ascii="仿宋_GB2312" w:hAnsi="仿宋_GB2312" w:cs="仿宋_GB2312" w:eastAsia="仿宋_GB2312"/>
                      <w:sz w:val="24"/>
                      <w:color w:val="000000"/>
                    </w:rPr>
                    <w:t>2.64窝/㎡ ，每窝5芽以上</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栽植红王子锦带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1.红王子锦带</w:t>
                  </w:r>
                  <w:r>
                    <w:br/>
                  </w:r>
                  <w:r>
                    <w:rPr>
                      <w:rFonts w:ascii="仿宋_GB2312" w:hAnsi="仿宋_GB2312" w:cs="仿宋_GB2312" w:eastAsia="仿宋_GB2312"/>
                      <w:sz w:val="24"/>
                      <w:color w:val="000000"/>
                    </w:rPr>
                    <w:t>2.株高:80-100㎝,冠径:20-30㎝，36株/㎡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铺种草皮卷</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1.草皮卷</w:t>
                  </w:r>
                  <w:r>
                    <w:br/>
                  </w:r>
                  <w:r>
                    <w:rPr>
                      <w:rFonts w:ascii="仿宋_GB2312" w:hAnsi="仿宋_GB2312" w:cs="仿宋_GB2312" w:eastAsia="仿宋_GB2312"/>
                      <w:sz w:val="24"/>
                      <w:color w:val="000000"/>
                    </w:rPr>
                    <w:t>2. (黑麦草、高羊茅、早熟禾6:3:1)，满铺</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w:t>
                  </w:r>
                  <w:r>
                    <w:br/>
                  </w:r>
                  <w:r>
                    <w:rPr>
                      <w:rFonts w:ascii="仿宋_GB2312" w:hAnsi="仿宋_GB2312" w:cs="仿宋_GB2312" w:eastAsia="仿宋_GB2312"/>
                      <w:sz w:val="24"/>
                      <w:color w:val="000000"/>
                    </w:rPr>
                    <w:t>2.株高:80-100㎝,冠径:35㎝，36株/㎡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98.51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栽植大叶黄杨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1.大叶黄杨</w:t>
                  </w:r>
                  <w:r>
                    <w:br/>
                  </w:r>
                  <w:r>
                    <w:rPr>
                      <w:rFonts w:ascii="仿宋_GB2312" w:hAnsi="仿宋_GB2312" w:cs="仿宋_GB2312" w:eastAsia="仿宋_GB2312"/>
                      <w:sz w:val="24"/>
                      <w:color w:val="000000"/>
                    </w:rPr>
                    <w:t>2.株高:60㎝,冠径:25-30㎝，49株/㎡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2.株高:40㎝,冠径:20-30㎝，49株/㎡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栽植金森女贞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1.金森女贞</w:t>
                  </w:r>
                  <w:r>
                    <w:br/>
                  </w:r>
                  <w:r>
                    <w:rPr>
                      <w:rFonts w:ascii="仿宋_GB2312" w:hAnsi="仿宋_GB2312" w:cs="仿宋_GB2312" w:eastAsia="仿宋_GB2312"/>
                      <w:sz w:val="24"/>
                      <w:color w:val="000000"/>
                    </w:rPr>
                    <w:t>2.株高:50-60㎝,冠径:20-30㎝，49株/㎡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95.84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2.株高:100㎝,冠径:30㎝，49株/㎡</w:t>
                  </w:r>
                  <w:r>
                    <w:br/>
                  </w:r>
                  <w:r>
                    <w:rPr>
                      <w:rFonts w:ascii="仿宋_GB2312" w:hAnsi="仿宋_GB2312" w:cs="仿宋_GB2312" w:eastAsia="仿宋_GB2312"/>
                      <w:sz w:val="24"/>
                      <w:color w:val="000000"/>
                    </w:rPr>
                    <w:t>3 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127.56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2.株高:70㎝,冠径:20-30㎝，49株/㎡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83.97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栽植锦熟黄杨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1.锦熟黄杨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111.21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1.红叶石楠柱</w:t>
                  </w:r>
                  <w:r>
                    <w:br/>
                  </w:r>
                  <w:r>
                    <w:rPr>
                      <w:rFonts w:ascii="仿宋_GB2312" w:hAnsi="仿宋_GB2312" w:cs="仿宋_GB2312" w:eastAsia="仿宋_GB2312"/>
                      <w:sz w:val="24"/>
                      <w:color w:val="000000"/>
                    </w:rPr>
                    <w:t>2.株高:200㎝，冠径:45㎝，5株/m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73.22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2.株高:220㎝，冠径:35-40㎝，5株/m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2.株高:160㎝，冠径:35㎝，5株/m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1.海桐球</w:t>
                  </w:r>
                  <w:r>
                    <w:br/>
                  </w:r>
                  <w:r>
                    <w:rPr>
                      <w:rFonts w:ascii="仿宋_GB2312" w:hAnsi="仿宋_GB2312" w:cs="仿宋_GB2312" w:eastAsia="仿宋_GB2312"/>
                      <w:sz w:val="24"/>
                      <w:color w:val="000000"/>
                    </w:rPr>
                    <w:t>2.株高:100㎝，冠径:120㎝</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250.74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2040.28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1602.89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1273.57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1.乔木胸径:16cm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1.乔木胸径:14cm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800.96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591.47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448.59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防腐木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1.维修更换防腐木，打磨、涂刷防腐漆</w:t>
                  </w:r>
                  <w:r>
                    <w:br/>
                  </w:r>
                  <w:r>
                    <w:rPr>
                      <w:rFonts w:ascii="仿宋_GB2312" w:hAnsi="仿宋_GB2312" w:cs="仿宋_GB2312" w:eastAsia="仿宋_GB2312"/>
                      <w:sz w:val="24"/>
                      <w:color w:val="000000"/>
                    </w:rPr>
                    <w:t>2.运输、维修</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涂刷防腐漆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1.打磨面层</w:t>
                  </w:r>
                  <w:r>
                    <w:br/>
                  </w:r>
                  <w:r>
                    <w:rPr>
                      <w:rFonts w:ascii="仿宋_GB2312" w:hAnsi="仿宋_GB2312" w:cs="仿宋_GB2312" w:eastAsia="仿宋_GB2312"/>
                      <w:sz w:val="24"/>
                      <w:color w:val="000000"/>
                    </w:rPr>
                    <w:t>2.涂刷木蜡油底漆一遍，木蜡油面漆两遍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112.72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铺装透水砖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168.92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327.36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维修沥青路面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1.拆除面层</w:t>
                  </w:r>
                  <w:r>
                    <w:br/>
                  </w:r>
                  <w:r>
                    <w:rPr>
                      <w:rFonts w:ascii="仿宋_GB2312" w:hAnsi="仿宋_GB2312" w:cs="仿宋_GB2312" w:eastAsia="仿宋_GB2312"/>
                      <w:sz w:val="24"/>
                      <w:color w:val="000000"/>
                    </w:rPr>
                    <w:t>2.100mm厚5-12mm粒径C25素色强固透水混凝土</w:t>
                  </w:r>
                  <w:r>
                    <w:br/>
                  </w:r>
                  <w:r>
                    <w:rPr>
                      <w:rFonts w:ascii="仿宋_GB2312" w:hAnsi="仿宋_GB2312" w:cs="仿宋_GB2312" w:eastAsia="仿宋_GB2312"/>
                      <w:sz w:val="24"/>
                      <w:color w:val="000000"/>
                    </w:rPr>
                    <w:t>3.80mm厚彩色透水沥青</w:t>
                  </w:r>
                  <w:r>
                    <w:br/>
                  </w:r>
                  <w:r>
                    <w:rPr>
                      <w:rFonts w:ascii="仿宋_GB2312" w:hAnsi="仿宋_GB2312" w:cs="仿宋_GB2312" w:eastAsia="仿宋_GB2312"/>
                      <w:sz w:val="24"/>
                      <w:color w:val="000000"/>
                    </w:rPr>
                    <w:t>4.无气味、无毒环保型耐磨性水保护剂</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2.D500mm，钻孔以4个12mm膨胀螺丝固定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2.D600mm，钻孔以4个12mm膨胀螺丝固定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672.66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2.250mm*600mm，水钻打孔深280mm孔径260mm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2.250mm*700mm，水钻打孔深350mm孔径260mm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328.41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浇水车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1.10-12吨，含司机、水费、浇水工人1名等</w:t>
                  </w:r>
                  <w:r>
                    <w:br/>
                  </w:r>
                  <w:r>
                    <w:rPr>
                      <w:rFonts w:ascii="仿宋_GB2312" w:hAnsi="仿宋_GB2312" w:cs="仿宋_GB2312" w:eastAsia="仿宋_GB2312"/>
                      <w:sz w:val="24"/>
                      <w:color w:val="000000"/>
                    </w:rPr>
                    <w:t>2.每台班不少于5车次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1115.52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1.高空作业高度:10米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641.77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1.高空作业高度:15米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741.31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多菌灵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代森锰锌</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吡虫啉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198.38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啶虫脒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45.78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高效氯氰菊酯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甲维盐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噻虫嗪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1.5ZDK-320，750W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1.GDW71-800A,800W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25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按照当月养护面积与养护单价据实结算基数，根据每月考评得分分值计算本月应付服务费用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招标文件中融资相关内容与新政策要求有出入，按照最新要求执行。4、本项目共分为2个合同包，每个合同包确定1家中标人，投标人可同时参与多个合同包，但最终只能中1个合同包。评审时按照采购包号顺序进行评审，若投标人在评审时已在合同包1被推荐为排序第一的中标候选人，则该投标人在合同包2中不再参与中标候选人的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费用组成明细表及应急项目综合单价报价-B标段.docx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费用组成明细表及应急项目综合单价报价-B标段.docx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开标一览表 基本资格条件承诺函.docx 中小企业声明函 业绩有关证明材料.docx 信誉要求.docx 费用组成明细表及应急项目综合单价报价-B标段.docx 具有独立承担民事责任能力.docx 投标函 残疾人福利性单位声明函 投标方案响应说明.docx 投标人关联关系声明.docx 合同主要条款响应偏离表.docx 标的清单 投标文件封面B.docx 法定代表人身份证明或法定代表人授权委托书.docx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合同主要条款响应偏离表.docx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建立健全公园管理制度、管理运行机制方案；②公园内绿地及绿化植物的养护和管理；公园内环境卫生清洁维护，垃圾的收集、清运；公园内房屋建筑、园林小品、景观灯、喷泉等设施设备的看护、小型维修及相关安全秩序的维护，景观灯、喷泉的按时开启与关闭方案；③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方案；④建立公园档案，并依法予以妥善保存，管理物业相关工程图纸、档案及竣工验收资料方案；⑤配备安保队伍，执行安全管理规范，保障公园经营游览等活动安全方案。 评审标准：服务方案各部分内容全面详细、阐述条理清晰详尽、符合本项目采购需求得25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突发状况的应急预案措施（包含但不限于节假日及重大活动绿化养护预案、雨雪及恶劣天气应急绿化养护预案措施等）；②安全文明作业措施（包含但不限于安全文明作业计划、安全教育与培训计划、现场安全检查和日常检查计划、安全事故处理措施）；③针对本项目配备的车辆、工器具、设施设备、专业工作车辆、设备停放场地、办公场所的完整性以及管理保障措施等；④公园养护服务质量目标、标准及保证措施。 评审标准：服务保障措施各部分内容全面详细、阐述条理清晰详尽、符合本项目采购需求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1、项目负责人需为本单位人员，具备园林绿化相关专业中级及以上职称计2分，没有得0分。（提供职称证及开标前连续3个月社保缴纳证明，否则不计分）。2、项目团队配置：①项目管理团队整体配置方案（提供人员配置表，列明各管理团队人员、基本情况及岗位职责）；②公园保洁人员配置；③公园绿化养护人员配置；④公园维修人员配置；⑤公园安保人员配置；⑥人员日常培训方案。 评审标准：项目团队配置合理、团队人员职责划分明确、团队配置满足项目情况及需要，人员专业能力能有效保障项目服务质量，内容描述详细，架构清晰的得18分，评审内容每缺一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内容至少包括①保洁及维修人员劳动工具配置；②绿化养护机械设备配置；③公园养护车辆配置；④机械设备日常使用方案；⑤机械设备维修保障方案。评审标准：投入的机械设备、劳动工具配置合理、详细、阐述条理清晰详尽、符合本项目采购需求得20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投标人具有2023年1月1日至今（以合同签订日期为准）的类似业绩，投标文件中提供合同关键页（合同首页、服务内容页及双方签字盖章页）复印件并加盖投标人公章，提供1个得1分，满分5分，没有不得分。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费用组成明细表及应急项目综合单价报价-B标段.docx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投标报价得分=（评标基准价／投标报价）×价格分值（10分）。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费用组成明细表及应急项目综合单价报价-B标段.docx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详见附件：投标文件封面B.docx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详见附件：费用组成明细表及应急项目综合单价报价-B标段.docx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详见附件：投标人关联关系声明.docx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详见附件：合同主要条款响应偏离表.docx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详见附件：公园承包合同（B标段)终.docx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