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CC63D">
      <w:pPr>
        <w:jc w:val="center"/>
        <w:rPr>
          <w:rFonts w:hint="eastAsia"/>
          <w:b/>
          <w:bCs/>
          <w:sz w:val="36"/>
          <w:szCs w:val="36"/>
          <w:lang w:val="en-US" w:eastAsia="zh-CN"/>
        </w:rPr>
      </w:pPr>
      <w:r>
        <w:rPr>
          <w:rFonts w:hint="eastAsia"/>
          <w:b/>
          <w:bCs/>
          <w:sz w:val="36"/>
          <w:szCs w:val="36"/>
          <w:lang w:val="en-US" w:eastAsia="zh-CN"/>
        </w:rPr>
        <w:t>采购需求</w:t>
      </w:r>
    </w:p>
    <w:p w14:paraId="3F5F3600">
      <w:pPr>
        <w:pStyle w:val="7"/>
        <w:rPr>
          <w:rFonts w:hint="default"/>
        </w:rPr>
      </w:pPr>
      <w:r>
        <w:rPr>
          <w:rFonts w:hint="eastAsia" w:ascii="仿宋_GB2312" w:hAnsi="仿宋_GB2312" w:eastAsia="仿宋_GB2312" w:cs="仿宋_GB2312"/>
        </w:rPr>
        <w:t>长安校区无线网络建设一期—东区逸夫教学楼无线网络建设</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8"/>
        <w:gridCol w:w="632"/>
        <w:gridCol w:w="6972"/>
      </w:tblGrid>
      <w:tr w14:paraId="2483E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tcPr>
          <w:p w14:paraId="39F2BF5A">
            <w:pPr>
              <w:pStyle w:val="7"/>
              <w:rPr>
                <w:rFonts w:hint="default"/>
              </w:rPr>
            </w:pPr>
            <w:r>
              <w:rPr>
                <w:rFonts w:ascii="仿宋_GB2312" w:hAnsi="仿宋_GB2312" w:eastAsia="仿宋_GB2312" w:cs="仿宋_GB2312"/>
              </w:rPr>
              <w:t>序号</w:t>
            </w:r>
          </w:p>
        </w:tc>
        <w:tc>
          <w:tcPr>
            <w:tcW w:w="632" w:type="dxa"/>
          </w:tcPr>
          <w:p w14:paraId="54F178C5">
            <w:pPr>
              <w:pStyle w:val="7"/>
              <w:rPr>
                <w:rFonts w:hint="default"/>
              </w:rPr>
            </w:pPr>
            <w:r>
              <w:rPr>
                <w:rFonts w:ascii="仿宋_GB2312" w:hAnsi="仿宋_GB2312" w:eastAsia="仿宋_GB2312" w:cs="仿宋_GB2312"/>
              </w:rPr>
              <w:t>参数性质</w:t>
            </w:r>
          </w:p>
        </w:tc>
        <w:tc>
          <w:tcPr>
            <w:tcW w:w="6972" w:type="dxa"/>
          </w:tcPr>
          <w:p w14:paraId="43A11670">
            <w:pPr>
              <w:pStyle w:val="7"/>
              <w:rPr>
                <w:rFonts w:hint="default" w:eastAsia="仿宋_GB2312"/>
                <w:lang w:eastAsia="zh-CN"/>
              </w:rPr>
            </w:pPr>
            <w:r>
              <w:rPr>
                <w:rFonts w:ascii="仿宋_GB2312" w:hAnsi="仿宋_GB2312" w:eastAsia="仿宋_GB2312" w:cs="仿宋_GB2312"/>
              </w:rPr>
              <w:t xml:space="preserve"> 技术参数与性能指标</w:t>
            </w:r>
          </w:p>
        </w:tc>
      </w:tr>
      <w:tr w14:paraId="1A1E3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02" w:hRule="atLeast"/>
        </w:trPr>
        <w:tc>
          <w:tcPr>
            <w:tcW w:w="698" w:type="dxa"/>
          </w:tcPr>
          <w:p w14:paraId="6EAC583B">
            <w:pPr>
              <w:pStyle w:val="7"/>
              <w:rPr>
                <w:rFonts w:hint="default" w:ascii="仿宋_GB2312" w:hAnsi="仿宋_GB2312" w:eastAsia="仿宋_GB2312" w:cs="仿宋_GB2312"/>
                <w:lang w:eastAsia="zh-CN"/>
              </w:rPr>
            </w:pPr>
            <w:r>
              <w:rPr>
                <w:rFonts w:ascii="仿宋_GB2312" w:hAnsi="仿宋_GB2312" w:eastAsia="仿宋_GB2312" w:cs="仿宋_GB2312"/>
                <w:lang w:eastAsia="zh-CN"/>
              </w:rPr>
              <w:t>1</w:t>
            </w:r>
          </w:p>
        </w:tc>
        <w:tc>
          <w:tcPr>
            <w:tcW w:w="632" w:type="dxa"/>
          </w:tcPr>
          <w:p w14:paraId="5AC3F812">
            <w:pPr>
              <w:pStyle w:val="7"/>
              <w:rPr>
                <w:rFonts w:hint="default" w:ascii="仿宋_GB2312" w:hAnsi="仿宋_GB2312" w:eastAsia="仿宋_GB2312" w:cs="仿宋_GB2312"/>
              </w:rPr>
            </w:pPr>
          </w:p>
        </w:tc>
        <w:tc>
          <w:tcPr>
            <w:tcW w:w="6972" w:type="dxa"/>
          </w:tcPr>
          <w:p w14:paraId="267D8656">
            <w:pPr>
              <w:pStyle w:val="7"/>
              <w:rPr>
                <w:rFonts w:hint="default" w:ascii="仿宋_GB2312" w:hAnsi="仿宋_GB2312" w:eastAsia="仿宋_GB2312" w:cs="仿宋_GB2312"/>
                <w:b/>
                <w:bCs/>
              </w:rPr>
            </w:pPr>
            <w:r>
              <w:rPr>
                <w:rFonts w:ascii="仿宋_GB2312" w:hAnsi="仿宋_GB2312" w:eastAsia="仿宋_GB2312" w:cs="仿宋_GB2312"/>
                <w:b/>
                <w:bCs/>
                <w:lang w:eastAsia="zh-CN"/>
              </w:rPr>
              <w:t>一、</w:t>
            </w:r>
            <w:r>
              <w:rPr>
                <w:rFonts w:ascii="仿宋_GB2312" w:hAnsi="仿宋_GB2312" w:eastAsia="仿宋_GB2312" w:cs="仿宋_GB2312"/>
                <w:b/>
                <w:bCs/>
              </w:rPr>
              <w:t>采购需求</w:t>
            </w:r>
          </w:p>
          <w:p w14:paraId="751C08AF">
            <w:pPr>
              <w:pStyle w:val="7"/>
              <w:ind w:firstLine="400" w:firstLineChars="200"/>
              <w:rPr>
                <w:rFonts w:hint="default" w:ascii="仿宋_GB2312" w:hAnsi="仿宋_GB2312" w:eastAsia="仿宋_GB2312" w:cs="仿宋_GB2312"/>
              </w:rPr>
            </w:pPr>
            <w:r>
              <w:rPr>
                <w:rFonts w:ascii="仿宋_GB2312" w:hAnsi="仿宋_GB2312" w:eastAsia="仿宋_GB2312" w:cs="仿宋_GB2312"/>
              </w:rPr>
              <w:t>完成采购人长安校区东区逸夫教学楼的无线网络建设，实现该区域的无线信号全覆盖，满足多样化终端的高并发、低时延接入；部署网络出口链路负载均衡系统，为用户提供良好的网络体验，同时完成与采购人原有网络实名认证系统的对接，实现用户网络访问日志审计。项目实施主要包含新购置设备的安装、调试及优化，相关区域的线路改造；与采购人原有网络管理系统和认证系统的对接与集成；网络优化分析平台的部署及调试。</w:t>
            </w:r>
          </w:p>
          <w:p w14:paraId="7BDD5185">
            <w:pPr>
              <w:pStyle w:val="7"/>
              <w:rPr>
                <w:rFonts w:hint="default" w:ascii="仿宋_GB2312" w:hAnsi="仿宋_GB2312" w:eastAsia="仿宋_GB2312" w:cs="仿宋_GB2312"/>
                <w:b/>
                <w:bCs/>
              </w:rPr>
            </w:pPr>
            <w:r>
              <w:rPr>
                <w:rFonts w:ascii="仿宋_GB2312" w:hAnsi="仿宋_GB2312" w:eastAsia="仿宋_GB2312" w:cs="仿宋_GB2312"/>
                <w:b/>
                <w:bCs/>
              </w:rPr>
              <w:t>二、建设目标</w:t>
            </w:r>
          </w:p>
          <w:p w14:paraId="4BD0503E">
            <w:pPr>
              <w:pStyle w:val="7"/>
              <w:ind w:firstLine="400" w:firstLineChars="200"/>
              <w:rPr>
                <w:rFonts w:hint="default" w:ascii="仿宋_GB2312" w:hAnsi="仿宋_GB2312" w:eastAsia="仿宋_GB2312" w:cs="仿宋_GB2312"/>
              </w:rPr>
            </w:pPr>
            <w:r>
              <w:rPr>
                <w:rFonts w:ascii="仿宋_GB2312" w:hAnsi="仿宋_GB2312" w:eastAsia="仿宋_GB2312" w:cs="仿宋_GB2312"/>
              </w:rPr>
              <w:t>学校网络基础设施建设的总体目标是不断整合、优化信息基础设施，加强物联网支撑能力，构建绿色、安全、高可靠、易管理的多业务基础网络平台，实现全校区无线网络覆盖，提升学校信息化基础设施服务与管理水平。</w:t>
            </w:r>
          </w:p>
          <w:p w14:paraId="09BD0123">
            <w:pPr>
              <w:pStyle w:val="7"/>
              <w:ind w:firstLine="400" w:firstLineChars="200"/>
              <w:rPr>
                <w:rFonts w:hint="default" w:ascii="仿宋_GB2312" w:hAnsi="仿宋_GB2312" w:eastAsia="仿宋_GB2312" w:cs="仿宋_GB2312"/>
              </w:rPr>
            </w:pPr>
            <w:r>
              <w:rPr>
                <w:rFonts w:ascii="仿宋_GB2312" w:hAnsi="仿宋_GB2312" w:eastAsia="仿宋_GB2312" w:cs="仿宋_GB2312"/>
              </w:rPr>
              <w:t>依据学校网络整体建设规划，本次建设的主要目标是：</w:t>
            </w:r>
          </w:p>
          <w:p w14:paraId="33F7E262">
            <w:pPr>
              <w:pStyle w:val="7"/>
              <w:ind w:firstLine="400" w:firstLineChars="200"/>
              <w:rPr>
                <w:rFonts w:hint="default" w:ascii="仿宋_GB2312" w:hAnsi="仿宋_GB2312" w:eastAsia="仿宋_GB2312" w:cs="仿宋_GB2312"/>
              </w:rPr>
            </w:pPr>
            <w:r>
              <w:rPr>
                <w:rFonts w:ascii="仿宋_GB2312" w:hAnsi="仿宋_GB2312" w:eastAsia="仿宋_GB2312" w:cs="仿宋_GB2312"/>
                <w:lang w:eastAsia="zh-CN"/>
              </w:rPr>
              <w:t>（1）</w:t>
            </w:r>
            <w:r>
              <w:rPr>
                <w:rFonts w:ascii="仿宋_GB2312" w:hAnsi="仿宋_GB2312" w:eastAsia="仿宋_GB2312" w:cs="仿宋_GB2312"/>
              </w:rPr>
              <w:t>更新学校网络出口设备，支持基于多维度的网络流量调度，具备合规的网络访问日志审计能力，形成“智能调度+合规审计”一体化的出口线路负载管控。</w:t>
            </w:r>
          </w:p>
          <w:p w14:paraId="62C41820">
            <w:pPr>
              <w:pStyle w:val="7"/>
              <w:ind w:firstLine="400" w:firstLineChars="200"/>
              <w:rPr>
                <w:rFonts w:hint="default" w:ascii="仿宋_GB2312" w:hAnsi="仿宋_GB2312" w:eastAsia="仿宋_GB2312" w:cs="仿宋_GB2312"/>
              </w:rPr>
            </w:pPr>
            <w:r>
              <w:rPr>
                <w:rFonts w:ascii="仿宋_GB2312" w:hAnsi="仿宋_GB2312" w:eastAsia="仿宋_GB2312" w:cs="仿宋_GB2312"/>
                <w:lang w:eastAsia="zh-CN"/>
              </w:rPr>
              <w:t>（2）</w:t>
            </w:r>
            <w:r>
              <w:rPr>
                <w:rFonts w:ascii="仿宋_GB2312" w:hAnsi="仿宋_GB2312" w:eastAsia="仿宋_GB2312" w:cs="仿宋_GB2312"/>
              </w:rPr>
              <w:t>更新长安校区东区网络</w:t>
            </w:r>
            <w:r>
              <w:rPr>
                <w:rFonts w:ascii="仿宋_GB2312" w:hAnsi="仿宋_GB2312" w:eastAsia="仿宋_GB2312" w:cs="仿宋_GB2312"/>
                <w:lang w:eastAsia="zh-CN"/>
              </w:rPr>
              <w:t>数据转发设备</w:t>
            </w:r>
            <w:r>
              <w:rPr>
                <w:rFonts w:ascii="仿宋_GB2312" w:hAnsi="仿宋_GB2312" w:eastAsia="仿宋_GB2312" w:cs="仿宋_GB2312"/>
              </w:rPr>
              <w:t>，将骨干带宽提升至100Gbps，确保网络交换容量、骨干带宽、传输时延等性能满足未来5年的使用需求；</w:t>
            </w:r>
          </w:p>
          <w:p w14:paraId="20F1FB5F">
            <w:pPr>
              <w:pStyle w:val="7"/>
              <w:ind w:firstLine="400" w:firstLineChars="200"/>
              <w:rPr>
                <w:rFonts w:hint="default" w:ascii="仿宋_GB2312" w:hAnsi="仿宋_GB2312" w:eastAsia="仿宋_GB2312" w:cs="仿宋_GB2312"/>
              </w:rPr>
            </w:pPr>
            <w:r>
              <w:rPr>
                <w:rFonts w:ascii="仿宋_GB2312" w:hAnsi="仿宋_GB2312" w:eastAsia="仿宋_GB2312" w:cs="仿宋_GB2312"/>
                <w:lang w:eastAsia="zh-CN"/>
              </w:rPr>
              <w:t>（3）</w:t>
            </w:r>
            <w:r>
              <w:rPr>
                <w:rFonts w:ascii="仿宋_GB2312" w:hAnsi="仿宋_GB2312" w:eastAsia="仿宋_GB2312" w:cs="仿宋_GB2312"/>
              </w:rPr>
              <w:t>建成基于802.11be协议的无线网络，完成东区逸夫教学楼的室内全覆盖，能够在统一的SSID下支持多运营商的共同运营管理。</w:t>
            </w:r>
          </w:p>
          <w:p w14:paraId="32779B09">
            <w:pPr>
              <w:pStyle w:val="7"/>
              <w:rPr>
                <w:rFonts w:hint="default" w:ascii="仿宋_GB2312" w:hAnsi="仿宋_GB2312" w:eastAsia="仿宋_GB2312" w:cs="仿宋_GB2312"/>
                <w:b/>
                <w:bCs/>
              </w:rPr>
            </w:pPr>
            <w:r>
              <w:rPr>
                <w:rFonts w:ascii="仿宋_GB2312" w:hAnsi="仿宋_GB2312" w:eastAsia="仿宋_GB2312" w:cs="仿宋_GB2312"/>
                <w:b/>
                <w:bCs/>
              </w:rPr>
              <w:t>三、建设内容</w:t>
            </w:r>
          </w:p>
          <w:p w14:paraId="2404BF55">
            <w:pPr>
              <w:pStyle w:val="7"/>
              <w:ind w:firstLine="402" w:firstLineChars="200"/>
              <w:rPr>
                <w:rFonts w:hint="default" w:ascii="仿宋_GB2312" w:hAnsi="仿宋_GB2312" w:eastAsia="仿宋_GB2312" w:cs="仿宋_GB2312"/>
                <w:b/>
                <w:bCs/>
              </w:rPr>
            </w:pPr>
            <w:r>
              <w:rPr>
                <w:rFonts w:ascii="仿宋_GB2312" w:hAnsi="仿宋_GB2312" w:eastAsia="仿宋_GB2312" w:cs="仿宋_GB2312"/>
                <w:b/>
                <w:bCs/>
                <w:lang w:eastAsia="zh-CN"/>
              </w:rPr>
              <w:t>（1）</w:t>
            </w:r>
            <w:r>
              <w:rPr>
                <w:rFonts w:ascii="仿宋_GB2312" w:hAnsi="仿宋_GB2312" w:eastAsia="仿宋_GB2312" w:cs="仿宋_GB2312"/>
                <w:b/>
                <w:bCs/>
              </w:rPr>
              <w:t>整体架构</w:t>
            </w:r>
          </w:p>
          <w:p w14:paraId="3DA6D33B">
            <w:pPr>
              <w:pStyle w:val="7"/>
              <w:ind w:firstLine="400" w:firstLineChars="200"/>
              <w:rPr>
                <w:rFonts w:hint="default" w:ascii="仿宋_GB2312" w:hAnsi="仿宋_GB2312" w:eastAsia="仿宋_GB2312" w:cs="仿宋_GB2312"/>
              </w:rPr>
            </w:pPr>
            <w:r>
              <w:rPr>
                <w:rFonts w:ascii="仿宋_GB2312" w:hAnsi="仿宋_GB2312" w:eastAsia="仿宋_GB2312" w:cs="仿宋_GB2312"/>
              </w:rPr>
              <w:t>本次建设计划完成网络出口负载均衡系统建设，更新东区网络核心交换设备，同时以“场景化”覆盖的思路建设无线网络，提升师生的网络使用体验。建设内容主要由出口负载均衡及日志审计、</w:t>
            </w:r>
            <w:r>
              <w:rPr>
                <w:rFonts w:ascii="仿宋_GB2312" w:hAnsi="仿宋_GB2312" w:eastAsia="仿宋_GB2312" w:cs="仿宋_GB2312"/>
                <w:lang w:eastAsia="zh-CN"/>
              </w:rPr>
              <w:t>数据转发设备</w:t>
            </w:r>
            <w:r>
              <w:rPr>
                <w:rFonts w:ascii="仿宋_GB2312" w:hAnsi="仿宋_GB2312" w:eastAsia="仿宋_GB2312" w:cs="仿宋_GB2312"/>
              </w:rPr>
              <w:t>、无线接入网络和网络管理等部分组成，网络拓扑如下图所示。</w:t>
            </w:r>
          </w:p>
          <w:p w14:paraId="2F7B84D3">
            <w:pPr>
              <w:pStyle w:val="7"/>
              <w:ind w:firstLine="400" w:firstLineChars="200"/>
              <w:rPr>
                <w:rFonts w:ascii="仿宋_GB2312" w:hAnsi="仿宋_GB2312" w:eastAsia="仿宋_GB2312" w:cs="仿宋_GB2312"/>
              </w:rPr>
            </w:pPr>
            <w:r>
              <w:object>
                <v:shape id="_x0000_i1025" o:spt="75" type="#_x0000_t75" style="height:204.3pt;width:298.9pt;" o:ole="t" filled="f" o:preferrelative="t" stroked="f" coordsize="21600,21600">
                  <v:path/>
                  <v:fill on="f" focussize="0,0"/>
                  <v:stroke on="f" joinstyle="miter"/>
                  <v:imagedata r:id="rId5" o:title=""/>
                  <o:lock v:ext="edit" aspectratio="t"/>
                  <w10:wrap type="none"/>
                  <w10:anchorlock/>
                </v:shape>
                <o:OLEObject Type="Embed" ProgID="Visio.Drawing.15" ShapeID="_x0000_i1025" DrawAspect="Content" ObjectID="_1468075725" r:id="rId4">
                  <o:LockedField>false</o:LockedField>
                </o:OLEObject>
              </w:object>
            </w:r>
          </w:p>
          <w:p w14:paraId="6750DC19">
            <w:pPr>
              <w:pStyle w:val="7"/>
              <w:ind w:firstLine="400" w:firstLineChars="200"/>
              <w:rPr>
                <w:rFonts w:hint="default"/>
              </w:rPr>
            </w:pPr>
          </w:p>
          <w:p w14:paraId="16ADCE5B">
            <w:pPr>
              <w:pStyle w:val="7"/>
              <w:ind w:firstLine="400" w:firstLineChars="200"/>
              <w:rPr>
                <w:rFonts w:hint="default" w:ascii="仿宋_GB2312" w:hAnsi="仿宋_GB2312" w:eastAsia="仿宋_GB2312" w:cs="仿宋_GB2312"/>
              </w:rPr>
            </w:pPr>
            <w:r>
              <w:rPr>
                <w:rFonts w:ascii="仿宋_GB2312" w:hAnsi="仿宋_GB2312" w:eastAsia="仿宋_GB2312" w:cs="仿宋_GB2312"/>
              </w:rPr>
              <w:t>在网络出口区域增加负载均衡设备，与运营商线路直接连接，用于优化多出口链路的利用，提高可靠性和用户体验，支持根据带宽利用率、链路质量、会话数量和应用协议等策略，智能调度多条运营商出口链路的流量。依托负载均衡系统构建用户上网访问日志和行为审计能力，记录校内用户的全量访问日志，满足审计要求。</w:t>
            </w:r>
          </w:p>
          <w:p w14:paraId="04A0C19F">
            <w:pPr>
              <w:pStyle w:val="7"/>
              <w:ind w:firstLine="400" w:firstLineChars="200"/>
              <w:rPr>
                <w:rFonts w:hint="default" w:ascii="仿宋_GB2312" w:hAnsi="仿宋_GB2312" w:eastAsia="仿宋_GB2312" w:cs="仿宋_GB2312"/>
              </w:rPr>
            </w:pPr>
            <w:r>
              <w:rPr>
                <w:rFonts w:ascii="仿宋_GB2312" w:hAnsi="仿宋_GB2312" w:eastAsia="仿宋_GB2312" w:cs="仿宋_GB2312"/>
              </w:rPr>
              <w:t>更新东区网络</w:t>
            </w:r>
            <w:r>
              <w:rPr>
                <w:rFonts w:ascii="仿宋_GB2312" w:hAnsi="仿宋_GB2312" w:eastAsia="仿宋_GB2312" w:cs="仿宋_GB2312"/>
                <w:lang w:eastAsia="zh-CN"/>
              </w:rPr>
              <w:t>数据转发设备</w:t>
            </w:r>
            <w:r>
              <w:rPr>
                <w:rFonts w:ascii="仿宋_GB2312" w:hAnsi="仿宋_GB2312" w:eastAsia="仿宋_GB2312" w:cs="仿宋_GB2312"/>
              </w:rPr>
              <w:t>，完成网络骨干带宽100Gbps升级，在骨干网层面实现有线网络和无线网络的集约化、一体化建设。</w:t>
            </w:r>
            <w:r>
              <w:rPr>
                <w:rFonts w:ascii="仿宋_GB2312" w:hAnsi="仿宋_GB2312" w:eastAsia="仿宋_GB2312" w:cs="仿宋_GB2312"/>
                <w:lang w:eastAsia="zh-CN"/>
              </w:rPr>
              <w:t>数据转发设备</w:t>
            </w:r>
            <w:r>
              <w:rPr>
                <w:rFonts w:ascii="仿宋_GB2312" w:hAnsi="仿宋_GB2312" w:eastAsia="仿宋_GB2312" w:cs="仿宋_GB2312"/>
              </w:rPr>
              <w:t>通过多个10Gbps接口上联有线网络BRAS设备和无线网络选路网关（城市热点2166），实现用户流量的分类路由。</w:t>
            </w:r>
          </w:p>
          <w:p w14:paraId="33A1DFBA">
            <w:pPr>
              <w:pStyle w:val="7"/>
              <w:ind w:firstLine="400" w:firstLineChars="200"/>
              <w:rPr>
                <w:rFonts w:hint="default" w:ascii="仿宋_GB2312" w:hAnsi="仿宋_GB2312" w:eastAsia="仿宋_GB2312" w:cs="仿宋_GB2312"/>
              </w:rPr>
            </w:pPr>
            <w:r>
              <w:rPr>
                <w:rFonts w:ascii="仿宋_GB2312" w:hAnsi="仿宋_GB2312" w:eastAsia="仿宋_GB2312" w:cs="仿宋_GB2312"/>
              </w:rPr>
              <w:t>无线主干网络建设包括无线</w:t>
            </w:r>
            <w:r>
              <w:rPr>
                <w:rFonts w:ascii="仿宋_GB2312" w:hAnsi="仿宋_GB2312" w:eastAsia="仿宋_GB2312" w:cs="仿宋_GB2312"/>
                <w:lang w:eastAsia="zh-CN"/>
              </w:rPr>
              <w:t>区域传输设备</w:t>
            </w:r>
            <w:r>
              <w:rPr>
                <w:rFonts w:ascii="仿宋_GB2312" w:hAnsi="仿宋_GB2312" w:eastAsia="仿宋_GB2312" w:cs="仿宋_GB2312"/>
              </w:rPr>
              <w:t>、POE接入设备和无线控制器等部分。无线</w:t>
            </w:r>
            <w:r>
              <w:rPr>
                <w:rFonts w:ascii="仿宋_GB2312" w:hAnsi="仿宋_GB2312" w:eastAsia="仿宋_GB2312" w:cs="仿宋_GB2312"/>
                <w:lang w:eastAsia="zh-CN"/>
              </w:rPr>
              <w:t>区域传输设备</w:t>
            </w:r>
            <w:r>
              <w:rPr>
                <w:rFonts w:ascii="仿宋_GB2312" w:hAnsi="仿宋_GB2312" w:eastAsia="仿宋_GB2312" w:cs="仿宋_GB2312"/>
              </w:rPr>
              <w:t>以双100Gbps连接东区</w:t>
            </w:r>
            <w:r>
              <w:rPr>
                <w:rFonts w:ascii="仿宋_GB2312" w:hAnsi="仿宋_GB2312" w:eastAsia="仿宋_GB2312" w:cs="仿宋_GB2312"/>
                <w:lang w:eastAsia="zh-CN"/>
              </w:rPr>
              <w:t>数据转发设备</w:t>
            </w:r>
            <w:r>
              <w:rPr>
                <w:rFonts w:ascii="仿宋_GB2312" w:hAnsi="仿宋_GB2312" w:eastAsia="仿宋_GB2312" w:cs="仿宋_GB2312"/>
              </w:rPr>
              <w:t>；楼内各区域</w:t>
            </w:r>
            <w:r>
              <w:rPr>
                <w:rFonts w:ascii="仿宋_GB2312" w:hAnsi="仿宋_GB2312" w:eastAsia="仿宋_GB2312" w:cs="仿宋_GB2312"/>
                <w:lang w:eastAsia="zh-CN"/>
              </w:rPr>
              <w:t>POE接入设备</w:t>
            </w:r>
            <w:r>
              <w:rPr>
                <w:rFonts w:ascii="仿宋_GB2312" w:hAnsi="仿宋_GB2312" w:eastAsia="仿宋_GB2312" w:cs="仿宋_GB2312"/>
              </w:rPr>
              <w:t>根据需要分别通过光纤线路连接至无线</w:t>
            </w:r>
            <w:r>
              <w:rPr>
                <w:rFonts w:ascii="仿宋_GB2312" w:hAnsi="仿宋_GB2312" w:eastAsia="仿宋_GB2312" w:cs="仿宋_GB2312"/>
                <w:lang w:eastAsia="zh-CN"/>
              </w:rPr>
              <w:t>区域传输设备</w:t>
            </w:r>
            <w:r>
              <w:rPr>
                <w:rFonts w:ascii="仿宋_GB2312" w:hAnsi="仿宋_GB2312" w:eastAsia="仿宋_GB2312" w:cs="仿宋_GB2312"/>
              </w:rPr>
              <w:t>，其中连接有高密型AP的</w:t>
            </w:r>
            <w:r>
              <w:rPr>
                <w:rFonts w:ascii="仿宋_GB2312" w:hAnsi="仿宋_GB2312" w:eastAsia="仿宋_GB2312" w:cs="仿宋_GB2312"/>
                <w:lang w:eastAsia="zh-CN"/>
              </w:rPr>
              <w:t>POE接入设备</w:t>
            </w:r>
            <w:r>
              <w:rPr>
                <w:rFonts w:ascii="仿宋_GB2312" w:hAnsi="仿宋_GB2312" w:eastAsia="仿宋_GB2312" w:cs="仿宋_GB2312"/>
              </w:rPr>
              <w:t>需有大于40Gbps的上联能力（可采用单独40Gbps接口，也可以通过独立光通道或者波分复用通道采用链路聚合方式实现），其他</w:t>
            </w:r>
            <w:r>
              <w:rPr>
                <w:rFonts w:ascii="仿宋_GB2312" w:hAnsi="仿宋_GB2312" w:eastAsia="仿宋_GB2312" w:cs="仿宋_GB2312"/>
                <w:lang w:eastAsia="zh-CN"/>
              </w:rPr>
              <w:t>POE接入设备</w:t>
            </w:r>
            <w:r>
              <w:rPr>
                <w:rFonts w:ascii="仿宋_GB2312" w:hAnsi="仿宋_GB2312" w:eastAsia="仿宋_GB2312" w:cs="仿宋_GB2312"/>
              </w:rPr>
              <w:t>通过20Gbps光纤线路上联，完成用户数据的汇聚；无线控制器双万兆旁挂在东区</w:t>
            </w:r>
            <w:r>
              <w:rPr>
                <w:rFonts w:ascii="仿宋_GB2312" w:hAnsi="仿宋_GB2312" w:eastAsia="仿宋_GB2312" w:cs="仿宋_GB2312"/>
                <w:lang w:eastAsia="zh-CN"/>
              </w:rPr>
              <w:t>数据转发设备</w:t>
            </w:r>
            <w:r>
              <w:rPr>
                <w:rFonts w:ascii="仿宋_GB2312" w:hAnsi="仿宋_GB2312" w:eastAsia="仿宋_GB2312" w:cs="仿宋_GB2312"/>
              </w:rPr>
              <w:t>上。</w:t>
            </w:r>
          </w:p>
          <w:p w14:paraId="6196262A">
            <w:pPr>
              <w:pStyle w:val="7"/>
              <w:ind w:firstLine="400" w:firstLineChars="200"/>
              <w:rPr>
                <w:rFonts w:hint="default" w:ascii="仿宋_GB2312" w:hAnsi="仿宋_GB2312" w:eastAsia="仿宋_GB2312" w:cs="仿宋_GB2312"/>
              </w:rPr>
            </w:pPr>
            <w:r>
              <w:rPr>
                <w:rFonts w:ascii="仿宋_GB2312" w:hAnsi="仿宋_GB2312" w:eastAsia="仿宋_GB2312" w:cs="仿宋_GB2312"/>
              </w:rPr>
              <w:t>无线接入网络采用瘦AP架构，选用支持802.11be协议的AP进行室内无线覆盖。根据不同的用户使用场景和接入密集程度，分别选用面板式AP、普通放装AP和两种不同性能的高密AP等进行无线信号覆盖。无线网络数据采用本地转发，保障用户数据转发高效性、稳定性。</w:t>
            </w:r>
          </w:p>
          <w:p w14:paraId="7B7EBA04">
            <w:pPr>
              <w:pStyle w:val="7"/>
              <w:ind w:firstLine="400" w:firstLineChars="200"/>
              <w:rPr>
                <w:rFonts w:hint="default" w:ascii="仿宋_GB2312" w:hAnsi="仿宋_GB2312" w:eastAsia="仿宋_GB2312" w:cs="仿宋_GB2312"/>
              </w:rPr>
            </w:pPr>
            <w:r>
              <w:rPr>
                <w:rFonts w:ascii="仿宋_GB2312" w:hAnsi="仿宋_GB2312" w:eastAsia="仿宋_GB2312" w:cs="仿宋_GB2312"/>
              </w:rPr>
              <w:t>网络管理部分主要将本项目设备纳入现有网络管理系统进行运维管理，同时部署基于用户数据分析的无线网络优化系统，分析网络运行情况，进行网络优化。</w:t>
            </w:r>
          </w:p>
          <w:p w14:paraId="20EBFF77">
            <w:pPr>
              <w:pStyle w:val="7"/>
              <w:ind w:firstLine="402" w:firstLineChars="200"/>
              <w:rPr>
                <w:rFonts w:hint="default" w:ascii="仿宋_GB2312" w:hAnsi="仿宋_GB2312" w:eastAsia="仿宋_GB2312" w:cs="仿宋_GB2312"/>
                <w:b/>
                <w:bCs/>
              </w:rPr>
            </w:pPr>
            <w:r>
              <w:rPr>
                <w:rFonts w:ascii="仿宋_GB2312" w:hAnsi="仿宋_GB2312" w:eastAsia="仿宋_GB2312" w:cs="仿宋_GB2312"/>
                <w:b/>
                <w:bCs/>
                <w:lang w:eastAsia="zh-CN"/>
              </w:rPr>
              <w:t>（2）</w:t>
            </w:r>
            <w:r>
              <w:rPr>
                <w:rFonts w:ascii="仿宋_GB2312" w:hAnsi="仿宋_GB2312" w:eastAsia="仿宋_GB2312" w:cs="仿宋_GB2312"/>
                <w:b/>
                <w:bCs/>
              </w:rPr>
              <w:t>网络覆盖</w:t>
            </w:r>
          </w:p>
          <w:p w14:paraId="2A095714">
            <w:pPr>
              <w:pStyle w:val="7"/>
              <w:ind w:firstLine="400" w:firstLineChars="200"/>
              <w:rPr>
                <w:rFonts w:hint="default" w:ascii="仿宋_GB2312" w:hAnsi="仿宋_GB2312" w:eastAsia="仿宋_GB2312" w:cs="仿宋_GB2312"/>
              </w:rPr>
            </w:pPr>
            <w:r>
              <w:rPr>
                <w:rFonts w:ascii="仿宋_GB2312" w:hAnsi="仿宋_GB2312" w:eastAsia="仿宋_GB2312" w:cs="仿宋_GB2312"/>
              </w:rPr>
              <w:t xml:space="preserve">本次建设采用全网统一的SSID实现长安校区东区逸夫楼无线网络的全覆盖，覆盖范围为逸夫楼室内区域。为保证无线网络服务质量，所有区域均需实现2.4G和5G信号的覆盖，室内无线信号强度不低于-65dBm。各区域无线AP连接到配线间（架）的POE接入设备， </w:t>
            </w:r>
            <w:r>
              <w:rPr>
                <w:rFonts w:ascii="仿宋_GB2312" w:hAnsi="仿宋_GB2312" w:eastAsia="仿宋_GB2312" w:cs="仿宋_GB2312"/>
                <w:lang w:eastAsia="zh-CN"/>
              </w:rPr>
              <w:t>POE接入设备</w:t>
            </w:r>
            <w:r>
              <w:rPr>
                <w:rFonts w:ascii="仿宋_GB2312" w:hAnsi="仿宋_GB2312" w:eastAsia="仿宋_GB2312" w:cs="仿宋_GB2312"/>
              </w:rPr>
              <w:t>通过光纤连接区域内的</w:t>
            </w:r>
            <w:r>
              <w:rPr>
                <w:rFonts w:ascii="仿宋_GB2312" w:hAnsi="仿宋_GB2312" w:eastAsia="仿宋_GB2312" w:cs="仿宋_GB2312"/>
                <w:lang w:eastAsia="zh-CN"/>
              </w:rPr>
              <w:t>区域传输设备</w:t>
            </w:r>
            <w:r>
              <w:rPr>
                <w:rFonts w:ascii="仿宋_GB2312" w:hAnsi="仿宋_GB2312" w:eastAsia="仿宋_GB2312" w:cs="仿宋_GB2312"/>
              </w:rPr>
              <w:t>，</w:t>
            </w:r>
            <w:r>
              <w:rPr>
                <w:rFonts w:ascii="仿宋_GB2312" w:hAnsi="仿宋_GB2312" w:eastAsia="仿宋_GB2312" w:cs="仿宋_GB2312"/>
                <w:lang w:eastAsia="zh-CN"/>
              </w:rPr>
              <w:t>区域传输设备</w:t>
            </w:r>
            <w:r>
              <w:rPr>
                <w:rFonts w:ascii="仿宋_GB2312" w:hAnsi="仿宋_GB2312" w:eastAsia="仿宋_GB2312" w:cs="仿宋_GB2312"/>
              </w:rPr>
              <w:t>上联至位于长安校区东区机房的</w:t>
            </w:r>
            <w:r>
              <w:rPr>
                <w:rFonts w:ascii="仿宋_GB2312" w:hAnsi="仿宋_GB2312" w:eastAsia="仿宋_GB2312" w:cs="仿宋_GB2312"/>
                <w:lang w:eastAsia="zh-CN"/>
              </w:rPr>
              <w:t>数据转发设备</w:t>
            </w:r>
            <w:r>
              <w:rPr>
                <w:rFonts w:ascii="仿宋_GB2312" w:hAnsi="仿宋_GB2312" w:eastAsia="仿宋_GB2312" w:cs="仿宋_GB2312"/>
              </w:rPr>
              <w:t>。</w:t>
            </w:r>
          </w:p>
          <w:p w14:paraId="11739329">
            <w:pPr>
              <w:pStyle w:val="7"/>
              <w:ind w:firstLine="400" w:firstLineChars="200"/>
              <w:rPr>
                <w:rFonts w:hint="default" w:ascii="仿宋_GB2312" w:hAnsi="仿宋_GB2312" w:eastAsia="仿宋_GB2312" w:cs="仿宋_GB2312"/>
              </w:rPr>
            </w:pPr>
            <w:r>
              <w:rPr>
                <w:rFonts w:ascii="仿宋_GB2312" w:hAnsi="仿宋_GB2312" w:eastAsia="仿宋_GB2312" w:cs="仿宋_GB2312"/>
              </w:rPr>
              <w:t>办公室等空间格局比较整齐、应用场景简单，根据面积大小部署面板或者普通放装AP。实施中需结合优化策略在满足用户体验的基础上降低信号干扰，同时要求AP能提供四个及以上RJ45接口，为有线网络和无线网络的一体化预留接入能力。</w:t>
            </w:r>
          </w:p>
          <w:p w14:paraId="74B8BCBD">
            <w:pPr>
              <w:pStyle w:val="7"/>
              <w:ind w:firstLine="400" w:firstLineChars="200"/>
              <w:rPr>
                <w:rFonts w:hint="default" w:ascii="仿宋_GB2312" w:hAnsi="仿宋_GB2312" w:eastAsia="仿宋_GB2312" w:cs="仿宋_GB2312"/>
              </w:rPr>
            </w:pPr>
            <w:r>
              <w:rPr>
                <w:rFonts w:ascii="仿宋_GB2312" w:hAnsi="仿宋_GB2312" w:eastAsia="仿宋_GB2312" w:cs="仿宋_GB2312"/>
              </w:rPr>
              <w:t>会议室、教研室等区域终端数量多，并发数量大，单个终端突发数据流量较大，但通信时间一般持续较短，需避免同频干扰，平衡接入设备的负载，计划采用三频六流高密AP部署方案提升用户终端网络可用性，实现高密度的无线覆盖能力。</w:t>
            </w:r>
          </w:p>
          <w:p w14:paraId="706D7BA3">
            <w:pPr>
              <w:pStyle w:val="7"/>
              <w:ind w:firstLine="400" w:firstLineChars="200"/>
              <w:rPr>
                <w:rFonts w:hint="default" w:ascii="仿宋_GB2312" w:hAnsi="仿宋_GB2312" w:eastAsia="仿宋_GB2312" w:cs="仿宋_GB2312"/>
              </w:rPr>
            </w:pPr>
            <w:r>
              <w:rPr>
                <w:rFonts w:ascii="仿宋_GB2312" w:hAnsi="仿宋_GB2312" w:eastAsia="仿宋_GB2312" w:cs="仿宋_GB2312"/>
              </w:rPr>
              <w:t>部分实验室、科研用房和自习室等空间人员密度大、接入终端种类繁多、应用复杂，会话并发数量大、大流量数据持续时间长、终端间干扰严重，用户对网络延时、抖动等服务质量要求高。设计采用三频八流高密AP高吞吐性能部署方案，提高网络覆盖信号质量和大流量接入能力。</w:t>
            </w:r>
          </w:p>
          <w:p w14:paraId="49FEE8DB">
            <w:pPr>
              <w:pStyle w:val="7"/>
              <w:ind w:firstLine="400" w:firstLineChars="200"/>
              <w:rPr>
                <w:rFonts w:hint="default" w:ascii="仿宋_GB2312" w:hAnsi="仿宋_GB2312" w:eastAsia="仿宋_GB2312" w:cs="仿宋_GB2312"/>
              </w:rPr>
            </w:pPr>
            <w:r>
              <w:rPr>
                <w:rFonts w:ascii="仿宋_GB2312" w:hAnsi="仿宋_GB2312" w:eastAsia="仿宋_GB2312" w:cs="仿宋_GB2312"/>
              </w:rPr>
              <w:t>根据实地勘察情况，考虑以上场景化需求，为保证信号覆盖质量，本次建设中需要完成部署的设备类型和最小数量见下表，项目实施完成的接入点数量应不少于表中规划数量。</w:t>
            </w:r>
          </w:p>
          <w:tbl>
            <w:tblPr>
              <w:tblStyle w:val="5"/>
              <w:tblW w:w="4996" w:type="pct"/>
              <w:tblInd w:w="0" w:type="dxa"/>
              <w:tblLayout w:type="fixed"/>
              <w:tblCellMar>
                <w:top w:w="0" w:type="dxa"/>
                <w:left w:w="108" w:type="dxa"/>
                <w:bottom w:w="0" w:type="dxa"/>
                <w:right w:w="108" w:type="dxa"/>
              </w:tblCellMar>
            </w:tblPr>
            <w:tblGrid>
              <w:gridCol w:w="926"/>
              <w:gridCol w:w="1108"/>
              <w:gridCol w:w="1108"/>
              <w:gridCol w:w="561"/>
              <w:gridCol w:w="925"/>
              <w:gridCol w:w="1062"/>
              <w:gridCol w:w="1062"/>
            </w:tblGrid>
            <w:tr w14:paraId="4922D687">
              <w:tblPrEx>
                <w:tblCellMar>
                  <w:top w:w="0" w:type="dxa"/>
                  <w:left w:w="108" w:type="dxa"/>
                  <w:bottom w:w="0" w:type="dxa"/>
                  <w:right w:w="108" w:type="dxa"/>
                </w:tblCellMar>
              </w:tblPrEx>
              <w:trPr>
                <w:trHeight w:val="570" w:hRule="atLeast"/>
              </w:trPr>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592F965E">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序号</w:t>
                  </w:r>
                </w:p>
              </w:tc>
              <w:tc>
                <w:tcPr>
                  <w:tcW w:w="820" w:type="pct"/>
                  <w:tcBorders>
                    <w:top w:val="single" w:color="auto" w:sz="4" w:space="0"/>
                    <w:left w:val="nil"/>
                    <w:bottom w:val="single" w:color="auto" w:sz="4" w:space="0"/>
                    <w:right w:val="single" w:color="auto" w:sz="4" w:space="0"/>
                  </w:tcBorders>
                  <w:shd w:val="clear" w:color="auto" w:fill="auto"/>
                  <w:vAlign w:val="center"/>
                </w:tcPr>
                <w:p w14:paraId="11A883B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楼宇</w:t>
                  </w:r>
                </w:p>
              </w:tc>
              <w:tc>
                <w:tcPr>
                  <w:tcW w:w="820" w:type="pct"/>
                  <w:tcBorders>
                    <w:top w:val="single" w:color="auto" w:sz="4" w:space="0"/>
                    <w:left w:val="nil"/>
                    <w:bottom w:val="single" w:color="auto" w:sz="4" w:space="0"/>
                    <w:right w:val="single" w:color="auto" w:sz="4" w:space="0"/>
                  </w:tcBorders>
                  <w:shd w:val="clear" w:color="auto" w:fill="auto"/>
                  <w:vAlign w:val="center"/>
                </w:tcPr>
                <w:p w14:paraId="08D1EF1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楼层</w:t>
                  </w:r>
                </w:p>
              </w:tc>
              <w:tc>
                <w:tcPr>
                  <w:tcW w:w="415" w:type="pct"/>
                  <w:tcBorders>
                    <w:top w:val="single" w:color="auto" w:sz="4" w:space="0"/>
                    <w:left w:val="nil"/>
                    <w:bottom w:val="single" w:color="auto" w:sz="4" w:space="0"/>
                    <w:right w:val="single" w:color="auto" w:sz="4" w:space="0"/>
                  </w:tcBorders>
                  <w:shd w:val="clear" w:color="auto" w:fill="auto"/>
                  <w:vAlign w:val="center"/>
                </w:tcPr>
                <w:p w14:paraId="78CDA5C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面板</w:t>
                  </w:r>
                </w:p>
              </w:tc>
              <w:tc>
                <w:tcPr>
                  <w:tcW w:w="685" w:type="pct"/>
                  <w:tcBorders>
                    <w:top w:val="single" w:color="auto" w:sz="4" w:space="0"/>
                    <w:left w:val="nil"/>
                    <w:bottom w:val="single" w:color="auto" w:sz="4" w:space="0"/>
                    <w:right w:val="single" w:color="auto" w:sz="4" w:space="0"/>
                  </w:tcBorders>
                  <w:shd w:val="clear" w:color="auto" w:fill="auto"/>
                  <w:vAlign w:val="center"/>
                </w:tcPr>
                <w:p w14:paraId="577EDAC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放装</w:t>
                  </w:r>
                </w:p>
                <w:p w14:paraId="045EE45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（普密）</w:t>
                  </w:r>
                </w:p>
              </w:tc>
              <w:tc>
                <w:tcPr>
                  <w:tcW w:w="786" w:type="pct"/>
                  <w:tcBorders>
                    <w:top w:val="single" w:color="auto" w:sz="4" w:space="0"/>
                    <w:left w:val="nil"/>
                    <w:bottom w:val="single" w:color="auto" w:sz="4" w:space="0"/>
                    <w:right w:val="single" w:color="auto" w:sz="4" w:space="0"/>
                  </w:tcBorders>
                  <w:shd w:val="clear" w:color="auto" w:fill="auto"/>
                  <w:vAlign w:val="center"/>
                </w:tcPr>
                <w:p w14:paraId="6C54AAB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放装</w:t>
                  </w:r>
                </w:p>
                <w:p w14:paraId="476ADE6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（高密1）</w:t>
                  </w:r>
                </w:p>
              </w:tc>
              <w:tc>
                <w:tcPr>
                  <w:tcW w:w="786" w:type="pct"/>
                  <w:tcBorders>
                    <w:top w:val="single" w:color="auto" w:sz="4" w:space="0"/>
                    <w:left w:val="nil"/>
                    <w:bottom w:val="single" w:color="auto" w:sz="4" w:space="0"/>
                    <w:right w:val="single" w:color="auto" w:sz="4" w:space="0"/>
                  </w:tcBorders>
                  <w:shd w:val="clear" w:color="auto" w:fill="auto"/>
                  <w:vAlign w:val="center"/>
                </w:tcPr>
                <w:p w14:paraId="744321C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放装</w:t>
                  </w:r>
                </w:p>
                <w:p w14:paraId="69E31ED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（高密2）</w:t>
                  </w:r>
                </w:p>
              </w:tc>
            </w:tr>
            <w:tr w14:paraId="00F9022A">
              <w:tblPrEx>
                <w:tblCellMar>
                  <w:top w:w="0" w:type="dxa"/>
                  <w:left w:w="108" w:type="dxa"/>
                  <w:bottom w:w="0" w:type="dxa"/>
                  <w:right w:w="108" w:type="dxa"/>
                </w:tblCellMar>
              </w:tblPrEx>
              <w:trPr>
                <w:trHeight w:val="285" w:hRule="atLeast"/>
              </w:trPr>
              <w:tc>
                <w:tcPr>
                  <w:tcW w:w="685" w:type="pct"/>
                  <w:vMerge w:val="restart"/>
                  <w:tcBorders>
                    <w:top w:val="nil"/>
                    <w:left w:val="single" w:color="auto" w:sz="4" w:space="0"/>
                    <w:bottom w:val="single" w:color="auto" w:sz="4" w:space="0"/>
                    <w:right w:val="single" w:color="auto" w:sz="4" w:space="0"/>
                  </w:tcBorders>
                  <w:shd w:val="clear" w:color="auto" w:fill="auto"/>
                  <w:noWrap/>
                  <w:vAlign w:val="center"/>
                </w:tcPr>
                <w:p w14:paraId="588CCA4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820" w:type="pct"/>
                  <w:vMerge w:val="restart"/>
                  <w:tcBorders>
                    <w:top w:val="nil"/>
                    <w:left w:val="single" w:color="auto" w:sz="4" w:space="0"/>
                    <w:bottom w:val="single" w:color="auto" w:sz="4" w:space="0"/>
                    <w:right w:val="single" w:color="auto" w:sz="4" w:space="0"/>
                  </w:tcBorders>
                  <w:shd w:val="clear" w:color="auto" w:fill="auto"/>
                  <w:vAlign w:val="center"/>
                </w:tcPr>
                <w:p w14:paraId="76A79EC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逸夫楼</w:t>
                  </w:r>
                </w:p>
                <w:p w14:paraId="2C3868A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东北</w:t>
                  </w:r>
                </w:p>
              </w:tc>
              <w:tc>
                <w:tcPr>
                  <w:tcW w:w="820" w:type="pct"/>
                  <w:tcBorders>
                    <w:top w:val="nil"/>
                    <w:left w:val="nil"/>
                    <w:bottom w:val="single" w:color="auto" w:sz="4" w:space="0"/>
                    <w:right w:val="single" w:color="auto" w:sz="4" w:space="0"/>
                  </w:tcBorders>
                  <w:shd w:val="clear" w:color="auto" w:fill="auto"/>
                  <w:noWrap/>
                  <w:vAlign w:val="center"/>
                </w:tcPr>
                <w:p w14:paraId="0B1368E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415" w:type="pct"/>
                  <w:tcBorders>
                    <w:top w:val="nil"/>
                    <w:left w:val="nil"/>
                    <w:bottom w:val="single" w:color="auto" w:sz="4" w:space="0"/>
                    <w:right w:val="single" w:color="auto" w:sz="4" w:space="0"/>
                  </w:tcBorders>
                  <w:shd w:val="clear" w:color="auto" w:fill="auto"/>
                  <w:noWrap/>
                  <w:vAlign w:val="center"/>
                </w:tcPr>
                <w:p w14:paraId="02ABE2B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685" w:type="pct"/>
                  <w:tcBorders>
                    <w:top w:val="nil"/>
                    <w:left w:val="nil"/>
                    <w:bottom w:val="single" w:color="auto" w:sz="4" w:space="0"/>
                    <w:right w:val="single" w:color="auto" w:sz="4" w:space="0"/>
                  </w:tcBorders>
                  <w:shd w:val="clear" w:color="auto" w:fill="auto"/>
                  <w:noWrap/>
                  <w:vAlign w:val="center"/>
                </w:tcPr>
                <w:p w14:paraId="1724A7C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786" w:type="pct"/>
                  <w:tcBorders>
                    <w:top w:val="nil"/>
                    <w:left w:val="nil"/>
                    <w:bottom w:val="single" w:color="auto" w:sz="4" w:space="0"/>
                    <w:right w:val="single" w:color="auto" w:sz="4" w:space="0"/>
                  </w:tcBorders>
                  <w:shd w:val="clear" w:color="auto" w:fill="auto"/>
                  <w:noWrap/>
                  <w:vAlign w:val="center"/>
                </w:tcPr>
                <w:p w14:paraId="744519F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786" w:type="pct"/>
                  <w:tcBorders>
                    <w:top w:val="nil"/>
                    <w:left w:val="nil"/>
                    <w:bottom w:val="single" w:color="auto" w:sz="4" w:space="0"/>
                    <w:right w:val="single" w:color="auto" w:sz="4" w:space="0"/>
                  </w:tcBorders>
                  <w:shd w:val="clear" w:color="auto" w:fill="auto"/>
                  <w:noWrap/>
                  <w:vAlign w:val="center"/>
                </w:tcPr>
                <w:p w14:paraId="1A03058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642B3704">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6BD4B61C">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5A5B3A7F">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78DFF5E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415" w:type="pct"/>
                  <w:tcBorders>
                    <w:top w:val="nil"/>
                    <w:left w:val="nil"/>
                    <w:bottom w:val="single" w:color="auto" w:sz="4" w:space="0"/>
                    <w:right w:val="single" w:color="auto" w:sz="4" w:space="0"/>
                  </w:tcBorders>
                  <w:shd w:val="clear" w:color="auto" w:fill="auto"/>
                  <w:noWrap/>
                  <w:vAlign w:val="center"/>
                </w:tcPr>
                <w:p w14:paraId="42EA4C2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685" w:type="pct"/>
                  <w:tcBorders>
                    <w:top w:val="nil"/>
                    <w:left w:val="nil"/>
                    <w:bottom w:val="single" w:color="auto" w:sz="4" w:space="0"/>
                    <w:right w:val="single" w:color="auto" w:sz="4" w:space="0"/>
                  </w:tcBorders>
                  <w:shd w:val="clear" w:color="auto" w:fill="auto"/>
                  <w:noWrap/>
                  <w:vAlign w:val="center"/>
                </w:tcPr>
                <w:p w14:paraId="31776F5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786" w:type="pct"/>
                  <w:tcBorders>
                    <w:top w:val="nil"/>
                    <w:left w:val="nil"/>
                    <w:bottom w:val="single" w:color="auto" w:sz="4" w:space="0"/>
                    <w:right w:val="single" w:color="auto" w:sz="4" w:space="0"/>
                  </w:tcBorders>
                  <w:shd w:val="clear" w:color="auto" w:fill="auto"/>
                  <w:noWrap/>
                  <w:vAlign w:val="center"/>
                </w:tcPr>
                <w:p w14:paraId="4DF674C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02E9F36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r>
            <w:tr w14:paraId="1917D458">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68EA7FAD">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0730FDEC">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7D89F3B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415" w:type="pct"/>
                  <w:tcBorders>
                    <w:top w:val="nil"/>
                    <w:left w:val="nil"/>
                    <w:bottom w:val="single" w:color="auto" w:sz="4" w:space="0"/>
                    <w:right w:val="single" w:color="auto" w:sz="4" w:space="0"/>
                  </w:tcBorders>
                  <w:shd w:val="clear" w:color="auto" w:fill="auto"/>
                  <w:noWrap/>
                  <w:vAlign w:val="center"/>
                </w:tcPr>
                <w:p w14:paraId="3056A68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073FE2D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38EEECE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4102879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11</w:t>
                  </w:r>
                </w:p>
              </w:tc>
            </w:tr>
            <w:tr w14:paraId="1B7CB7CD">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4239E173">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418ADC6F">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0737582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415" w:type="pct"/>
                  <w:tcBorders>
                    <w:top w:val="nil"/>
                    <w:left w:val="nil"/>
                    <w:bottom w:val="single" w:color="auto" w:sz="4" w:space="0"/>
                    <w:right w:val="single" w:color="auto" w:sz="4" w:space="0"/>
                  </w:tcBorders>
                  <w:shd w:val="clear" w:color="auto" w:fill="auto"/>
                  <w:noWrap/>
                  <w:vAlign w:val="center"/>
                </w:tcPr>
                <w:p w14:paraId="713CC09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42B5D34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5476091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4F4815E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11</w:t>
                  </w:r>
                </w:p>
              </w:tc>
            </w:tr>
            <w:tr w14:paraId="3BC7C83F">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1AA40380">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2126F8AE">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6F1EE10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415" w:type="pct"/>
                  <w:tcBorders>
                    <w:top w:val="nil"/>
                    <w:left w:val="nil"/>
                    <w:bottom w:val="single" w:color="auto" w:sz="4" w:space="0"/>
                    <w:right w:val="single" w:color="auto" w:sz="4" w:space="0"/>
                  </w:tcBorders>
                  <w:shd w:val="clear" w:color="auto" w:fill="auto"/>
                  <w:noWrap/>
                  <w:vAlign w:val="center"/>
                </w:tcPr>
                <w:p w14:paraId="0EAAF39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4F5027B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5111AB3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2DE16AB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r>
            <w:tr w14:paraId="11DA0A33">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7A59E396">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657CF55D">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05DDE50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415" w:type="pct"/>
                  <w:tcBorders>
                    <w:top w:val="nil"/>
                    <w:left w:val="nil"/>
                    <w:bottom w:val="single" w:color="auto" w:sz="4" w:space="0"/>
                    <w:right w:val="single" w:color="auto" w:sz="4" w:space="0"/>
                  </w:tcBorders>
                  <w:shd w:val="clear" w:color="auto" w:fill="auto"/>
                  <w:noWrap/>
                  <w:vAlign w:val="center"/>
                </w:tcPr>
                <w:p w14:paraId="2CA7004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1DC25E0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449D781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68153D3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r>
            <w:tr w14:paraId="6C172D3E">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74C6083D">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6C36F176">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12DA2BE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c>
                <w:tcPr>
                  <w:tcW w:w="415" w:type="pct"/>
                  <w:tcBorders>
                    <w:top w:val="nil"/>
                    <w:left w:val="nil"/>
                    <w:bottom w:val="single" w:color="auto" w:sz="4" w:space="0"/>
                    <w:right w:val="single" w:color="auto" w:sz="4" w:space="0"/>
                  </w:tcBorders>
                  <w:shd w:val="clear" w:color="auto" w:fill="auto"/>
                  <w:noWrap/>
                  <w:vAlign w:val="center"/>
                </w:tcPr>
                <w:p w14:paraId="56D26C3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18</w:t>
                  </w:r>
                </w:p>
              </w:tc>
              <w:tc>
                <w:tcPr>
                  <w:tcW w:w="685" w:type="pct"/>
                  <w:tcBorders>
                    <w:top w:val="nil"/>
                    <w:left w:val="nil"/>
                    <w:bottom w:val="single" w:color="auto" w:sz="4" w:space="0"/>
                    <w:right w:val="single" w:color="auto" w:sz="4" w:space="0"/>
                  </w:tcBorders>
                  <w:shd w:val="clear" w:color="auto" w:fill="auto"/>
                  <w:noWrap/>
                  <w:vAlign w:val="center"/>
                </w:tcPr>
                <w:p w14:paraId="618E887E">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3417360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79812FE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02A2E1D3">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502FA79F">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4F3E6197">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2732CE1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c>
                <w:tcPr>
                  <w:tcW w:w="415" w:type="pct"/>
                  <w:tcBorders>
                    <w:top w:val="nil"/>
                    <w:left w:val="nil"/>
                    <w:bottom w:val="single" w:color="auto" w:sz="4" w:space="0"/>
                    <w:right w:val="single" w:color="auto" w:sz="4" w:space="0"/>
                  </w:tcBorders>
                  <w:shd w:val="clear" w:color="auto" w:fill="auto"/>
                  <w:noWrap/>
                  <w:vAlign w:val="center"/>
                </w:tcPr>
                <w:p w14:paraId="631972A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9</w:t>
                  </w:r>
                </w:p>
              </w:tc>
              <w:tc>
                <w:tcPr>
                  <w:tcW w:w="685" w:type="pct"/>
                  <w:tcBorders>
                    <w:top w:val="nil"/>
                    <w:left w:val="nil"/>
                    <w:bottom w:val="single" w:color="auto" w:sz="4" w:space="0"/>
                    <w:right w:val="single" w:color="auto" w:sz="4" w:space="0"/>
                  </w:tcBorders>
                  <w:shd w:val="clear" w:color="auto" w:fill="auto"/>
                  <w:noWrap/>
                  <w:vAlign w:val="center"/>
                </w:tcPr>
                <w:p w14:paraId="6250DEF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53858EB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45C0705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r>
            <w:tr w14:paraId="318E9BAB">
              <w:tblPrEx>
                <w:tblCellMar>
                  <w:top w:w="0" w:type="dxa"/>
                  <w:left w:w="108" w:type="dxa"/>
                  <w:bottom w:w="0" w:type="dxa"/>
                  <w:right w:w="108" w:type="dxa"/>
                </w:tblCellMar>
              </w:tblPrEx>
              <w:trPr>
                <w:trHeight w:val="277" w:hRule="atLeast"/>
              </w:trPr>
              <w:tc>
                <w:tcPr>
                  <w:tcW w:w="685" w:type="pct"/>
                  <w:vMerge w:val="restart"/>
                  <w:tcBorders>
                    <w:top w:val="nil"/>
                    <w:left w:val="single" w:color="auto" w:sz="4" w:space="0"/>
                    <w:bottom w:val="single" w:color="auto" w:sz="4" w:space="0"/>
                    <w:right w:val="single" w:color="auto" w:sz="4" w:space="0"/>
                  </w:tcBorders>
                  <w:shd w:val="clear" w:color="auto" w:fill="auto"/>
                  <w:noWrap/>
                  <w:vAlign w:val="center"/>
                </w:tcPr>
                <w:p w14:paraId="3DBE06D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820" w:type="pct"/>
                  <w:vMerge w:val="restart"/>
                  <w:tcBorders>
                    <w:top w:val="nil"/>
                    <w:left w:val="single" w:color="auto" w:sz="4" w:space="0"/>
                    <w:bottom w:val="single" w:color="auto" w:sz="4" w:space="0"/>
                    <w:right w:val="single" w:color="auto" w:sz="4" w:space="0"/>
                  </w:tcBorders>
                  <w:shd w:val="clear" w:color="auto" w:fill="auto"/>
                  <w:vAlign w:val="center"/>
                </w:tcPr>
                <w:p w14:paraId="3E18250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逸夫楼东南</w:t>
                  </w:r>
                </w:p>
              </w:tc>
              <w:tc>
                <w:tcPr>
                  <w:tcW w:w="820" w:type="pct"/>
                  <w:tcBorders>
                    <w:top w:val="nil"/>
                    <w:left w:val="nil"/>
                    <w:bottom w:val="single" w:color="auto" w:sz="4" w:space="0"/>
                    <w:right w:val="single" w:color="auto" w:sz="4" w:space="0"/>
                  </w:tcBorders>
                  <w:shd w:val="clear" w:color="auto" w:fill="auto"/>
                  <w:noWrap/>
                  <w:vAlign w:val="center"/>
                </w:tcPr>
                <w:p w14:paraId="3F50F7E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415" w:type="pct"/>
                  <w:tcBorders>
                    <w:top w:val="nil"/>
                    <w:left w:val="nil"/>
                    <w:bottom w:val="single" w:color="auto" w:sz="4" w:space="0"/>
                    <w:right w:val="single" w:color="auto" w:sz="4" w:space="0"/>
                  </w:tcBorders>
                  <w:shd w:val="clear" w:color="auto" w:fill="auto"/>
                  <w:noWrap/>
                  <w:vAlign w:val="center"/>
                </w:tcPr>
                <w:p w14:paraId="2044010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685" w:type="pct"/>
                  <w:tcBorders>
                    <w:top w:val="nil"/>
                    <w:left w:val="nil"/>
                    <w:bottom w:val="single" w:color="auto" w:sz="4" w:space="0"/>
                    <w:right w:val="single" w:color="auto" w:sz="4" w:space="0"/>
                  </w:tcBorders>
                  <w:shd w:val="clear" w:color="auto" w:fill="auto"/>
                  <w:noWrap/>
                  <w:vAlign w:val="center"/>
                </w:tcPr>
                <w:p w14:paraId="6BE88A1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c>
                <w:tcPr>
                  <w:tcW w:w="786" w:type="pct"/>
                  <w:tcBorders>
                    <w:top w:val="nil"/>
                    <w:left w:val="nil"/>
                    <w:bottom w:val="single" w:color="auto" w:sz="4" w:space="0"/>
                    <w:right w:val="single" w:color="auto" w:sz="4" w:space="0"/>
                  </w:tcBorders>
                  <w:shd w:val="clear" w:color="auto" w:fill="auto"/>
                  <w:noWrap/>
                  <w:vAlign w:val="center"/>
                </w:tcPr>
                <w:p w14:paraId="53075E3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5CB547C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678AA96B">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46F6BFD2">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0329A6D2">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6FF17D5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415" w:type="pct"/>
                  <w:tcBorders>
                    <w:top w:val="nil"/>
                    <w:left w:val="nil"/>
                    <w:bottom w:val="single" w:color="auto" w:sz="4" w:space="0"/>
                    <w:right w:val="single" w:color="auto" w:sz="4" w:space="0"/>
                  </w:tcBorders>
                  <w:shd w:val="clear" w:color="auto" w:fill="auto"/>
                  <w:noWrap/>
                  <w:vAlign w:val="center"/>
                </w:tcPr>
                <w:p w14:paraId="1E631FA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685" w:type="pct"/>
                  <w:tcBorders>
                    <w:top w:val="nil"/>
                    <w:left w:val="nil"/>
                    <w:bottom w:val="single" w:color="auto" w:sz="4" w:space="0"/>
                    <w:right w:val="single" w:color="auto" w:sz="4" w:space="0"/>
                  </w:tcBorders>
                  <w:shd w:val="clear" w:color="auto" w:fill="auto"/>
                  <w:noWrap/>
                  <w:vAlign w:val="center"/>
                </w:tcPr>
                <w:p w14:paraId="5BC2CD9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786" w:type="pct"/>
                  <w:tcBorders>
                    <w:top w:val="nil"/>
                    <w:left w:val="nil"/>
                    <w:bottom w:val="single" w:color="auto" w:sz="4" w:space="0"/>
                    <w:right w:val="single" w:color="auto" w:sz="4" w:space="0"/>
                  </w:tcBorders>
                  <w:shd w:val="clear" w:color="auto" w:fill="auto"/>
                  <w:noWrap/>
                  <w:vAlign w:val="center"/>
                </w:tcPr>
                <w:p w14:paraId="5B561E5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11D65BC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r>
            <w:tr w14:paraId="4F2FCC25">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4D925173">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014B91FB">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4B2BFE8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415" w:type="pct"/>
                  <w:tcBorders>
                    <w:top w:val="nil"/>
                    <w:left w:val="nil"/>
                    <w:bottom w:val="single" w:color="auto" w:sz="4" w:space="0"/>
                    <w:right w:val="single" w:color="auto" w:sz="4" w:space="0"/>
                  </w:tcBorders>
                  <w:shd w:val="clear" w:color="auto" w:fill="auto"/>
                  <w:noWrap/>
                  <w:vAlign w:val="center"/>
                </w:tcPr>
                <w:p w14:paraId="71D18C8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0F087DB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53CBC6B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4B92861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r>
            <w:tr w14:paraId="5843C64A">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77B77776">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546EE9C5">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3E0B06CE">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415" w:type="pct"/>
                  <w:tcBorders>
                    <w:top w:val="nil"/>
                    <w:left w:val="nil"/>
                    <w:bottom w:val="single" w:color="auto" w:sz="4" w:space="0"/>
                    <w:right w:val="single" w:color="auto" w:sz="4" w:space="0"/>
                  </w:tcBorders>
                  <w:shd w:val="clear" w:color="auto" w:fill="auto"/>
                  <w:noWrap/>
                  <w:vAlign w:val="center"/>
                </w:tcPr>
                <w:p w14:paraId="4810D75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685" w:type="pct"/>
                  <w:tcBorders>
                    <w:top w:val="nil"/>
                    <w:left w:val="nil"/>
                    <w:bottom w:val="single" w:color="auto" w:sz="4" w:space="0"/>
                    <w:right w:val="single" w:color="auto" w:sz="4" w:space="0"/>
                  </w:tcBorders>
                  <w:shd w:val="clear" w:color="auto" w:fill="auto"/>
                  <w:noWrap/>
                  <w:vAlign w:val="center"/>
                </w:tcPr>
                <w:p w14:paraId="4921070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786" w:type="pct"/>
                  <w:tcBorders>
                    <w:top w:val="nil"/>
                    <w:left w:val="nil"/>
                    <w:bottom w:val="single" w:color="auto" w:sz="4" w:space="0"/>
                    <w:right w:val="single" w:color="auto" w:sz="4" w:space="0"/>
                  </w:tcBorders>
                  <w:shd w:val="clear" w:color="auto" w:fill="auto"/>
                  <w:noWrap/>
                  <w:vAlign w:val="center"/>
                </w:tcPr>
                <w:p w14:paraId="1317981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0B33AB6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r>
            <w:tr w14:paraId="7CC39234">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3B1AFB58">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15293F7B">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6A75035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415" w:type="pct"/>
                  <w:tcBorders>
                    <w:top w:val="nil"/>
                    <w:left w:val="nil"/>
                    <w:bottom w:val="single" w:color="auto" w:sz="4" w:space="0"/>
                    <w:right w:val="single" w:color="auto" w:sz="4" w:space="0"/>
                  </w:tcBorders>
                  <w:shd w:val="clear" w:color="auto" w:fill="auto"/>
                  <w:noWrap/>
                  <w:vAlign w:val="center"/>
                </w:tcPr>
                <w:p w14:paraId="260ECAA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2081F1B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3421D88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117CD35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r>
            <w:tr w14:paraId="119F8ADF">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75CCD58A">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4E290AB0">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178BF00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415" w:type="pct"/>
                  <w:tcBorders>
                    <w:top w:val="nil"/>
                    <w:left w:val="nil"/>
                    <w:bottom w:val="single" w:color="auto" w:sz="4" w:space="0"/>
                    <w:right w:val="single" w:color="auto" w:sz="4" w:space="0"/>
                  </w:tcBorders>
                  <w:shd w:val="clear" w:color="auto" w:fill="auto"/>
                  <w:noWrap/>
                  <w:vAlign w:val="center"/>
                </w:tcPr>
                <w:p w14:paraId="6E83500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685" w:type="pct"/>
                  <w:tcBorders>
                    <w:top w:val="nil"/>
                    <w:left w:val="nil"/>
                    <w:bottom w:val="single" w:color="auto" w:sz="4" w:space="0"/>
                    <w:right w:val="single" w:color="auto" w:sz="4" w:space="0"/>
                  </w:tcBorders>
                  <w:shd w:val="clear" w:color="auto" w:fill="auto"/>
                  <w:noWrap/>
                  <w:vAlign w:val="center"/>
                </w:tcPr>
                <w:p w14:paraId="3EA2B59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031D955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786" w:type="pct"/>
                  <w:tcBorders>
                    <w:top w:val="nil"/>
                    <w:left w:val="nil"/>
                    <w:bottom w:val="single" w:color="auto" w:sz="4" w:space="0"/>
                    <w:right w:val="single" w:color="auto" w:sz="4" w:space="0"/>
                  </w:tcBorders>
                  <w:shd w:val="clear" w:color="auto" w:fill="auto"/>
                  <w:noWrap/>
                  <w:vAlign w:val="center"/>
                </w:tcPr>
                <w:p w14:paraId="20F5D2A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r>
            <w:tr w14:paraId="3AAAEF96">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309F3F97">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68574EA2">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7870815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c>
                <w:tcPr>
                  <w:tcW w:w="415" w:type="pct"/>
                  <w:tcBorders>
                    <w:top w:val="nil"/>
                    <w:left w:val="nil"/>
                    <w:bottom w:val="single" w:color="auto" w:sz="4" w:space="0"/>
                    <w:right w:val="single" w:color="auto" w:sz="4" w:space="0"/>
                  </w:tcBorders>
                  <w:shd w:val="clear" w:color="auto" w:fill="auto"/>
                  <w:noWrap/>
                  <w:vAlign w:val="center"/>
                </w:tcPr>
                <w:p w14:paraId="0F1E639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11</w:t>
                  </w:r>
                </w:p>
              </w:tc>
              <w:tc>
                <w:tcPr>
                  <w:tcW w:w="685" w:type="pct"/>
                  <w:tcBorders>
                    <w:top w:val="nil"/>
                    <w:left w:val="nil"/>
                    <w:bottom w:val="single" w:color="auto" w:sz="4" w:space="0"/>
                    <w:right w:val="single" w:color="auto" w:sz="4" w:space="0"/>
                  </w:tcBorders>
                  <w:shd w:val="clear" w:color="auto" w:fill="auto"/>
                  <w:noWrap/>
                  <w:vAlign w:val="center"/>
                </w:tcPr>
                <w:p w14:paraId="1BE0275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786" w:type="pct"/>
                  <w:tcBorders>
                    <w:top w:val="nil"/>
                    <w:left w:val="nil"/>
                    <w:bottom w:val="single" w:color="auto" w:sz="4" w:space="0"/>
                    <w:right w:val="single" w:color="auto" w:sz="4" w:space="0"/>
                  </w:tcBorders>
                  <w:shd w:val="clear" w:color="auto" w:fill="auto"/>
                  <w:noWrap/>
                  <w:vAlign w:val="center"/>
                </w:tcPr>
                <w:p w14:paraId="015151D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27BDE29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r>
            <w:tr w14:paraId="704DA0A6">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4AB610F7">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45B5B031">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6635272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c>
                <w:tcPr>
                  <w:tcW w:w="415" w:type="pct"/>
                  <w:tcBorders>
                    <w:top w:val="nil"/>
                    <w:left w:val="nil"/>
                    <w:bottom w:val="single" w:color="auto" w:sz="4" w:space="0"/>
                    <w:right w:val="single" w:color="auto" w:sz="4" w:space="0"/>
                  </w:tcBorders>
                  <w:shd w:val="clear" w:color="auto" w:fill="auto"/>
                  <w:noWrap/>
                  <w:vAlign w:val="center"/>
                </w:tcPr>
                <w:p w14:paraId="202D18A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685" w:type="pct"/>
                  <w:tcBorders>
                    <w:top w:val="nil"/>
                    <w:left w:val="nil"/>
                    <w:bottom w:val="single" w:color="auto" w:sz="4" w:space="0"/>
                    <w:right w:val="single" w:color="auto" w:sz="4" w:space="0"/>
                  </w:tcBorders>
                  <w:shd w:val="clear" w:color="auto" w:fill="auto"/>
                  <w:noWrap/>
                  <w:vAlign w:val="center"/>
                </w:tcPr>
                <w:p w14:paraId="7D18A68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35BA32C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433C030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2226A2F5">
              <w:tblPrEx>
                <w:tblCellMar>
                  <w:top w:w="0" w:type="dxa"/>
                  <w:left w:w="108" w:type="dxa"/>
                  <w:bottom w:w="0" w:type="dxa"/>
                  <w:right w:w="108" w:type="dxa"/>
                </w:tblCellMar>
              </w:tblPrEx>
              <w:trPr>
                <w:trHeight w:val="285" w:hRule="atLeast"/>
              </w:trPr>
              <w:tc>
                <w:tcPr>
                  <w:tcW w:w="685" w:type="pct"/>
                  <w:vMerge w:val="restart"/>
                  <w:tcBorders>
                    <w:top w:val="nil"/>
                    <w:left w:val="single" w:color="auto" w:sz="4" w:space="0"/>
                    <w:bottom w:val="single" w:color="000000" w:sz="4" w:space="0"/>
                    <w:right w:val="single" w:color="auto" w:sz="4" w:space="0"/>
                  </w:tcBorders>
                  <w:shd w:val="clear" w:color="auto" w:fill="auto"/>
                  <w:noWrap/>
                  <w:vAlign w:val="center"/>
                </w:tcPr>
                <w:p w14:paraId="6D18F07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820" w:type="pct"/>
                  <w:vMerge w:val="restart"/>
                  <w:tcBorders>
                    <w:top w:val="nil"/>
                    <w:left w:val="single" w:color="auto" w:sz="4" w:space="0"/>
                    <w:bottom w:val="single" w:color="000000" w:sz="4" w:space="0"/>
                    <w:right w:val="single" w:color="auto" w:sz="4" w:space="0"/>
                  </w:tcBorders>
                  <w:shd w:val="clear" w:color="auto" w:fill="auto"/>
                  <w:vAlign w:val="center"/>
                </w:tcPr>
                <w:p w14:paraId="70CE28A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逸夫楼东侧</w:t>
                  </w:r>
                </w:p>
              </w:tc>
              <w:tc>
                <w:tcPr>
                  <w:tcW w:w="820" w:type="pct"/>
                  <w:tcBorders>
                    <w:top w:val="nil"/>
                    <w:left w:val="nil"/>
                    <w:bottom w:val="single" w:color="auto" w:sz="4" w:space="0"/>
                    <w:right w:val="single" w:color="auto" w:sz="4" w:space="0"/>
                  </w:tcBorders>
                  <w:shd w:val="clear" w:color="auto" w:fill="auto"/>
                  <w:noWrap/>
                  <w:vAlign w:val="center"/>
                </w:tcPr>
                <w:p w14:paraId="2FFA484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东侧1层</w:t>
                  </w:r>
                </w:p>
              </w:tc>
              <w:tc>
                <w:tcPr>
                  <w:tcW w:w="415" w:type="pct"/>
                  <w:tcBorders>
                    <w:top w:val="nil"/>
                    <w:left w:val="nil"/>
                    <w:bottom w:val="single" w:color="auto" w:sz="4" w:space="0"/>
                    <w:right w:val="single" w:color="auto" w:sz="4" w:space="0"/>
                  </w:tcBorders>
                  <w:shd w:val="clear" w:color="auto" w:fill="auto"/>
                  <w:noWrap/>
                  <w:vAlign w:val="center"/>
                </w:tcPr>
                <w:p w14:paraId="2FB40C9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　</w:t>
                  </w:r>
                </w:p>
              </w:tc>
              <w:tc>
                <w:tcPr>
                  <w:tcW w:w="685" w:type="pct"/>
                  <w:tcBorders>
                    <w:top w:val="nil"/>
                    <w:left w:val="nil"/>
                    <w:bottom w:val="single" w:color="auto" w:sz="4" w:space="0"/>
                    <w:right w:val="single" w:color="auto" w:sz="4" w:space="0"/>
                  </w:tcBorders>
                  <w:shd w:val="clear" w:color="auto" w:fill="auto"/>
                  <w:noWrap/>
                  <w:vAlign w:val="center"/>
                </w:tcPr>
                <w:p w14:paraId="295397D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　</w:t>
                  </w:r>
                </w:p>
              </w:tc>
              <w:tc>
                <w:tcPr>
                  <w:tcW w:w="786" w:type="pct"/>
                  <w:tcBorders>
                    <w:top w:val="nil"/>
                    <w:left w:val="nil"/>
                    <w:bottom w:val="single" w:color="auto" w:sz="4" w:space="0"/>
                    <w:right w:val="single" w:color="auto" w:sz="4" w:space="0"/>
                  </w:tcBorders>
                  <w:shd w:val="clear" w:color="auto" w:fill="auto"/>
                  <w:noWrap/>
                  <w:vAlign w:val="center"/>
                </w:tcPr>
                <w:p w14:paraId="06F488D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786" w:type="pct"/>
                  <w:tcBorders>
                    <w:top w:val="nil"/>
                    <w:left w:val="nil"/>
                    <w:bottom w:val="single" w:color="auto" w:sz="4" w:space="0"/>
                    <w:right w:val="single" w:color="auto" w:sz="4" w:space="0"/>
                  </w:tcBorders>
                  <w:shd w:val="clear" w:color="auto" w:fill="auto"/>
                  <w:noWrap/>
                  <w:vAlign w:val="center"/>
                </w:tcPr>
                <w:p w14:paraId="6E327E5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070FC6B5">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000000" w:sz="4" w:space="0"/>
                    <w:right w:val="single" w:color="auto" w:sz="4" w:space="0"/>
                  </w:tcBorders>
                  <w:vAlign w:val="center"/>
                </w:tcPr>
                <w:p w14:paraId="3F465D82">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000000" w:sz="4" w:space="0"/>
                    <w:right w:val="single" w:color="auto" w:sz="4" w:space="0"/>
                  </w:tcBorders>
                  <w:vAlign w:val="center"/>
                </w:tcPr>
                <w:p w14:paraId="097E092A">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433247EE">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东侧2-7层</w:t>
                  </w:r>
                </w:p>
              </w:tc>
              <w:tc>
                <w:tcPr>
                  <w:tcW w:w="415" w:type="pct"/>
                  <w:tcBorders>
                    <w:top w:val="nil"/>
                    <w:left w:val="nil"/>
                    <w:bottom w:val="single" w:color="auto" w:sz="4" w:space="0"/>
                    <w:right w:val="single" w:color="auto" w:sz="4" w:space="0"/>
                  </w:tcBorders>
                  <w:shd w:val="clear" w:color="auto" w:fill="auto"/>
                  <w:noWrap/>
                  <w:vAlign w:val="center"/>
                </w:tcPr>
                <w:p w14:paraId="7AFE4DB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　</w:t>
                  </w:r>
                </w:p>
              </w:tc>
              <w:tc>
                <w:tcPr>
                  <w:tcW w:w="685" w:type="pct"/>
                  <w:tcBorders>
                    <w:top w:val="nil"/>
                    <w:left w:val="nil"/>
                    <w:bottom w:val="single" w:color="auto" w:sz="4" w:space="0"/>
                    <w:right w:val="single" w:color="auto" w:sz="4" w:space="0"/>
                  </w:tcBorders>
                  <w:shd w:val="clear" w:color="auto" w:fill="auto"/>
                  <w:noWrap/>
                  <w:vAlign w:val="center"/>
                </w:tcPr>
                <w:p w14:paraId="08F8B15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　</w:t>
                  </w:r>
                </w:p>
              </w:tc>
              <w:tc>
                <w:tcPr>
                  <w:tcW w:w="786" w:type="pct"/>
                  <w:tcBorders>
                    <w:top w:val="nil"/>
                    <w:left w:val="nil"/>
                    <w:bottom w:val="single" w:color="auto" w:sz="4" w:space="0"/>
                    <w:right w:val="single" w:color="auto" w:sz="4" w:space="0"/>
                  </w:tcBorders>
                  <w:shd w:val="clear" w:color="auto" w:fill="auto"/>
                  <w:noWrap/>
                  <w:vAlign w:val="center"/>
                </w:tcPr>
                <w:p w14:paraId="47B8F9B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1E503BB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28</w:t>
                  </w:r>
                </w:p>
              </w:tc>
            </w:tr>
            <w:tr w14:paraId="1E7D8473">
              <w:tblPrEx>
                <w:tblCellMar>
                  <w:top w:w="0" w:type="dxa"/>
                  <w:left w:w="108" w:type="dxa"/>
                  <w:bottom w:w="0" w:type="dxa"/>
                  <w:right w:w="108" w:type="dxa"/>
                </w:tblCellMar>
              </w:tblPrEx>
              <w:trPr>
                <w:trHeight w:val="285" w:hRule="atLeast"/>
              </w:trPr>
              <w:tc>
                <w:tcPr>
                  <w:tcW w:w="685" w:type="pct"/>
                  <w:vMerge w:val="restart"/>
                  <w:tcBorders>
                    <w:top w:val="nil"/>
                    <w:left w:val="single" w:color="auto" w:sz="4" w:space="0"/>
                    <w:bottom w:val="single" w:color="auto" w:sz="4" w:space="0"/>
                    <w:right w:val="single" w:color="auto" w:sz="4" w:space="0"/>
                  </w:tcBorders>
                  <w:shd w:val="clear" w:color="auto" w:fill="auto"/>
                  <w:noWrap/>
                  <w:vAlign w:val="center"/>
                </w:tcPr>
                <w:p w14:paraId="0346BE7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820" w:type="pct"/>
                  <w:vMerge w:val="restart"/>
                  <w:tcBorders>
                    <w:top w:val="nil"/>
                    <w:left w:val="single" w:color="auto" w:sz="4" w:space="0"/>
                    <w:bottom w:val="single" w:color="auto" w:sz="4" w:space="0"/>
                    <w:right w:val="single" w:color="auto" w:sz="4" w:space="0"/>
                  </w:tcBorders>
                  <w:shd w:val="clear" w:color="auto" w:fill="auto"/>
                  <w:vAlign w:val="center"/>
                </w:tcPr>
                <w:p w14:paraId="4C056AE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逸夫楼西北</w:t>
                  </w:r>
                </w:p>
              </w:tc>
              <w:tc>
                <w:tcPr>
                  <w:tcW w:w="820" w:type="pct"/>
                  <w:tcBorders>
                    <w:top w:val="nil"/>
                    <w:left w:val="nil"/>
                    <w:bottom w:val="single" w:color="auto" w:sz="4" w:space="0"/>
                    <w:right w:val="single" w:color="auto" w:sz="4" w:space="0"/>
                  </w:tcBorders>
                  <w:shd w:val="clear" w:color="auto" w:fill="auto"/>
                  <w:noWrap/>
                  <w:vAlign w:val="center"/>
                </w:tcPr>
                <w:p w14:paraId="06E2854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415" w:type="pct"/>
                  <w:tcBorders>
                    <w:top w:val="nil"/>
                    <w:left w:val="nil"/>
                    <w:bottom w:val="single" w:color="auto" w:sz="4" w:space="0"/>
                    <w:right w:val="single" w:color="auto" w:sz="4" w:space="0"/>
                  </w:tcBorders>
                  <w:shd w:val="clear" w:color="auto" w:fill="auto"/>
                  <w:noWrap/>
                  <w:vAlign w:val="center"/>
                </w:tcPr>
                <w:p w14:paraId="3B1E994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1FEA248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786" w:type="pct"/>
                  <w:tcBorders>
                    <w:top w:val="nil"/>
                    <w:left w:val="nil"/>
                    <w:bottom w:val="single" w:color="auto" w:sz="4" w:space="0"/>
                    <w:right w:val="single" w:color="auto" w:sz="4" w:space="0"/>
                  </w:tcBorders>
                  <w:shd w:val="clear" w:color="auto" w:fill="auto"/>
                  <w:noWrap/>
                  <w:vAlign w:val="center"/>
                </w:tcPr>
                <w:p w14:paraId="74877D8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786" w:type="pct"/>
                  <w:tcBorders>
                    <w:top w:val="nil"/>
                    <w:left w:val="nil"/>
                    <w:bottom w:val="single" w:color="auto" w:sz="4" w:space="0"/>
                    <w:right w:val="single" w:color="auto" w:sz="4" w:space="0"/>
                  </w:tcBorders>
                  <w:shd w:val="clear" w:color="auto" w:fill="auto"/>
                  <w:noWrap/>
                  <w:vAlign w:val="center"/>
                </w:tcPr>
                <w:p w14:paraId="0CE73F8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1184A25B">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504EF828">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00930235">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22C85F6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415" w:type="pct"/>
                  <w:tcBorders>
                    <w:top w:val="nil"/>
                    <w:left w:val="nil"/>
                    <w:bottom w:val="single" w:color="auto" w:sz="4" w:space="0"/>
                    <w:right w:val="single" w:color="auto" w:sz="4" w:space="0"/>
                  </w:tcBorders>
                  <w:shd w:val="clear" w:color="auto" w:fill="auto"/>
                  <w:noWrap/>
                  <w:vAlign w:val="center"/>
                </w:tcPr>
                <w:p w14:paraId="7C00DC7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685" w:type="pct"/>
                  <w:tcBorders>
                    <w:top w:val="nil"/>
                    <w:left w:val="nil"/>
                    <w:bottom w:val="single" w:color="auto" w:sz="4" w:space="0"/>
                    <w:right w:val="single" w:color="auto" w:sz="4" w:space="0"/>
                  </w:tcBorders>
                  <w:shd w:val="clear" w:color="auto" w:fill="auto"/>
                  <w:noWrap/>
                  <w:vAlign w:val="center"/>
                </w:tcPr>
                <w:p w14:paraId="4815C13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05A23B4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3BC862D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r>
            <w:tr w14:paraId="4A3E317F">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28554524">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6A4A45E0">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3E678D5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415" w:type="pct"/>
                  <w:tcBorders>
                    <w:top w:val="nil"/>
                    <w:left w:val="nil"/>
                    <w:bottom w:val="single" w:color="auto" w:sz="4" w:space="0"/>
                    <w:right w:val="single" w:color="auto" w:sz="4" w:space="0"/>
                  </w:tcBorders>
                  <w:shd w:val="clear" w:color="auto" w:fill="auto"/>
                  <w:noWrap/>
                  <w:vAlign w:val="center"/>
                </w:tcPr>
                <w:p w14:paraId="25A75E0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20CF680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4FD65F1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6E0B801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r>
            <w:tr w14:paraId="4AE282D3">
              <w:tblPrEx>
                <w:tblCellMar>
                  <w:top w:w="0" w:type="dxa"/>
                  <w:left w:w="108" w:type="dxa"/>
                  <w:bottom w:w="0" w:type="dxa"/>
                  <w:right w:w="108" w:type="dxa"/>
                </w:tblCellMar>
              </w:tblPrEx>
              <w:trPr>
                <w:trHeight w:val="348" w:hRule="atLeast"/>
              </w:trPr>
              <w:tc>
                <w:tcPr>
                  <w:tcW w:w="685" w:type="pct"/>
                  <w:vMerge w:val="continue"/>
                  <w:tcBorders>
                    <w:top w:val="nil"/>
                    <w:left w:val="single" w:color="auto" w:sz="4" w:space="0"/>
                    <w:bottom w:val="single" w:color="auto" w:sz="4" w:space="0"/>
                    <w:right w:val="single" w:color="auto" w:sz="4" w:space="0"/>
                  </w:tcBorders>
                  <w:vAlign w:val="center"/>
                </w:tcPr>
                <w:p w14:paraId="4EFDBD10">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774AE62D">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0F6D449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415" w:type="pct"/>
                  <w:tcBorders>
                    <w:top w:val="nil"/>
                    <w:left w:val="nil"/>
                    <w:bottom w:val="single" w:color="auto" w:sz="4" w:space="0"/>
                    <w:right w:val="single" w:color="auto" w:sz="4" w:space="0"/>
                  </w:tcBorders>
                  <w:shd w:val="clear" w:color="auto" w:fill="auto"/>
                  <w:noWrap/>
                  <w:vAlign w:val="center"/>
                </w:tcPr>
                <w:p w14:paraId="6DEDDCA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5937C80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4C0216C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072FABE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r>
            <w:tr w14:paraId="03572B03">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6EC1C48C">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1A9E1E48">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3EFC678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415" w:type="pct"/>
                  <w:tcBorders>
                    <w:top w:val="nil"/>
                    <w:left w:val="nil"/>
                    <w:bottom w:val="single" w:color="auto" w:sz="4" w:space="0"/>
                    <w:right w:val="single" w:color="auto" w:sz="4" w:space="0"/>
                  </w:tcBorders>
                  <w:shd w:val="clear" w:color="auto" w:fill="auto"/>
                  <w:noWrap/>
                  <w:vAlign w:val="center"/>
                </w:tcPr>
                <w:p w14:paraId="741C88C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685" w:type="pct"/>
                  <w:tcBorders>
                    <w:top w:val="nil"/>
                    <w:left w:val="nil"/>
                    <w:bottom w:val="single" w:color="auto" w:sz="4" w:space="0"/>
                    <w:right w:val="single" w:color="auto" w:sz="4" w:space="0"/>
                  </w:tcBorders>
                  <w:shd w:val="clear" w:color="auto" w:fill="auto"/>
                  <w:noWrap/>
                  <w:vAlign w:val="center"/>
                </w:tcPr>
                <w:p w14:paraId="05B8E36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786" w:type="pct"/>
                  <w:tcBorders>
                    <w:top w:val="nil"/>
                    <w:left w:val="nil"/>
                    <w:bottom w:val="single" w:color="auto" w:sz="4" w:space="0"/>
                    <w:right w:val="single" w:color="auto" w:sz="4" w:space="0"/>
                  </w:tcBorders>
                  <w:shd w:val="clear" w:color="auto" w:fill="auto"/>
                  <w:noWrap/>
                  <w:vAlign w:val="center"/>
                </w:tcPr>
                <w:p w14:paraId="20F8086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6666730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r>
            <w:tr w14:paraId="1373A6C8">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4219BB4D">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70334F10">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7B6D0DB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415" w:type="pct"/>
                  <w:tcBorders>
                    <w:top w:val="nil"/>
                    <w:left w:val="nil"/>
                    <w:bottom w:val="single" w:color="auto" w:sz="4" w:space="0"/>
                    <w:right w:val="single" w:color="auto" w:sz="4" w:space="0"/>
                  </w:tcBorders>
                  <w:shd w:val="clear" w:color="auto" w:fill="auto"/>
                  <w:noWrap/>
                  <w:vAlign w:val="center"/>
                </w:tcPr>
                <w:p w14:paraId="21B373A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685" w:type="pct"/>
                  <w:tcBorders>
                    <w:top w:val="nil"/>
                    <w:left w:val="nil"/>
                    <w:bottom w:val="single" w:color="auto" w:sz="4" w:space="0"/>
                    <w:right w:val="single" w:color="auto" w:sz="4" w:space="0"/>
                  </w:tcBorders>
                  <w:shd w:val="clear" w:color="auto" w:fill="auto"/>
                  <w:noWrap/>
                  <w:vAlign w:val="center"/>
                </w:tcPr>
                <w:p w14:paraId="7C68AF9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786" w:type="pct"/>
                  <w:tcBorders>
                    <w:top w:val="nil"/>
                    <w:left w:val="nil"/>
                    <w:bottom w:val="single" w:color="auto" w:sz="4" w:space="0"/>
                    <w:right w:val="single" w:color="auto" w:sz="4" w:space="0"/>
                  </w:tcBorders>
                  <w:shd w:val="clear" w:color="auto" w:fill="auto"/>
                  <w:noWrap/>
                  <w:vAlign w:val="center"/>
                </w:tcPr>
                <w:p w14:paraId="572569EE">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515DB84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r>
            <w:tr w14:paraId="74BF16C2">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56D20D76">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535B5AA8">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72B1C35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c>
                <w:tcPr>
                  <w:tcW w:w="415" w:type="pct"/>
                  <w:tcBorders>
                    <w:top w:val="nil"/>
                    <w:left w:val="nil"/>
                    <w:bottom w:val="single" w:color="auto" w:sz="4" w:space="0"/>
                    <w:right w:val="single" w:color="auto" w:sz="4" w:space="0"/>
                  </w:tcBorders>
                  <w:shd w:val="clear" w:color="auto" w:fill="auto"/>
                  <w:noWrap/>
                  <w:vAlign w:val="center"/>
                </w:tcPr>
                <w:p w14:paraId="28A0829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15</w:t>
                  </w:r>
                </w:p>
              </w:tc>
              <w:tc>
                <w:tcPr>
                  <w:tcW w:w="685" w:type="pct"/>
                  <w:tcBorders>
                    <w:top w:val="nil"/>
                    <w:left w:val="nil"/>
                    <w:bottom w:val="single" w:color="auto" w:sz="4" w:space="0"/>
                    <w:right w:val="single" w:color="auto" w:sz="4" w:space="0"/>
                  </w:tcBorders>
                  <w:shd w:val="clear" w:color="auto" w:fill="auto"/>
                  <w:noWrap/>
                  <w:vAlign w:val="center"/>
                </w:tcPr>
                <w:p w14:paraId="30BE3FC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786" w:type="pct"/>
                  <w:tcBorders>
                    <w:top w:val="nil"/>
                    <w:left w:val="nil"/>
                    <w:bottom w:val="single" w:color="auto" w:sz="4" w:space="0"/>
                    <w:right w:val="single" w:color="auto" w:sz="4" w:space="0"/>
                  </w:tcBorders>
                  <w:shd w:val="clear" w:color="auto" w:fill="auto"/>
                  <w:noWrap/>
                  <w:vAlign w:val="center"/>
                </w:tcPr>
                <w:p w14:paraId="0DA2AC1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34B0913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r>
            <w:tr w14:paraId="6BD72029">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61D90A62">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5E703FD2">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134D3C8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c>
                <w:tcPr>
                  <w:tcW w:w="415" w:type="pct"/>
                  <w:tcBorders>
                    <w:top w:val="nil"/>
                    <w:left w:val="nil"/>
                    <w:bottom w:val="single" w:color="auto" w:sz="4" w:space="0"/>
                    <w:right w:val="single" w:color="auto" w:sz="4" w:space="0"/>
                  </w:tcBorders>
                  <w:shd w:val="clear" w:color="auto" w:fill="auto"/>
                  <w:noWrap/>
                  <w:vAlign w:val="center"/>
                </w:tcPr>
                <w:p w14:paraId="151897D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11</w:t>
                  </w:r>
                </w:p>
              </w:tc>
              <w:tc>
                <w:tcPr>
                  <w:tcW w:w="685" w:type="pct"/>
                  <w:tcBorders>
                    <w:top w:val="nil"/>
                    <w:left w:val="nil"/>
                    <w:bottom w:val="single" w:color="auto" w:sz="4" w:space="0"/>
                    <w:right w:val="single" w:color="auto" w:sz="4" w:space="0"/>
                  </w:tcBorders>
                  <w:shd w:val="clear" w:color="auto" w:fill="auto"/>
                  <w:noWrap/>
                  <w:vAlign w:val="center"/>
                </w:tcPr>
                <w:p w14:paraId="6B8693F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786" w:type="pct"/>
                  <w:tcBorders>
                    <w:top w:val="nil"/>
                    <w:left w:val="nil"/>
                    <w:bottom w:val="single" w:color="auto" w:sz="4" w:space="0"/>
                    <w:right w:val="single" w:color="auto" w:sz="4" w:space="0"/>
                  </w:tcBorders>
                  <w:shd w:val="clear" w:color="auto" w:fill="auto"/>
                  <w:noWrap/>
                  <w:vAlign w:val="center"/>
                </w:tcPr>
                <w:p w14:paraId="24E7115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4F903F3E">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r>
            <w:tr w14:paraId="7DBB895C">
              <w:tblPrEx>
                <w:tblCellMar>
                  <w:top w:w="0" w:type="dxa"/>
                  <w:left w:w="108" w:type="dxa"/>
                  <w:bottom w:w="0" w:type="dxa"/>
                  <w:right w:w="108" w:type="dxa"/>
                </w:tblCellMar>
              </w:tblPrEx>
              <w:trPr>
                <w:trHeight w:val="285" w:hRule="atLeast"/>
              </w:trPr>
              <w:tc>
                <w:tcPr>
                  <w:tcW w:w="685" w:type="pct"/>
                  <w:vMerge w:val="restart"/>
                  <w:tcBorders>
                    <w:top w:val="nil"/>
                    <w:left w:val="single" w:color="auto" w:sz="4" w:space="0"/>
                    <w:bottom w:val="single" w:color="auto" w:sz="4" w:space="0"/>
                    <w:right w:val="single" w:color="auto" w:sz="4" w:space="0"/>
                  </w:tcBorders>
                  <w:shd w:val="clear" w:color="auto" w:fill="auto"/>
                  <w:noWrap/>
                  <w:vAlign w:val="center"/>
                </w:tcPr>
                <w:p w14:paraId="36F9C1A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820" w:type="pct"/>
                  <w:vMerge w:val="restart"/>
                  <w:tcBorders>
                    <w:top w:val="nil"/>
                    <w:left w:val="single" w:color="auto" w:sz="4" w:space="0"/>
                    <w:bottom w:val="single" w:color="auto" w:sz="4" w:space="0"/>
                    <w:right w:val="single" w:color="auto" w:sz="4" w:space="0"/>
                  </w:tcBorders>
                  <w:shd w:val="clear" w:color="auto" w:fill="auto"/>
                  <w:vAlign w:val="center"/>
                </w:tcPr>
                <w:p w14:paraId="2686E7C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逸夫楼西南</w:t>
                  </w:r>
                </w:p>
              </w:tc>
              <w:tc>
                <w:tcPr>
                  <w:tcW w:w="820" w:type="pct"/>
                  <w:tcBorders>
                    <w:top w:val="nil"/>
                    <w:left w:val="nil"/>
                    <w:bottom w:val="single" w:color="auto" w:sz="4" w:space="0"/>
                    <w:right w:val="single" w:color="auto" w:sz="4" w:space="0"/>
                  </w:tcBorders>
                  <w:shd w:val="clear" w:color="auto" w:fill="auto"/>
                  <w:noWrap/>
                  <w:vAlign w:val="center"/>
                </w:tcPr>
                <w:p w14:paraId="20769B6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415" w:type="pct"/>
                  <w:tcBorders>
                    <w:top w:val="nil"/>
                    <w:left w:val="nil"/>
                    <w:bottom w:val="single" w:color="auto" w:sz="4" w:space="0"/>
                    <w:right w:val="single" w:color="auto" w:sz="4" w:space="0"/>
                  </w:tcBorders>
                  <w:shd w:val="clear" w:color="auto" w:fill="auto"/>
                  <w:noWrap/>
                  <w:vAlign w:val="center"/>
                </w:tcPr>
                <w:p w14:paraId="01349DA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5A90E45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786" w:type="pct"/>
                  <w:tcBorders>
                    <w:top w:val="nil"/>
                    <w:left w:val="nil"/>
                    <w:bottom w:val="single" w:color="auto" w:sz="4" w:space="0"/>
                    <w:right w:val="single" w:color="auto" w:sz="4" w:space="0"/>
                  </w:tcBorders>
                  <w:shd w:val="clear" w:color="auto" w:fill="auto"/>
                  <w:noWrap/>
                  <w:vAlign w:val="center"/>
                </w:tcPr>
                <w:p w14:paraId="03949AD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786" w:type="pct"/>
                  <w:tcBorders>
                    <w:top w:val="nil"/>
                    <w:left w:val="nil"/>
                    <w:bottom w:val="single" w:color="auto" w:sz="4" w:space="0"/>
                    <w:right w:val="single" w:color="auto" w:sz="4" w:space="0"/>
                  </w:tcBorders>
                  <w:shd w:val="clear" w:color="auto" w:fill="auto"/>
                  <w:noWrap/>
                  <w:vAlign w:val="center"/>
                </w:tcPr>
                <w:p w14:paraId="77045EF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56933358">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1E917CA5">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4E6780E9">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73C9429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415" w:type="pct"/>
                  <w:tcBorders>
                    <w:top w:val="nil"/>
                    <w:left w:val="nil"/>
                    <w:bottom w:val="single" w:color="auto" w:sz="4" w:space="0"/>
                    <w:right w:val="single" w:color="auto" w:sz="4" w:space="0"/>
                  </w:tcBorders>
                  <w:shd w:val="clear" w:color="auto" w:fill="auto"/>
                  <w:noWrap/>
                  <w:vAlign w:val="center"/>
                </w:tcPr>
                <w:p w14:paraId="0B0D3DF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685" w:type="pct"/>
                  <w:tcBorders>
                    <w:top w:val="nil"/>
                    <w:left w:val="nil"/>
                    <w:bottom w:val="single" w:color="auto" w:sz="4" w:space="0"/>
                    <w:right w:val="single" w:color="auto" w:sz="4" w:space="0"/>
                  </w:tcBorders>
                  <w:shd w:val="clear" w:color="auto" w:fill="auto"/>
                  <w:noWrap/>
                  <w:vAlign w:val="center"/>
                </w:tcPr>
                <w:p w14:paraId="160E870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786" w:type="pct"/>
                  <w:tcBorders>
                    <w:top w:val="nil"/>
                    <w:left w:val="nil"/>
                    <w:bottom w:val="single" w:color="auto" w:sz="4" w:space="0"/>
                    <w:right w:val="single" w:color="auto" w:sz="4" w:space="0"/>
                  </w:tcBorders>
                  <w:shd w:val="clear" w:color="auto" w:fill="auto"/>
                  <w:noWrap/>
                  <w:vAlign w:val="center"/>
                </w:tcPr>
                <w:p w14:paraId="465F7CD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58447D9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260C44A1">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68258BDC">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03736F69">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7E85C59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415" w:type="pct"/>
                  <w:tcBorders>
                    <w:top w:val="nil"/>
                    <w:left w:val="nil"/>
                    <w:bottom w:val="single" w:color="auto" w:sz="4" w:space="0"/>
                    <w:right w:val="single" w:color="auto" w:sz="4" w:space="0"/>
                  </w:tcBorders>
                  <w:shd w:val="clear" w:color="auto" w:fill="auto"/>
                  <w:noWrap/>
                  <w:vAlign w:val="center"/>
                </w:tcPr>
                <w:p w14:paraId="6CFB1A4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782B4A7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2FD588A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2DE785F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r>
            <w:tr w14:paraId="53C769FC">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3FB1A8C8">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1DA4E7C3">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5A5BD4E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415" w:type="pct"/>
                  <w:tcBorders>
                    <w:top w:val="nil"/>
                    <w:left w:val="nil"/>
                    <w:bottom w:val="single" w:color="auto" w:sz="4" w:space="0"/>
                    <w:right w:val="single" w:color="auto" w:sz="4" w:space="0"/>
                  </w:tcBorders>
                  <w:shd w:val="clear" w:color="auto" w:fill="auto"/>
                  <w:noWrap/>
                  <w:vAlign w:val="center"/>
                </w:tcPr>
                <w:p w14:paraId="1004143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685" w:type="pct"/>
                  <w:tcBorders>
                    <w:top w:val="nil"/>
                    <w:left w:val="nil"/>
                    <w:bottom w:val="single" w:color="auto" w:sz="4" w:space="0"/>
                    <w:right w:val="single" w:color="auto" w:sz="4" w:space="0"/>
                  </w:tcBorders>
                  <w:shd w:val="clear" w:color="auto" w:fill="auto"/>
                  <w:noWrap/>
                  <w:vAlign w:val="center"/>
                </w:tcPr>
                <w:p w14:paraId="07892BF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3468B1B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2F75C30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r>
            <w:tr w14:paraId="6FA27A13">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2439DA37">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5A753883">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5E05CCD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5</w:t>
                  </w:r>
                </w:p>
              </w:tc>
              <w:tc>
                <w:tcPr>
                  <w:tcW w:w="415" w:type="pct"/>
                  <w:tcBorders>
                    <w:top w:val="nil"/>
                    <w:left w:val="nil"/>
                    <w:bottom w:val="single" w:color="auto" w:sz="4" w:space="0"/>
                    <w:right w:val="single" w:color="auto" w:sz="4" w:space="0"/>
                  </w:tcBorders>
                  <w:shd w:val="clear" w:color="auto" w:fill="auto"/>
                  <w:noWrap/>
                  <w:vAlign w:val="center"/>
                </w:tcPr>
                <w:p w14:paraId="1F90000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14</w:t>
                  </w:r>
                </w:p>
              </w:tc>
              <w:tc>
                <w:tcPr>
                  <w:tcW w:w="685" w:type="pct"/>
                  <w:tcBorders>
                    <w:top w:val="nil"/>
                    <w:left w:val="nil"/>
                    <w:bottom w:val="single" w:color="auto" w:sz="4" w:space="0"/>
                    <w:right w:val="single" w:color="auto" w:sz="4" w:space="0"/>
                  </w:tcBorders>
                  <w:shd w:val="clear" w:color="auto" w:fill="auto"/>
                  <w:noWrap/>
                  <w:vAlign w:val="center"/>
                </w:tcPr>
                <w:p w14:paraId="725D5DD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786" w:type="pct"/>
                  <w:tcBorders>
                    <w:top w:val="nil"/>
                    <w:left w:val="nil"/>
                    <w:bottom w:val="single" w:color="auto" w:sz="4" w:space="0"/>
                    <w:right w:val="single" w:color="auto" w:sz="4" w:space="0"/>
                  </w:tcBorders>
                  <w:shd w:val="clear" w:color="auto" w:fill="auto"/>
                  <w:noWrap/>
                  <w:vAlign w:val="center"/>
                </w:tcPr>
                <w:p w14:paraId="02E6BAE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689D250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6FC064D8">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47321766">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67B87E7E">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2BD98AD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415" w:type="pct"/>
                  <w:tcBorders>
                    <w:top w:val="nil"/>
                    <w:left w:val="nil"/>
                    <w:bottom w:val="single" w:color="auto" w:sz="4" w:space="0"/>
                    <w:right w:val="single" w:color="auto" w:sz="4" w:space="0"/>
                  </w:tcBorders>
                  <w:shd w:val="clear" w:color="auto" w:fill="auto"/>
                  <w:noWrap/>
                  <w:vAlign w:val="center"/>
                </w:tcPr>
                <w:p w14:paraId="53AFC5CD">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13</w:t>
                  </w:r>
                </w:p>
              </w:tc>
              <w:tc>
                <w:tcPr>
                  <w:tcW w:w="685" w:type="pct"/>
                  <w:tcBorders>
                    <w:top w:val="nil"/>
                    <w:left w:val="nil"/>
                    <w:bottom w:val="single" w:color="auto" w:sz="4" w:space="0"/>
                    <w:right w:val="single" w:color="auto" w:sz="4" w:space="0"/>
                  </w:tcBorders>
                  <w:shd w:val="clear" w:color="auto" w:fill="auto"/>
                  <w:noWrap/>
                  <w:vAlign w:val="center"/>
                </w:tcPr>
                <w:p w14:paraId="19441AB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786" w:type="pct"/>
                  <w:tcBorders>
                    <w:top w:val="nil"/>
                    <w:left w:val="nil"/>
                    <w:bottom w:val="single" w:color="auto" w:sz="4" w:space="0"/>
                    <w:right w:val="single" w:color="auto" w:sz="4" w:space="0"/>
                  </w:tcBorders>
                  <w:shd w:val="clear" w:color="auto" w:fill="auto"/>
                  <w:noWrap/>
                  <w:vAlign w:val="center"/>
                </w:tcPr>
                <w:p w14:paraId="64C0F49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5974C54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28D5966E">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42E99393">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15CF57D4">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4E69294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7</w:t>
                  </w:r>
                </w:p>
              </w:tc>
              <w:tc>
                <w:tcPr>
                  <w:tcW w:w="415" w:type="pct"/>
                  <w:tcBorders>
                    <w:top w:val="nil"/>
                    <w:left w:val="nil"/>
                    <w:bottom w:val="single" w:color="auto" w:sz="4" w:space="0"/>
                    <w:right w:val="single" w:color="auto" w:sz="4" w:space="0"/>
                  </w:tcBorders>
                  <w:shd w:val="clear" w:color="auto" w:fill="auto"/>
                  <w:noWrap/>
                  <w:vAlign w:val="center"/>
                </w:tcPr>
                <w:p w14:paraId="336214D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33</w:t>
                  </w:r>
                </w:p>
              </w:tc>
              <w:tc>
                <w:tcPr>
                  <w:tcW w:w="685" w:type="pct"/>
                  <w:tcBorders>
                    <w:top w:val="nil"/>
                    <w:left w:val="nil"/>
                    <w:bottom w:val="single" w:color="auto" w:sz="4" w:space="0"/>
                    <w:right w:val="single" w:color="auto" w:sz="4" w:space="0"/>
                  </w:tcBorders>
                  <w:shd w:val="clear" w:color="auto" w:fill="auto"/>
                  <w:noWrap/>
                  <w:vAlign w:val="center"/>
                </w:tcPr>
                <w:p w14:paraId="54C53EF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786" w:type="pct"/>
                  <w:tcBorders>
                    <w:top w:val="nil"/>
                    <w:left w:val="nil"/>
                    <w:bottom w:val="single" w:color="auto" w:sz="4" w:space="0"/>
                    <w:right w:val="single" w:color="auto" w:sz="4" w:space="0"/>
                  </w:tcBorders>
                  <w:shd w:val="clear" w:color="auto" w:fill="auto"/>
                  <w:noWrap/>
                  <w:vAlign w:val="center"/>
                </w:tcPr>
                <w:p w14:paraId="2E0E381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c>
                <w:tcPr>
                  <w:tcW w:w="786" w:type="pct"/>
                  <w:tcBorders>
                    <w:top w:val="nil"/>
                    <w:left w:val="nil"/>
                    <w:bottom w:val="single" w:color="auto" w:sz="4" w:space="0"/>
                    <w:right w:val="single" w:color="auto" w:sz="4" w:space="0"/>
                  </w:tcBorders>
                  <w:shd w:val="clear" w:color="auto" w:fill="auto"/>
                  <w:noWrap/>
                  <w:vAlign w:val="center"/>
                </w:tcPr>
                <w:p w14:paraId="7289BAF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08DE214E">
              <w:tblPrEx>
                <w:tblCellMar>
                  <w:top w:w="0" w:type="dxa"/>
                  <w:left w:w="108" w:type="dxa"/>
                  <w:bottom w:w="0" w:type="dxa"/>
                  <w:right w:w="108" w:type="dxa"/>
                </w:tblCellMar>
              </w:tblPrEx>
              <w:trPr>
                <w:trHeight w:val="285" w:hRule="atLeast"/>
              </w:trPr>
              <w:tc>
                <w:tcPr>
                  <w:tcW w:w="685" w:type="pct"/>
                  <w:vMerge w:val="continue"/>
                  <w:tcBorders>
                    <w:top w:val="nil"/>
                    <w:left w:val="single" w:color="auto" w:sz="4" w:space="0"/>
                    <w:bottom w:val="single" w:color="auto" w:sz="4" w:space="0"/>
                    <w:right w:val="single" w:color="auto" w:sz="4" w:space="0"/>
                  </w:tcBorders>
                  <w:vAlign w:val="center"/>
                </w:tcPr>
                <w:p w14:paraId="24F8BC93">
                  <w:pPr>
                    <w:widowControl/>
                    <w:jc w:val="left"/>
                    <w:rPr>
                      <w:rFonts w:ascii="仿宋_GB2312" w:hAnsi="仿宋_GB2312" w:eastAsia="仿宋_GB2312" w:cs="仿宋_GB2312"/>
                      <w:kern w:val="0"/>
                      <w:sz w:val="20"/>
                      <w:szCs w:val="20"/>
                      <w:lang w:eastAsia="zh-Hans"/>
                    </w:rPr>
                  </w:pPr>
                </w:p>
              </w:tc>
              <w:tc>
                <w:tcPr>
                  <w:tcW w:w="820" w:type="pct"/>
                  <w:vMerge w:val="continue"/>
                  <w:tcBorders>
                    <w:top w:val="nil"/>
                    <w:left w:val="single" w:color="auto" w:sz="4" w:space="0"/>
                    <w:bottom w:val="single" w:color="auto" w:sz="4" w:space="0"/>
                    <w:right w:val="single" w:color="auto" w:sz="4" w:space="0"/>
                  </w:tcBorders>
                  <w:vAlign w:val="center"/>
                </w:tcPr>
                <w:p w14:paraId="7567193C">
                  <w:pPr>
                    <w:widowControl/>
                    <w:jc w:val="left"/>
                    <w:rPr>
                      <w:rFonts w:ascii="仿宋_GB2312" w:hAnsi="仿宋_GB2312" w:eastAsia="仿宋_GB2312" w:cs="仿宋_GB2312"/>
                      <w:kern w:val="0"/>
                      <w:sz w:val="20"/>
                      <w:szCs w:val="20"/>
                      <w:lang w:eastAsia="zh-Hans"/>
                    </w:rPr>
                  </w:pPr>
                </w:p>
              </w:tc>
              <w:tc>
                <w:tcPr>
                  <w:tcW w:w="820" w:type="pct"/>
                  <w:tcBorders>
                    <w:top w:val="nil"/>
                    <w:left w:val="nil"/>
                    <w:bottom w:val="single" w:color="auto" w:sz="4" w:space="0"/>
                    <w:right w:val="single" w:color="auto" w:sz="4" w:space="0"/>
                  </w:tcBorders>
                  <w:shd w:val="clear" w:color="auto" w:fill="auto"/>
                  <w:noWrap/>
                  <w:vAlign w:val="center"/>
                </w:tcPr>
                <w:p w14:paraId="0F3FF7BB">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8</w:t>
                  </w:r>
                </w:p>
              </w:tc>
              <w:tc>
                <w:tcPr>
                  <w:tcW w:w="415" w:type="pct"/>
                  <w:tcBorders>
                    <w:top w:val="nil"/>
                    <w:left w:val="nil"/>
                    <w:bottom w:val="single" w:color="auto" w:sz="4" w:space="0"/>
                    <w:right w:val="single" w:color="auto" w:sz="4" w:space="0"/>
                  </w:tcBorders>
                  <w:shd w:val="clear" w:color="auto" w:fill="auto"/>
                  <w:noWrap/>
                  <w:vAlign w:val="center"/>
                </w:tcPr>
                <w:p w14:paraId="240F67D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685" w:type="pct"/>
                  <w:tcBorders>
                    <w:top w:val="nil"/>
                    <w:left w:val="nil"/>
                    <w:bottom w:val="single" w:color="auto" w:sz="4" w:space="0"/>
                    <w:right w:val="single" w:color="auto" w:sz="4" w:space="0"/>
                  </w:tcBorders>
                  <w:shd w:val="clear" w:color="auto" w:fill="auto"/>
                  <w:noWrap/>
                  <w:vAlign w:val="center"/>
                </w:tcPr>
                <w:p w14:paraId="7E0EC78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w:t>
                  </w:r>
                </w:p>
              </w:tc>
              <w:tc>
                <w:tcPr>
                  <w:tcW w:w="786" w:type="pct"/>
                  <w:tcBorders>
                    <w:top w:val="nil"/>
                    <w:left w:val="nil"/>
                    <w:bottom w:val="single" w:color="auto" w:sz="4" w:space="0"/>
                    <w:right w:val="single" w:color="auto" w:sz="4" w:space="0"/>
                  </w:tcBorders>
                  <w:shd w:val="clear" w:color="auto" w:fill="auto"/>
                  <w:noWrap/>
                  <w:vAlign w:val="center"/>
                </w:tcPr>
                <w:p w14:paraId="1809FAB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2</w:t>
                  </w:r>
                </w:p>
              </w:tc>
              <w:tc>
                <w:tcPr>
                  <w:tcW w:w="786" w:type="pct"/>
                  <w:tcBorders>
                    <w:top w:val="nil"/>
                    <w:left w:val="nil"/>
                    <w:bottom w:val="single" w:color="auto" w:sz="4" w:space="0"/>
                    <w:right w:val="single" w:color="auto" w:sz="4" w:space="0"/>
                  </w:tcBorders>
                  <w:shd w:val="clear" w:color="auto" w:fill="auto"/>
                  <w:noWrap/>
                  <w:vAlign w:val="center"/>
                </w:tcPr>
                <w:p w14:paraId="51E2E7A9">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1AEF3FB3">
              <w:tblPrEx>
                <w:tblCellMar>
                  <w:top w:w="0" w:type="dxa"/>
                  <w:left w:w="108" w:type="dxa"/>
                  <w:bottom w:w="0" w:type="dxa"/>
                  <w:right w:w="108" w:type="dxa"/>
                </w:tblCellMar>
              </w:tblPrEx>
              <w:trPr>
                <w:trHeight w:val="390" w:hRule="atLeast"/>
              </w:trPr>
              <w:tc>
                <w:tcPr>
                  <w:tcW w:w="685" w:type="pct"/>
                  <w:tcBorders>
                    <w:top w:val="nil"/>
                    <w:left w:val="single" w:color="auto" w:sz="4" w:space="0"/>
                    <w:bottom w:val="single" w:color="auto" w:sz="4" w:space="0"/>
                    <w:right w:val="single" w:color="auto" w:sz="4" w:space="0"/>
                  </w:tcBorders>
                  <w:shd w:val="clear" w:color="auto" w:fill="auto"/>
                  <w:noWrap/>
                  <w:vAlign w:val="center"/>
                </w:tcPr>
                <w:p w14:paraId="4CB057D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820" w:type="pct"/>
                  <w:tcBorders>
                    <w:top w:val="nil"/>
                    <w:left w:val="nil"/>
                    <w:bottom w:val="single" w:color="auto" w:sz="4" w:space="0"/>
                    <w:right w:val="single" w:color="auto" w:sz="4" w:space="0"/>
                  </w:tcBorders>
                  <w:shd w:val="clear" w:color="auto" w:fill="auto"/>
                  <w:vAlign w:val="center"/>
                </w:tcPr>
                <w:p w14:paraId="2425ECC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报告厅</w:t>
                  </w:r>
                </w:p>
              </w:tc>
              <w:tc>
                <w:tcPr>
                  <w:tcW w:w="820" w:type="pct"/>
                  <w:tcBorders>
                    <w:top w:val="nil"/>
                    <w:left w:val="nil"/>
                    <w:bottom w:val="single" w:color="auto" w:sz="4" w:space="0"/>
                    <w:right w:val="single" w:color="auto" w:sz="4" w:space="0"/>
                  </w:tcBorders>
                  <w:shd w:val="clear" w:color="auto" w:fill="auto"/>
                  <w:noWrap/>
                  <w:vAlign w:val="center"/>
                </w:tcPr>
                <w:p w14:paraId="5DF87D4E">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415" w:type="pct"/>
                  <w:tcBorders>
                    <w:top w:val="nil"/>
                    <w:left w:val="nil"/>
                    <w:bottom w:val="single" w:color="auto" w:sz="4" w:space="0"/>
                    <w:right w:val="single" w:color="auto" w:sz="4" w:space="0"/>
                  </w:tcBorders>
                  <w:shd w:val="clear" w:color="auto" w:fill="auto"/>
                  <w:noWrap/>
                  <w:vAlign w:val="center"/>
                </w:tcPr>
                <w:p w14:paraId="20EC0755">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3</w:t>
                  </w:r>
                </w:p>
              </w:tc>
              <w:tc>
                <w:tcPr>
                  <w:tcW w:w="685" w:type="pct"/>
                  <w:tcBorders>
                    <w:top w:val="nil"/>
                    <w:left w:val="nil"/>
                    <w:bottom w:val="single" w:color="auto" w:sz="4" w:space="0"/>
                    <w:right w:val="single" w:color="auto" w:sz="4" w:space="0"/>
                  </w:tcBorders>
                  <w:shd w:val="clear" w:color="auto" w:fill="auto"/>
                  <w:noWrap/>
                  <w:vAlign w:val="center"/>
                </w:tcPr>
                <w:p w14:paraId="19E2143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w:t>
                  </w:r>
                </w:p>
              </w:tc>
              <w:tc>
                <w:tcPr>
                  <w:tcW w:w="786" w:type="pct"/>
                  <w:tcBorders>
                    <w:top w:val="nil"/>
                    <w:left w:val="nil"/>
                    <w:bottom w:val="single" w:color="auto" w:sz="4" w:space="0"/>
                    <w:right w:val="single" w:color="auto" w:sz="4" w:space="0"/>
                  </w:tcBorders>
                  <w:shd w:val="clear" w:color="auto" w:fill="auto"/>
                  <w:noWrap/>
                  <w:vAlign w:val="center"/>
                </w:tcPr>
                <w:p w14:paraId="112EF8CC">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6</w:t>
                  </w:r>
                </w:p>
              </w:tc>
              <w:tc>
                <w:tcPr>
                  <w:tcW w:w="786" w:type="pct"/>
                  <w:tcBorders>
                    <w:top w:val="nil"/>
                    <w:left w:val="nil"/>
                    <w:bottom w:val="single" w:color="auto" w:sz="4" w:space="0"/>
                    <w:right w:val="single" w:color="auto" w:sz="4" w:space="0"/>
                  </w:tcBorders>
                  <w:shd w:val="clear" w:color="auto" w:fill="auto"/>
                  <w:noWrap/>
                  <w:vAlign w:val="center"/>
                </w:tcPr>
                <w:p w14:paraId="520B6A06">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0</w:t>
                  </w:r>
                </w:p>
              </w:tc>
            </w:tr>
            <w:tr w14:paraId="59B4ADD6">
              <w:tblPrEx>
                <w:tblCellMar>
                  <w:top w:w="0" w:type="dxa"/>
                  <w:left w:w="108" w:type="dxa"/>
                  <w:bottom w:w="0" w:type="dxa"/>
                  <w:right w:w="108" w:type="dxa"/>
                </w:tblCellMar>
              </w:tblPrEx>
              <w:trPr>
                <w:trHeight w:val="375" w:hRule="atLeast"/>
              </w:trPr>
              <w:tc>
                <w:tcPr>
                  <w:tcW w:w="685" w:type="pct"/>
                  <w:tcBorders>
                    <w:top w:val="single" w:color="auto" w:sz="4" w:space="0"/>
                    <w:left w:val="single" w:color="auto" w:sz="4" w:space="0"/>
                    <w:bottom w:val="single" w:color="auto" w:sz="4" w:space="0"/>
                    <w:right w:val="single" w:color="auto" w:sz="4" w:space="0"/>
                  </w:tcBorders>
                  <w:shd w:val="clear" w:color="000000" w:fill="DBDBDB"/>
                  <w:noWrap/>
                  <w:vAlign w:val="center"/>
                </w:tcPr>
                <w:p w14:paraId="676B6F7F">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总计</w:t>
                  </w:r>
                </w:p>
              </w:tc>
              <w:tc>
                <w:tcPr>
                  <w:tcW w:w="820" w:type="pct"/>
                  <w:tcBorders>
                    <w:top w:val="single" w:color="auto" w:sz="4" w:space="0"/>
                    <w:left w:val="nil"/>
                    <w:bottom w:val="single" w:color="auto" w:sz="4" w:space="0"/>
                    <w:right w:val="single" w:color="auto" w:sz="4" w:space="0"/>
                  </w:tcBorders>
                  <w:shd w:val="clear" w:color="000000" w:fill="DBDBDB"/>
                  <w:vAlign w:val="center"/>
                </w:tcPr>
                <w:p w14:paraId="1FA14131">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　</w:t>
                  </w:r>
                </w:p>
              </w:tc>
              <w:tc>
                <w:tcPr>
                  <w:tcW w:w="820" w:type="pct"/>
                  <w:tcBorders>
                    <w:top w:val="single" w:color="auto" w:sz="4" w:space="0"/>
                    <w:left w:val="nil"/>
                    <w:bottom w:val="single" w:color="auto" w:sz="4" w:space="0"/>
                    <w:right w:val="single" w:color="auto" w:sz="4" w:space="0"/>
                  </w:tcBorders>
                  <w:shd w:val="clear" w:color="000000" w:fill="DBDBDB"/>
                  <w:noWrap/>
                  <w:vAlign w:val="center"/>
                </w:tcPr>
                <w:p w14:paraId="084EB76A">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　</w:t>
                  </w:r>
                </w:p>
              </w:tc>
              <w:tc>
                <w:tcPr>
                  <w:tcW w:w="415" w:type="pct"/>
                  <w:tcBorders>
                    <w:top w:val="single" w:color="auto" w:sz="4" w:space="0"/>
                    <w:left w:val="nil"/>
                    <w:bottom w:val="single" w:color="auto" w:sz="4" w:space="0"/>
                    <w:right w:val="single" w:color="auto" w:sz="4" w:space="0"/>
                  </w:tcBorders>
                  <w:shd w:val="clear" w:color="000000" w:fill="DBDBDB"/>
                  <w:noWrap/>
                  <w:vAlign w:val="center"/>
                </w:tcPr>
                <w:p w14:paraId="4EDF235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187</w:t>
                  </w:r>
                </w:p>
              </w:tc>
              <w:tc>
                <w:tcPr>
                  <w:tcW w:w="685" w:type="pct"/>
                  <w:tcBorders>
                    <w:top w:val="single" w:color="auto" w:sz="4" w:space="0"/>
                    <w:left w:val="nil"/>
                    <w:bottom w:val="single" w:color="auto" w:sz="4" w:space="0"/>
                    <w:right w:val="single" w:color="auto" w:sz="4" w:space="0"/>
                  </w:tcBorders>
                  <w:shd w:val="clear" w:color="000000" w:fill="DBDBDB"/>
                  <w:noWrap/>
                  <w:vAlign w:val="center"/>
                </w:tcPr>
                <w:p w14:paraId="615BA588">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106</w:t>
                  </w:r>
                </w:p>
              </w:tc>
              <w:tc>
                <w:tcPr>
                  <w:tcW w:w="786" w:type="pct"/>
                  <w:tcBorders>
                    <w:top w:val="single" w:color="auto" w:sz="4" w:space="0"/>
                    <w:left w:val="nil"/>
                    <w:bottom w:val="single" w:color="auto" w:sz="4" w:space="0"/>
                    <w:right w:val="single" w:color="auto" w:sz="4" w:space="0"/>
                  </w:tcBorders>
                  <w:shd w:val="clear" w:color="000000" w:fill="DBDBDB"/>
                  <w:noWrap/>
                  <w:vAlign w:val="center"/>
                </w:tcPr>
                <w:p w14:paraId="13EA45F3">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42</w:t>
                  </w:r>
                </w:p>
              </w:tc>
              <w:tc>
                <w:tcPr>
                  <w:tcW w:w="786" w:type="pct"/>
                  <w:tcBorders>
                    <w:top w:val="single" w:color="auto" w:sz="4" w:space="0"/>
                    <w:left w:val="nil"/>
                    <w:bottom w:val="single" w:color="auto" w:sz="4" w:space="0"/>
                    <w:right w:val="single" w:color="auto" w:sz="4" w:space="0"/>
                  </w:tcBorders>
                  <w:shd w:val="clear" w:color="000000" w:fill="DBDBDB"/>
                  <w:noWrap/>
                  <w:vAlign w:val="center"/>
                </w:tcPr>
                <w:p w14:paraId="1D8A323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142</w:t>
                  </w:r>
                </w:p>
              </w:tc>
            </w:tr>
            <w:tr w14:paraId="1229E8AD">
              <w:tblPrEx>
                <w:tblCellMar>
                  <w:top w:w="0" w:type="dxa"/>
                  <w:left w:w="108" w:type="dxa"/>
                  <w:bottom w:w="0" w:type="dxa"/>
                  <w:right w:w="108" w:type="dxa"/>
                </w:tblCellMar>
              </w:tblPrEx>
              <w:trPr>
                <w:trHeight w:val="375" w:hRule="atLeast"/>
              </w:trPr>
              <w:tc>
                <w:tcPr>
                  <w:tcW w:w="685" w:type="pct"/>
                  <w:tcBorders>
                    <w:top w:val="single" w:color="auto" w:sz="4" w:space="0"/>
                    <w:left w:val="single" w:color="auto" w:sz="4" w:space="0"/>
                    <w:bottom w:val="single" w:color="auto" w:sz="4" w:space="0"/>
                    <w:right w:val="single" w:color="auto" w:sz="4" w:space="0"/>
                  </w:tcBorders>
                  <w:shd w:val="clear" w:color="000000" w:fill="DBDBDB"/>
                  <w:noWrap/>
                  <w:vAlign w:val="center"/>
                </w:tcPr>
                <w:p w14:paraId="037DC662">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计划采购</w:t>
                  </w:r>
                </w:p>
              </w:tc>
              <w:tc>
                <w:tcPr>
                  <w:tcW w:w="820" w:type="pct"/>
                  <w:tcBorders>
                    <w:top w:val="single" w:color="auto" w:sz="4" w:space="0"/>
                    <w:left w:val="nil"/>
                    <w:bottom w:val="single" w:color="auto" w:sz="4" w:space="0"/>
                    <w:right w:val="single" w:color="auto" w:sz="4" w:space="0"/>
                  </w:tcBorders>
                  <w:shd w:val="clear" w:color="000000" w:fill="DBDBDB"/>
                  <w:vAlign w:val="center"/>
                </w:tcPr>
                <w:p w14:paraId="0B3056B3">
                  <w:pPr>
                    <w:widowControl/>
                    <w:jc w:val="center"/>
                    <w:rPr>
                      <w:rFonts w:ascii="仿宋_GB2312" w:hAnsi="仿宋_GB2312" w:eastAsia="仿宋_GB2312" w:cs="仿宋_GB2312"/>
                      <w:kern w:val="0"/>
                      <w:sz w:val="20"/>
                      <w:szCs w:val="20"/>
                      <w:lang w:eastAsia="zh-Hans"/>
                    </w:rPr>
                  </w:pPr>
                </w:p>
              </w:tc>
              <w:tc>
                <w:tcPr>
                  <w:tcW w:w="820" w:type="pct"/>
                  <w:tcBorders>
                    <w:top w:val="single" w:color="auto" w:sz="4" w:space="0"/>
                    <w:left w:val="nil"/>
                    <w:bottom w:val="single" w:color="auto" w:sz="4" w:space="0"/>
                    <w:right w:val="single" w:color="auto" w:sz="4" w:space="0"/>
                  </w:tcBorders>
                  <w:shd w:val="clear" w:color="000000" w:fill="DBDBDB"/>
                  <w:noWrap/>
                  <w:vAlign w:val="center"/>
                </w:tcPr>
                <w:p w14:paraId="587AD43D">
                  <w:pPr>
                    <w:widowControl/>
                    <w:jc w:val="center"/>
                    <w:rPr>
                      <w:rFonts w:ascii="仿宋_GB2312" w:hAnsi="仿宋_GB2312" w:eastAsia="仿宋_GB2312" w:cs="仿宋_GB2312"/>
                      <w:kern w:val="0"/>
                      <w:sz w:val="20"/>
                      <w:szCs w:val="20"/>
                      <w:lang w:eastAsia="zh-Hans"/>
                    </w:rPr>
                  </w:pPr>
                </w:p>
              </w:tc>
              <w:tc>
                <w:tcPr>
                  <w:tcW w:w="415" w:type="pct"/>
                  <w:tcBorders>
                    <w:top w:val="single" w:color="auto" w:sz="4" w:space="0"/>
                    <w:left w:val="nil"/>
                    <w:bottom w:val="single" w:color="auto" w:sz="4" w:space="0"/>
                    <w:right w:val="single" w:color="auto" w:sz="4" w:space="0"/>
                  </w:tcBorders>
                  <w:shd w:val="clear" w:color="000000" w:fill="DBDBDB"/>
                  <w:noWrap/>
                  <w:vAlign w:val="center"/>
                </w:tcPr>
                <w:p w14:paraId="7B2CFF6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190</w:t>
                  </w:r>
                </w:p>
              </w:tc>
              <w:tc>
                <w:tcPr>
                  <w:tcW w:w="685" w:type="pct"/>
                  <w:tcBorders>
                    <w:top w:val="single" w:color="auto" w:sz="4" w:space="0"/>
                    <w:left w:val="nil"/>
                    <w:bottom w:val="single" w:color="auto" w:sz="4" w:space="0"/>
                    <w:right w:val="single" w:color="auto" w:sz="4" w:space="0"/>
                  </w:tcBorders>
                  <w:shd w:val="clear" w:color="000000" w:fill="DBDBDB"/>
                  <w:noWrap/>
                  <w:vAlign w:val="center"/>
                </w:tcPr>
                <w:p w14:paraId="084DF034">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110</w:t>
                  </w:r>
                </w:p>
              </w:tc>
              <w:tc>
                <w:tcPr>
                  <w:tcW w:w="786" w:type="pct"/>
                  <w:tcBorders>
                    <w:top w:val="single" w:color="auto" w:sz="4" w:space="0"/>
                    <w:left w:val="nil"/>
                    <w:bottom w:val="single" w:color="auto" w:sz="4" w:space="0"/>
                    <w:right w:val="single" w:color="auto" w:sz="4" w:space="0"/>
                  </w:tcBorders>
                  <w:shd w:val="clear" w:color="000000" w:fill="DBDBDB"/>
                  <w:noWrap/>
                  <w:vAlign w:val="center"/>
                </w:tcPr>
                <w:p w14:paraId="3104A4C7">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45</w:t>
                  </w:r>
                </w:p>
              </w:tc>
              <w:tc>
                <w:tcPr>
                  <w:tcW w:w="786" w:type="pct"/>
                  <w:tcBorders>
                    <w:top w:val="single" w:color="auto" w:sz="4" w:space="0"/>
                    <w:left w:val="nil"/>
                    <w:bottom w:val="single" w:color="auto" w:sz="4" w:space="0"/>
                    <w:right w:val="single" w:color="auto" w:sz="4" w:space="0"/>
                  </w:tcBorders>
                  <w:shd w:val="clear" w:color="000000" w:fill="DBDBDB"/>
                  <w:noWrap/>
                  <w:vAlign w:val="center"/>
                </w:tcPr>
                <w:p w14:paraId="1A322E60">
                  <w:pPr>
                    <w:widowControl/>
                    <w:jc w:val="center"/>
                    <w:rPr>
                      <w:rFonts w:ascii="仿宋_GB2312" w:hAnsi="仿宋_GB2312" w:eastAsia="仿宋_GB2312" w:cs="仿宋_GB2312"/>
                      <w:kern w:val="0"/>
                      <w:sz w:val="20"/>
                      <w:szCs w:val="20"/>
                      <w:lang w:eastAsia="zh-Hans"/>
                    </w:rPr>
                  </w:pPr>
                  <w:r>
                    <w:rPr>
                      <w:rFonts w:hint="eastAsia" w:ascii="仿宋_GB2312" w:hAnsi="仿宋_GB2312" w:eastAsia="仿宋_GB2312" w:cs="仿宋_GB2312"/>
                      <w:kern w:val="0"/>
                      <w:sz w:val="20"/>
                      <w:szCs w:val="20"/>
                      <w:lang w:eastAsia="zh-Hans"/>
                    </w:rPr>
                    <w:t>145</w:t>
                  </w:r>
                </w:p>
              </w:tc>
            </w:tr>
          </w:tbl>
          <w:p w14:paraId="3435541F">
            <w:pPr>
              <w:pStyle w:val="7"/>
              <w:ind w:firstLine="402" w:firstLineChars="200"/>
              <w:rPr>
                <w:rFonts w:hint="default" w:ascii="仿宋_GB2312" w:hAnsi="仿宋_GB2312" w:eastAsia="仿宋_GB2312" w:cs="仿宋_GB2312"/>
                <w:b/>
                <w:bCs/>
              </w:rPr>
            </w:pPr>
            <w:r>
              <w:rPr>
                <w:rFonts w:ascii="仿宋_GB2312" w:hAnsi="仿宋_GB2312" w:eastAsia="仿宋_GB2312" w:cs="仿宋_GB2312"/>
                <w:b/>
                <w:bCs/>
                <w:lang w:eastAsia="zh-CN"/>
              </w:rPr>
              <w:t>（3）</w:t>
            </w:r>
            <w:r>
              <w:rPr>
                <w:rFonts w:ascii="仿宋_GB2312" w:hAnsi="仿宋_GB2312" w:eastAsia="仿宋_GB2312" w:cs="仿宋_GB2312"/>
                <w:b/>
                <w:bCs/>
              </w:rPr>
              <w:t>网络安全</w:t>
            </w:r>
          </w:p>
          <w:p w14:paraId="42CC2DEF">
            <w:pPr>
              <w:pStyle w:val="7"/>
              <w:ind w:firstLine="400" w:firstLineChars="200"/>
              <w:rPr>
                <w:rFonts w:hint="default" w:ascii="仿宋_GB2312" w:hAnsi="仿宋_GB2312" w:eastAsia="仿宋_GB2312" w:cs="仿宋_GB2312"/>
              </w:rPr>
            </w:pPr>
            <w:r>
              <w:rPr>
                <w:rFonts w:ascii="仿宋_GB2312" w:hAnsi="仿宋_GB2312" w:eastAsia="仿宋_GB2312" w:cs="仿宋_GB2312"/>
              </w:rPr>
              <w:t>本次建设在物理层需要能够具备非法设备的检测与预警功能，以提醒网络管理人员进行处置；需要能够通过现网的身份认证来控制用户的准入，能通过用户隔离等技术来控制用户间的互访。项目实施后上线设备全部纳入学校现有网管平台统一管理。此外，还需关注设备安全，冗余配置，使网络安全得到保证，提升网络的健壮性。用户身份认证使用学校现有实名认证系统。</w:t>
            </w:r>
          </w:p>
          <w:p w14:paraId="56DDCA19">
            <w:pPr>
              <w:pStyle w:val="7"/>
              <w:ind w:firstLine="402" w:firstLineChars="200"/>
              <w:rPr>
                <w:rFonts w:hint="default" w:ascii="仿宋_GB2312" w:hAnsi="仿宋_GB2312" w:eastAsia="仿宋_GB2312" w:cs="仿宋_GB2312"/>
                <w:b/>
                <w:bCs/>
                <w:lang w:eastAsia="zh-CN"/>
              </w:rPr>
            </w:pPr>
            <w:r>
              <w:rPr>
                <w:rFonts w:ascii="仿宋_GB2312" w:hAnsi="仿宋_GB2312" w:eastAsia="仿宋_GB2312" w:cs="仿宋_GB2312"/>
                <w:b/>
                <w:bCs/>
                <w:lang w:eastAsia="zh-CN"/>
              </w:rPr>
              <w:t>（4）网络优化</w:t>
            </w:r>
          </w:p>
          <w:p w14:paraId="6236F603">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本项目要求必须由设备生产厂商技术人员完成设备调试、网络优化等工作。项目实施需要根据信号强度、同频干扰、信噪比、网络延时和丢包、用户数等信息进行监测分析，对功能设置、AP数量，放置位置、AP频道、天线角度方向、SSID等做出调整，实现有效的网络优化。部署基于用户数据分析的无线网络优化系统，结合信道利用率、用户接入数量等数据来度量网络覆盖状态，精准识别网络体验差的原因，结合数据分析得出网络整体状况，结合环境因素判断终端状况、问题影响面等数据，给出优化解决方案，并支持自动调整。</w:t>
            </w:r>
          </w:p>
          <w:p w14:paraId="3B06B41A">
            <w:pPr>
              <w:pStyle w:val="7"/>
              <w:ind w:firstLine="402" w:firstLineChars="200"/>
              <w:rPr>
                <w:rFonts w:hint="default" w:ascii="仿宋_GB2312" w:hAnsi="仿宋_GB2312" w:eastAsia="仿宋_GB2312" w:cs="仿宋_GB2312"/>
                <w:b/>
                <w:bCs/>
                <w:lang w:eastAsia="zh-CN"/>
              </w:rPr>
            </w:pPr>
            <w:r>
              <w:rPr>
                <w:rFonts w:ascii="仿宋_GB2312" w:hAnsi="仿宋_GB2312" w:eastAsia="仿宋_GB2312" w:cs="仿宋_GB2312"/>
                <w:b/>
                <w:bCs/>
                <w:lang w:eastAsia="zh-CN"/>
              </w:rPr>
              <w:t>（5）设备安装要求</w:t>
            </w:r>
          </w:p>
          <w:p w14:paraId="2238CB8B">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本次建设需进行相关设备安装和综合布线工作。所有综合布线线缆均需采用超六类双绞线，光缆根据具体施工环境选用单模光纤，光缆芯数不少于12芯，不能利用原有机柜的需增加相应机柜。如施工条件满足，可利用现有配线间（架），布设线缆需采用PVC套管或线槽进行保护。不具备桥架等基础施工条件的区域，需重新选定配线间（架）位置，安装机柜并完成相应的动力电源线路改造。</w:t>
            </w:r>
          </w:p>
          <w:p w14:paraId="31E545A5">
            <w:pPr>
              <w:pStyle w:val="7"/>
              <w:ind w:firstLine="402" w:firstLineChars="200"/>
              <w:rPr>
                <w:rFonts w:hint="default" w:ascii="仿宋_GB2312" w:hAnsi="仿宋_GB2312" w:eastAsia="仿宋_GB2312" w:cs="仿宋_GB2312"/>
                <w:b/>
                <w:bCs/>
                <w:lang w:eastAsia="zh-CN"/>
              </w:rPr>
            </w:pPr>
            <w:r>
              <w:rPr>
                <w:rFonts w:ascii="仿宋_GB2312" w:hAnsi="仿宋_GB2312" w:eastAsia="仿宋_GB2312" w:cs="仿宋_GB2312"/>
                <w:b/>
                <w:bCs/>
                <w:lang w:eastAsia="zh-CN"/>
              </w:rPr>
              <w:t>（6）运维服务</w:t>
            </w:r>
          </w:p>
          <w:p w14:paraId="3F9E43AB">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为保证建成后的无线网络能够正常运行，要求项目承建企业安排一名工程师提供驻场服务，协助学校工作人员进行网络运维管理，驻场人员需具有国家计算机技术与软件专业技术资格网络工程师资格证书或具备相应技术能力的资格认证。</w:t>
            </w:r>
          </w:p>
        </w:tc>
      </w:tr>
      <w:tr w14:paraId="3EC9CF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54" w:hRule="atLeast"/>
        </w:trPr>
        <w:tc>
          <w:tcPr>
            <w:tcW w:w="698" w:type="dxa"/>
          </w:tcPr>
          <w:p w14:paraId="326B1722">
            <w:pPr>
              <w:pStyle w:val="7"/>
              <w:rPr>
                <w:rFonts w:hint="default"/>
                <w:lang w:eastAsia="zh-CN"/>
              </w:rPr>
            </w:pPr>
            <w:r>
              <w:rPr>
                <w:lang w:eastAsia="zh-CN"/>
              </w:rPr>
              <w:t>2</w:t>
            </w:r>
          </w:p>
        </w:tc>
        <w:tc>
          <w:tcPr>
            <w:tcW w:w="632" w:type="dxa"/>
          </w:tcPr>
          <w:p w14:paraId="00E722F7"/>
        </w:tc>
        <w:tc>
          <w:tcPr>
            <w:tcW w:w="6972" w:type="dxa"/>
          </w:tcPr>
          <w:p w14:paraId="2830C4F0">
            <w:pPr>
              <w:pStyle w:val="7"/>
              <w:rPr>
                <w:rFonts w:hint="default" w:ascii="仿宋_GB2312" w:hAnsi="仿宋_GB2312" w:eastAsia="仿宋_GB2312" w:cs="仿宋_GB2312"/>
                <w:b/>
                <w:bCs/>
                <w:lang w:eastAsia="zh-CN"/>
              </w:rPr>
            </w:pPr>
            <w:r>
              <w:rPr>
                <w:rFonts w:ascii="仿宋_GB2312" w:hAnsi="仿宋_GB2312" w:eastAsia="仿宋_GB2312" w:cs="仿宋_GB2312"/>
                <w:b/>
                <w:bCs/>
                <w:lang w:eastAsia="zh-CN"/>
              </w:rPr>
              <w:t>技术要求与设备清单</w:t>
            </w:r>
          </w:p>
          <w:p w14:paraId="2215B60E">
            <w:pPr>
              <w:pStyle w:val="7"/>
              <w:rPr>
                <w:rFonts w:hint="default" w:ascii="仿宋_GB2312" w:hAnsi="仿宋_GB2312" w:eastAsia="仿宋_GB2312" w:cs="仿宋_GB2312"/>
                <w:b/>
                <w:bCs/>
                <w:lang w:eastAsia="zh-CN"/>
              </w:rPr>
            </w:pPr>
            <w:r>
              <w:rPr>
                <w:rFonts w:ascii="仿宋_GB2312" w:hAnsi="仿宋_GB2312" w:eastAsia="仿宋_GB2312" w:cs="仿宋_GB2312"/>
                <w:b/>
                <w:bCs/>
                <w:lang w:eastAsia="zh-CN"/>
              </w:rPr>
              <w:t>（一）总体要求</w:t>
            </w:r>
          </w:p>
          <w:p w14:paraId="1F58441B">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1）本技术要求提出的是最低限度的要求，并未对所有技术细节规定，也未完全陈述与之有关的规范和标准。供应商应提供符合本技术要求和相关技术标准的高质量产品及其相应服务。对国家有关安全、环保等强制性标准，应满足要求。</w:t>
            </w:r>
          </w:p>
          <w:p w14:paraId="079067BE">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（2）供应商的技术方案应基于本校现状，一旦投标则认为投标人对本项目涉及楼宇的基础环境、项目目标和建设内容等有充分的了解，对自身提出的解决方案能够完全负责。</w:t>
            </w:r>
          </w:p>
          <w:p w14:paraId="156DB709">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3）供应商应提供详细的技术方案和说明，在项目的集成、施工上要充分考虑整个网络的稳定性、可靠性、兼容性，并详细说明保证网络安全的各项措施。在投标文件中，须针对本技术要求，详细说明有关现场安装、施工及培训事宜。</w:t>
            </w:r>
          </w:p>
          <w:p w14:paraId="65D41BAD">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（4）供应商需按照本文件中“设备数量与技术要求”，提供相关文件供采购方查验，如不能提供或提供不全，则采购方可视投标文件中对应项目应答无效。</w:t>
            </w:r>
          </w:p>
          <w:p w14:paraId="1864F553">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5）对本技术要求中未提到的、但为了实现系统功能、技术性能和系统完整的目的而必须配置的设备、软件等，供应商有责任向采购方提出建议和说明，并补充所需的配置及相关工作内容，以满足项目建设目标要求。（如有请附配置说明）</w:t>
            </w:r>
          </w:p>
          <w:p w14:paraId="2DC33E95">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（6）本项目为交钥匙工程，整体项目工期为30个日历日。</w:t>
            </w:r>
          </w:p>
          <w:p w14:paraId="284855DF">
            <w:pPr>
              <w:pStyle w:val="8"/>
              <w:numPr>
                <w:ilvl w:val="2"/>
                <w:numId w:val="0"/>
              </w:numPr>
              <w:rPr>
                <w:rFonts w:ascii="仿宋_GB2312" w:hAnsi="仿宋_GB2312" w:eastAsia="仿宋_GB2312" w:cs="仿宋_GB2312"/>
                <w:b/>
                <w:sz w:val="20"/>
                <w:szCs w:val="20"/>
              </w:rPr>
            </w:pPr>
            <w:r>
              <w:rPr>
                <w:rFonts w:hint="eastAsia" w:ascii="仿宋_GB2312" w:hAnsi="仿宋_GB2312" w:eastAsia="仿宋_GB2312" w:cs="仿宋_GB2312"/>
                <w:b/>
                <w:sz w:val="20"/>
                <w:szCs w:val="20"/>
              </w:rPr>
              <w:t>（二）设备数量与技术要求</w:t>
            </w:r>
          </w:p>
          <w:p w14:paraId="311EF705">
            <w:pPr>
              <w:pStyle w:val="7"/>
              <w:ind w:firstLine="400" w:firstLineChars="200"/>
              <w:rPr>
                <w:rFonts w:hint="default" w:ascii="仿宋_GB2312" w:hAnsi="仿宋_GB2312" w:eastAsia="仿宋_GB2312" w:cs="仿宋_GB2312"/>
                <w:lang w:eastAsia="zh-CN"/>
              </w:rPr>
            </w:pPr>
            <w:r>
              <w:rPr>
                <w:rFonts w:ascii="仿宋_GB2312" w:hAnsi="仿宋_GB2312" w:eastAsia="仿宋_GB2312" w:cs="仿宋_GB2312"/>
                <w:lang w:eastAsia="zh-CN"/>
              </w:rPr>
              <w:t>本项目需完成规划点位相应设备及配套产品的采购、安装及调试工作，设备清单及技术、数量要求见下表。</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5"/>
              <w:gridCol w:w="770"/>
              <w:gridCol w:w="5043"/>
              <w:gridCol w:w="548"/>
            </w:tblGrid>
            <w:tr w14:paraId="12BEB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85" w:type="pct"/>
                  <w:vMerge w:val="restart"/>
                  <w:shd w:val="clear" w:color="auto" w:fill="auto"/>
                  <w:noWrap/>
                  <w:vAlign w:val="center"/>
                </w:tcPr>
                <w:p w14:paraId="49C2C356">
                  <w:pPr>
                    <w:widowControl/>
                    <w:spacing w:before="100" w:beforeAutospacing="1" w:after="100" w:afterAutospacing="1"/>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序号</w:t>
                  </w:r>
                </w:p>
              </w:tc>
              <w:tc>
                <w:tcPr>
                  <w:tcW w:w="571" w:type="pct"/>
                  <w:vMerge w:val="restart"/>
                  <w:shd w:val="clear" w:color="auto" w:fill="auto"/>
                  <w:noWrap/>
                  <w:vAlign w:val="center"/>
                </w:tcPr>
                <w:p w14:paraId="4FCC8D30">
                  <w:pPr>
                    <w:widowControl/>
                    <w:spacing w:before="100" w:beforeAutospacing="1" w:after="100" w:afterAutospacing="1"/>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产品名称</w:t>
                  </w:r>
                </w:p>
              </w:tc>
              <w:tc>
                <w:tcPr>
                  <w:tcW w:w="3737" w:type="pct"/>
                  <w:vMerge w:val="restart"/>
                  <w:shd w:val="clear" w:color="auto" w:fill="auto"/>
                  <w:noWrap/>
                  <w:vAlign w:val="center"/>
                </w:tcPr>
                <w:p w14:paraId="75514732">
                  <w:pPr>
                    <w:widowControl/>
                    <w:spacing w:before="100" w:beforeAutospacing="1" w:after="100" w:afterAutospacing="1"/>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技术要求</w:t>
                  </w:r>
                </w:p>
              </w:tc>
              <w:tc>
                <w:tcPr>
                  <w:tcW w:w="406" w:type="pct"/>
                  <w:vMerge w:val="restart"/>
                  <w:shd w:val="clear" w:color="auto" w:fill="auto"/>
                  <w:noWrap/>
                  <w:vAlign w:val="center"/>
                </w:tcPr>
                <w:p w14:paraId="4A25446C">
                  <w:pPr>
                    <w:widowControl/>
                    <w:spacing w:before="100" w:beforeAutospacing="1" w:after="100" w:afterAutospacing="1"/>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数量</w:t>
                  </w:r>
                </w:p>
              </w:tc>
            </w:tr>
            <w:tr w14:paraId="47F6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85" w:type="pct"/>
                  <w:vMerge w:val="continue"/>
                  <w:shd w:val="clear" w:color="auto" w:fill="auto"/>
                  <w:vAlign w:val="center"/>
                </w:tcPr>
                <w:p w14:paraId="394320C4">
                  <w:pPr>
                    <w:widowControl/>
                    <w:spacing w:before="100" w:beforeAutospacing="1" w:after="100" w:afterAutospacing="1"/>
                    <w:jc w:val="center"/>
                    <w:rPr>
                      <w:rFonts w:ascii="仿宋_GB2312" w:hAnsi="仿宋_GB2312" w:eastAsia="仿宋_GB2312" w:cs="仿宋_GB2312"/>
                      <w:kern w:val="0"/>
                      <w:sz w:val="20"/>
                      <w:szCs w:val="20"/>
                    </w:rPr>
                  </w:pPr>
                </w:p>
              </w:tc>
              <w:tc>
                <w:tcPr>
                  <w:tcW w:w="571" w:type="pct"/>
                  <w:vMerge w:val="continue"/>
                  <w:shd w:val="clear" w:color="auto" w:fill="auto"/>
                  <w:vAlign w:val="center"/>
                </w:tcPr>
                <w:p w14:paraId="5F4CD6F1">
                  <w:pPr>
                    <w:widowControl/>
                    <w:spacing w:before="100" w:beforeAutospacing="1" w:after="100" w:afterAutospacing="1"/>
                    <w:jc w:val="center"/>
                    <w:rPr>
                      <w:rFonts w:ascii="仿宋_GB2312" w:hAnsi="仿宋_GB2312" w:eastAsia="仿宋_GB2312" w:cs="仿宋_GB2312"/>
                      <w:kern w:val="0"/>
                      <w:sz w:val="20"/>
                      <w:szCs w:val="20"/>
                    </w:rPr>
                  </w:pPr>
                </w:p>
              </w:tc>
              <w:tc>
                <w:tcPr>
                  <w:tcW w:w="3737" w:type="pct"/>
                  <w:vMerge w:val="continue"/>
                  <w:shd w:val="clear" w:color="auto" w:fill="auto"/>
                  <w:vAlign w:val="center"/>
                </w:tcPr>
                <w:p w14:paraId="21DED04B">
                  <w:pPr>
                    <w:widowControl/>
                    <w:spacing w:before="100" w:beforeAutospacing="1" w:after="100" w:afterAutospacing="1"/>
                    <w:jc w:val="left"/>
                    <w:rPr>
                      <w:rFonts w:ascii="仿宋_GB2312" w:hAnsi="仿宋_GB2312" w:eastAsia="仿宋_GB2312" w:cs="仿宋_GB2312"/>
                      <w:kern w:val="0"/>
                      <w:sz w:val="20"/>
                      <w:szCs w:val="20"/>
                    </w:rPr>
                  </w:pPr>
                </w:p>
              </w:tc>
              <w:tc>
                <w:tcPr>
                  <w:tcW w:w="406" w:type="pct"/>
                  <w:vMerge w:val="continue"/>
                  <w:shd w:val="clear" w:color="auto" w:fill="auto"/>
                  <w:vAlign w:val="center"/>
                </w:tcPr>
                <w:p w14:paraId="7BE98092">
                  <w:pPr>
                    <w:widowControl/>
                    <w:spacing w:before="100" w:beforeAutospacing="1" w:after="100" w:afterAutospacing="1"/>
                    <w:jc w:val="center"/>
                    <w:rPr>
                      <w:rFonts w:ascii="仿宋_GB2312" w:hAnsi="仿宋_GB2312" w:eastAsia="仿宋_GB2312" w:cs="仿宋_GB2312"/>
                      <w:kern w:val="0"/>
                      <w:sz w:val="20"/>
                      <w:szCs w:val="20"/>
                    </w:rPr>
                  </w:pPr>
                </w:p>
              </w:tc>
            </w:tr>
            <w:tr w14:paraId="575C2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5" w:type="pct"/>
                  <w:shd w:val="clear" w:color="auto" w:fill="auto"/>
                  <w:noWrap/>
                  <w:vAlign w:val="center"/>
                </w:tcPr>
                <w:p w14:paraId="4EAD5F59">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w:t>
                  </w:r>
                </w:p>
              </w:tc>
              <w:tc>
                <w:tcPr>
                  <w:tcW w:w="571" w:type="pct"/>
                  <w:shd w:val="clear" w:color="auto" w:fill="auto"/>
                  <w:noWrap/>
                  <w:vAlign w:val="center"/>
                </w:tcPr>
                <w:p w14:paraId="6C2FA6CE">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网络负载均衡设备</w:t>
                  </w:r>
                </w:p>
              </w:tc>
              <w:tc>
                <w:tcPr>
                  <w:tcW w:w="3737" w:type="pct"/>
                  <w:shd w:val="clear" w:color="auto" w:fill="auto"/>
                  <w:vAlign w:val="center"/>
                </w:tcPr>
                <w:p w14:paraId="7B1F25FE">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标准机架式设备；1GE光业务接口≥4个，10GE光业务接口≥8个；独立电口管理口；冗余电源；</w:t>
                  </w:r>
                </w:p>
                <w:p w14:paraId="75017689">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内置bypass接口，支持软件bypass；支持双OS备份，升级系统、配置策略不需要重启；</w:t>
                  </w:r>
                </w:p>
                <w:p w14:paraId="542D49F3">
                  <w:pPr>
                    <w:numPr>
                      <w:ilvl w:val="0"/>
                      <w:numId w:val="2"/>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整机应用层处理能力≥30Gbps；新建会话数≥200万/秒；包转发率≥3000万/秒；</w:t>
                  </w:r>
                </w:p>
                <w:p w14:paraId="687AC392">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支持多种工作模式，包含但不限于透明网桥模式、路由模式、NAT模式、旁路模式以及混合模式；</w:t>
                  </w:r>
                </w:p>
                <w:p w14:paraId="48AD9F24">
                  <w:pPr>
                    <w:numPr>
                      <w:ilvl w:val="0"/>
                      <w:numId w:val="2"/>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支持校园网代拨，能够1:1或者N:1将校内终端的IP地址转换为PPPOE拨号接入运营商BRAS；</w:t>
                  </w:r>
                </w:p>
                <w:p w14:paraId="47BEFF85">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支持基于应用协议的负载均衡；支持基于源地址、目的地址、地址+端口的负载均衡；支持基于域名的负载路由；</w:t>
                  </w:r>
                </w:p>
                <w:p w14:paraId="055D6A2F">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支持分析业务TCP连接的客户时延、服务时延、应用时延、最大包长等；提供但不限于特定IP、特定域名、特定协议的客户时延、服务时延、应用时延分析；</w:t>
                  </w:r>
                </w:p>
                <w:p w14:paraId="6BBF50E2">
                  <w:pPr>
                    <w:numPr>
                      <w:ilvl w:val="0"/>
                      <w:numId w:val="2"/>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能够检测通过路由共享上网的PC和移动终端,并根据上述终端个数进行网络流量管控，控制手段包含不限于阻断、限速或者信息提示；支持基于IP地址、应用、以及IP+应用的带宽限制、带宽保证；支持基于IP五元组和应用的访问控制；</w:t>
                  </w:r>
                </w:p>
                <w:p w14:paraId="258ED6B4">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具备DNS调度功能，可设置DNS管控策略，能够基于应用进行DNS管理，能够实现指定运营商DNS调度；</w:t>
                  </w:r>
                </w:p>
                <w:p w14:paraId="73CF80BE">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具备安全威胁情报库，能够区分数字货币、恶意软件、僵尸网络等，支持与第三方情报对接；</w:t>
                  </w:r>
                </w:p>
                <w:p w14:paraId="7A8AF28E">
                  <w:pPr>
                    <w:numPr>
                      <w:ilvl w:val="0"/>
                      <w:numId w:val="2"/>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支持同校内现有网络实名认证系统（城市热点）对接，实现基于账号的流量管控和路由选路</w:t>
                  </w:r>
                </w:p>
                <w:p w14:paraId="3F882367">
                  <w:pPr>
                    <w:numPr>
                      <w:ilvl w:val="0"/>
                      <w:numId w:val="2"/>
                    </w:numPr>
                    <w:spacing w:line="276" w:lineRule="auto"/>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日志记录满足国家相关法律法规对上网日志的审计要求，实现用户网络访问日志收集、审计功能；提供基于源IP、目标IP、域名等参数的URL会话访问日志查询，同时支持IPv4、IPv6网络日志查询；支持IPv4的NAT日志查询；支持对外全量输出日志。</w:t>
                  </w:r>
                </w:p>
                <w:p w14:paraId="276F3B57">
                  <w:pPr>
                    <w:spacing w:line="276" w:lineRule="auto"/>
                    <w:jc w:val="left"/>
                    <w:rPr>
                      <w:rFonts w:ascii="仿宋_GB2312" w:hAnsi="仿宋_GB2312" w:eastAsia="仿宋_GB2312" w:cs="仿宋_GB2312"/>
                      <w:kern w:val="0"/>
                      <w:sz w:val="20"/>
                      <w:szCs w:val="20"/>
                    </w:rPr>
                  </w:pPr>
                  <w:bookmarkStart w:id="1" w:name="_GoBack"/>
                  <w:bookmarkEnd w:id="1"/>
                  <w:r>
                    <w:rPr>
                      <w:rFonts w:hint="eastAsia" w:ascii="仿宋_GB2312" w:hAnsi="仿宋_GB2312" w:eastAsia="仿宋_GB2312" w:cs="仿宋_GB2312"/>
                      <w:kern w:val="0"/>
                      <w:sz w:val="20"/>
                      <w:szCs w:val="20"/>
                    </w:rPr>
                    <w:t>本次配置：</w:t>
                  </w:r>
                </w:p>
                <w:p w14:paraId="637803F7">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业务光接口满配相应模块；全功能提供不限时授权；</w:t>
                  </w:r>
                  <w:r>
                    <w:rPr>
                      <w:rFonts w:hint="eastAsia" w:ascii="仿宋_GB2312" w:hAnsi="仿宋_GB2312" w:eastAsia="仿宋_GB2312" w:cs="仿宋_GB2312"/>
                      <w:kern w:val="0"/>
                      <w:sz w:val="20"/>
                      <w:szCs w:val="20"/>
                      <w:highlight w:val="none"/>
                    </w:rPr>
                    <w:t>原厂五年更新升级服务。</w:t>
                  </w:r>
                </w:p>
              </w:tc>
              <w:tc>
                <w:tcPr>
                  <w:tcW w:w="406" w:type="pct"/>
                  <w:shd w:val="clear" w:color="auto" w:fill="auto"/>
                  <w:noWrap/>
                  <w:vAlign w:val="center"/>
                </w:tcPr>
                <w:p w14:paraId="0E3D0E59">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1套</w:t>
                  </w:r>
                </w:p>
              </w:tc>
            </w:tr>
            <w:tr w14:paraId="305A4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85" w:type="pct"/>
                  <w:shd w:val="clear" w:color="auto" w:fill="auto"/>
                  <w:noWrap/>
                  <w:vAlign w:val="center"/>
                </w:tcPr>
                <w:p w14:paraId="05CCA7E6">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w:t>
                  </w:r>
                </w:p>
              </w:tc>
              <w:tc>
                <w:tcPr>
                  <w:tcW w:w="571" w:type="pct"/>
                  <w:shd w:val="clear" w:color="auto" w:fill="auto"/>
                  <w:noWrap/>
                  <w:vAlign w:val="center"/>
                </w:tcPr>
                <w:p w14:paraId="1751D835">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highlight w:val="none"/>
                    </w:rPr>
                    <w:t>数据转发设备</w:t>
                  </w:r>
                </w:p>
              </w:tc>
              <w:tc>
                <w:tcPr>
                  <w:tcW w:w="3737" w:type="pct"/>
                  <w:shd w:val="clear" w:color="auto" w:fill="auto"/>
                  <w:vAlign w:val="center"/>
                </w:tcPr>
                <w:p w14:paraId="39E01ED4">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采用CLOS交换架构，支持独立交换网板；</w:t>
                  </w:r>
                </w:p>
                <w:p w14:paraId="660B7FFB">
                  <w:pPr>
                    <w:numPr>
                      <w:ilvl w:val="0"/>
                      <w:numId w:val="3"/>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交换容量≥1500T，包转发速率≥460000Mpps。；主控引擎故障情况下，不影响整机转发能力；</w:t>
                  </w:r>
                </w:p>
                <w:p w14:paraId="6239BFA3">
                  <w:pPr>
                    <w:numPr>
                      <w:ilvl w:val="0"/>
                      <w:numId w:val="3"/>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产品槽位：主控引擎≥2个，独立交换网板≥2个，业务插槽≥8个；</w:t>
                  </w:r>
                </w:p>
                <w:p w14:paraId="5C79A8EE">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支持虚拟化技术；</w:t>
                  </w:r>
                </w:p>
                <w:p w14:paraId="42528EB3">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支持10G/40G/100G接口业务板卡；</w:t>
                  </w:r>
                </w:p>
                <w:p w14:paraId="74393381">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支持端口聚合、端口隔离和端口镜像；</w:t>
                  </w:r>
                </w:p>
                <w:p w14:paraId="5179CAD5">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支持VxLAN 网关，支持基于IPv4/IPv6的VxLAN二三层互通；</w:t>
                  </w:r>
                </w:p>
                <w:p w14:paraId="486727AB">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支持默认VLAN、端口VLAN、基于MAC的动态VLAN，支持QinQ；</w:t>
                  </w:r>
                </w:p>
                <w:p w14:paraId="3869A03E">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支持IPv4/IPv6静态路由、RIP、RIPng、OSPFv3等路由协议；</w:t>
                  </w:r>
                </w:p>
                <w:p w14:paraId="47352B30">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支持SNMP v1/v2/v3、RMON、SSHv2；</w:t>
                  </w:r>
                </w:p>
                <w:p w14:paraId="2817E7A2">
                  <w:pPr>
                    <w:numPr>
                      <w:ilvl w:val="0"/>
                      <w:numId w:val="3"/>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支持CPU保护技术，防止例如DOS、ICMP、ARP、IP扫描等攻击。</w:t>
                  </w:r>
                </w:p>
                <w:p w14:paraId="381DF54A">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本次配置：</w:t>
                  </w:r>
                </w:p>
                <w:p w14:paraId="7057DDA3">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满配控制引擎；≥2个交换网板；≥2个交流电源；≥2个风扇；≥12个100Gbps光接口，配置100G原厂多模和10Km单模模块各6个；≥48个万兆光接口，满配原厂单模10G模块；配置本项目功能和技术要求中所有相关软件授权。</w:t>
                  </w:r>
                </w:p>
                <w:p w14:paraId="75DEBA89">
                  <w:pPr>
                    <w:pStyle w:val="2"/>
                    <w:rPr>
                      <w:rFonts w:ascii="仿宋_GB2312" w:hAnsi="仿宋_GB2312" w:eastAsia="仿宋_GB2312" w:cs="仿宋_GB2312"/>
                      <w:kern w:val="0"/>
                      <w:sz w:val="20"/>
                      <w:szCs w:val="20"/>
                    </w:rPr>
                  </w:pPr>
                </w:p>
              </w:tc>
              <w:tc>
                <w:tcPr>
                  <w:tcW w:w="406" w:type="pct"/>
                  <w:shd w:val="clear" w:color="auto" w:fill="auto"/>
                  <w:noWrap/>
                  <w:vAlign w:val="center"/>
                </w:tcPr>
                <w:p w14:paraId="7CA71194">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1台</w:t>
                  </w:r>
                </w:p>
              </w:tc>
            </w:tr>
            <w:tr w14:paraId="5FB0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85" w:type="pct"/>
                  <w:shd w:val="clear" w:color="auto" w:fill="auto"/>
                  <w:noWrap/>
                  <w:vAlign w:val="center"/>
                </w:tcPr>
                <w:p w14:paraId="12305292">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w:t>
                  </w:r>
                </w:p>
              </w:tc>
              <w:tc>
                <w:tcPr>
                  <w:tcW w:w="571" w:type="pct"/>
                  <w:shd w:val="clear" w:color="auto" w:fill="auto"/>
                  <w:noWrap/>
                  <w:vAlign w:val="center"/>
                </w:tcPr>
                <w:p w14:paraId="62DC7883">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区域</w:t>
                  </w:r>
                  <w:r>
                    <w:rPr>
                      <w:rStyle w:val="6"/>
                      <w:rFonts w:hint="eastAsia" w:ascii="仿宋_GB2312" w:hAnsi="仿宋_GB2312" w:eastAsia="仿宋_GB2312" w:cs="仿宋_GB2312"/>
                      <w:kern w:val="0"/>
                      <w:sz w:val="20"/>
                      <w:szCs w:val="20"/>
                    </w:rPr>
                    <w:t>传输</w:t>
                  </w:r>
                  <w:r>
                    <w:rPr>
                      <w:rFonts w:hint="eastAsia" w:ascii="仿宋_GB2312" w:hAnsi="仿宋_GB2312" w:eastAsia="仿宋_GB2312" w:cs="仿宋_GB2312"/>
                      <w:kern w:val="0"/>
                      <w:sz w:val="20"/>
                      <w:szCs w:val="20"/>
                    </w:rPr>
                    <w:t>设备</w:t>
                  </w:r>
                </w:p>
              </w:tc>
              <w:tc>
                <w:tcPr>
                  <w:tcW w:w="3737" w:type="pct"/>
                  <w:shd w:val="clear" w:color="auto" w:fill="auto"/>
                </w:tcPr>
                <w:p w14:paraId="3F0832C0">
                  <w:pPr>
                    <w:numPr>
                      <w:ilvl w:val="0"/>
                      <w:numId w:val="4"/>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交换容量≥46T，包转发率≥7800Mpps；</w:t>
                  </w:r>
                </w:p>
                <w:p w14:paraId="388FBE93">
                  <w:pPr>
                    <w:numPr>
                      <w:ilvl w:val="0"/>
                      <w:numId w:val="4"/>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 xml:space="preserve">≥2个100G 光接口； </w:t>
                  </w:r>
                </w:p>
                <w:p w14:paraId="7D8EEA89">
                  <w:pPr>
                    <w:numPr>
                      <w:ilvl w:val="0"/>
                      <w:numId w:val="4"/>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支持基于MAC、协议、端口的VLAN；</w:t>
                  </w:r>
                </w:p>
                <w:p w14:paraId="6EC88181">
                  <w:pPr>
                    <w:numPr>
                      <w:ilvl w:val="0"/>
                      <w:numId w:val="4"/>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支持端口聚合，支持动态聚合、静态聚合；</w:t>
                  </w:r>
                </w:p>
                <w:p w14:paraId="1D1D15E5">
                  <w:pPr>
                    <w:numPr>
                      <w:ilvl w:val="0"/>
                      <w:numId w:val="4"/>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支持IPv4/IPv6静态路由、RIP v1/v2、OSPF、OSPFv3等协议；</w:t>
                  </w:r>
                </w:p>
                <w:p w14:paraId="7FDDB88C">
                  <w:pPr>
                    <w:numPr>
                      <w:ilvl w:val="0"/>
                      <w:numId w:val="4"/>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支持虚拟化技术；支持VXLAN协议。</w:t>
                  </w:r>
                </w:p>
                <w:p w14:paraId="77FDC233">
                  <w:pPr>
                    <w:numPr>
                      <w:ilvl w:val="0"/>
                      <w:numId w:val="4"/>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支持SNMP v1/v2/v3、SSHv2；</w:t>
                  </w:r>
                </w:p>
                <w:p w14:paraId="4E04C2DA">
                  <w:pPr>
                    <w:numPr>
                      <w:ilvl w:val="0"/>
                      <w:numId w:val="4"/>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支持CPU保护技术，防止例如DOS、ICMP、ARP、IP扫描等攻击。</w:t>
                  </w:r>
                </w:p>
                <w:p w14:paraId="27B410F2">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本次配置：</w:t>
                  </w:r>
                </w:p>
                <w:p w14:paraId="41FACF08">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1.配置冗余电源；满配风扇；</w:t>
                  </w:r>
                </w:p>
                <w:p w14:paraId="4DE54BCF">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按项目需要配置相应业务板卡及接口，要求：上行不少于2个100G通道；下行连接高密AP数量大于10个的POE接入设备需保证40Gbps通道（独立40G接口或多个10G接口链路聚合形式）连接POE接入设备；其余POE接入设备保证不低于20Gbps通道；本交换机实配通道数量与方案计划数量按1:1.2配置；</w:t>
                  </w:r>
                </w:p>
                <w:p w14:paraId="709A1F3C">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3.按“本次配置第2条”所有接口满配相应10Km单模模块。</w:t>
                  </w:r>
                </w:p>
                <w:p w14:paraId="63AD353C">
                  <w:pPr>
                    <w:pStyle w:val="2"/>
                    <w:rPr>
                      <w:rFonts w:ascii="仿宋_GB2312" w:hAnsi="仿宋_GB2312" w:eastAsia="仿宋_GB2312" w:cs="仿宋_GB2312"/>
                      <w:kern w:val="0"/>
                      <w:sz w:val="20"/>
                      <w:szCs w:val="20"/>
                    </w:rPr>
                  </w:pPr>
                </w:p>
              </w:tc>
              <w:tc>
                <w:tcPr>
                  <w:tcW w:w="406" w:type="pct"/>
                  <w:shd w:val="clear" w:color="auto" w:fill="auto"/>
                  <w:noWrap/>
                  <w:vAlign w:val="center"/>
                </w:tcPr>
                <w:p w14:paraId="06E02321">
                  <w:pPr>
                    <w:widowControl/>
                    <w:spacing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1台</w:t>
                  </w:r>
                </w:p>
              </w:tc>
            </w:tr>
            <w:tr w14:paraId="45AA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85" w:type="pct"/>
                  <w:shd w:val="clear" w:color="auto" w:fill="auto"/>
                  <w:noWrap/>
                  <w:vAlign w:val="center"/>
                </w:tcPr>
                <w:p w14:paraId="0D17248D">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4</w:t>
                  </w:r>
                </w:p>
              </w:tc>
              <w:tc>
                <w:tcPr>
                  <w:tcW w:w="571" w:type="pct"/>
                  <w:shd w:val="clear" w:color="auto" w:fill="auto"/>
                  <w:noWrap/>
                  <w:vAlign w:val="center"/>
                </w:tcPr>
                <w:p w14:paraId="4BE1EB2C">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POE接入设备</w:t>
                  </w:r>
                </w:p>
              </w:tc>
              <w:tc>
                <w:tcPr>
                  <w:tcW w:w="3737" w:type="pct"/>
                  <w:shd w:val="clear" w:color="auto" w:fill="auto"/>
                  <w:vAlign w:val="center"/>
                </w:tcPr>
                <w:p w14:paraId="3507C86F">
                  <w:pPr>
                    <w:numPr>
                      <w:ilvl w:val="0"/>
                      <w:numId w:val="5"/>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交换容量≥670Gbps，包转发率≥200Mpps（官网最小值为准）；</w:t>
                  </w:r>
                </w:p>
                <w:p w14:paraId="06A10ED0">
                  <w:pPr>
                    <w:numPr>
                      <w:ilvl w:val="0"/>
                      <w:numId w:val="5"/>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提供下行≥24个1G/2.5G Base-T端口（支持POE/POE+/POE++），上行≥4个独立万兆SFP+口（或≥2个40G光接口）；</w:t>
                  </w:r>
                </w:p>
                <w:p w14:paraId="6BC1F5C9">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支持基于MAC、协议、端口的VLAN；</w:t>
                  </w:r>
                </w:p>
                <w:p w14:paraId="0AFF1104">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支持端口聚合，支持动态聚合、静态聚合；</w:t>
                  </w:r>
                </w:p>
                <w:p w14:paraId="763C76A1">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支持802.1X认证，支持基于端口、MAC的认证；</w:t>
                  </w:r>
                </w:p>
                <w:p w14:paraId="089FF6D4">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支持IPv4/IPv6静态路由、RIP v1/v2、OSPF、OSPFv3等协议；</w:t>
                  </w:r>
                </w:p>
                <w:p w14:paraId="7BCCCBB3">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支持SNMP v1/v2/v3、RMON、SSHv2；</w:t>
                  </w:r>
                </w:p>
                <w:p w14:paraId="7AAF8411">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支持CPU保护技术，防止例如DOS、ICMP、ARP、IP扫描等攻击；</w:t>
                  </w:r>
                </w:p>
                <w:p w14:paraId="3A6A6BB3">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支持模块化可热插拔电源。</w:t>
                  </w:r>
                </w:p>
                <w:p w14:paraId="1DB2AC16">
                  <w:pPr>
                    <w:numPr>
                      <w:ilvl w:val="0"/>
                      <w:numId w:val="5"/>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为保证设备兼容性，须与数据转发设备选用同一品牌产品。</w:t>
                  </w:r>
                </w:p>
                <w:p w14:paraId="5D72433F">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本次配置：</w:t>
                  </w:r>
                </w:p>
                <w:p w14:paraId="038AC000">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按项目需要配置电源，确保高密AP接口POE++状态下满端口供电。</w:t>
                  </w:r>
                </w:p>
                <w:p w14:paraId="7CF479FE">
                  <w:pPr>
                    <w:pStyle w:val="2"/>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根据应标方案满配相应接口10Km单模模块。</w:t>
                  </w:r>
                </w:p>
                <w:p w14:paraId="49F8F5BE">
                  <w:pPr>
                    <w:pStyle w:val="2"/>
                    <w:rPr>
                      <w:rFonts w:ascii="仿宋_GB2312" w:hAnsi="仿宋_GB2312" w:eastAsia="仿宋_GB2312" w:cs="仿宋_GB2312"/>
                      <w:kern w:val="0"/>
                      <w:sz w:val="20"/>
                      <w:szCs w:val="20"/>
                    </w:rPr>
                  </w:pPr>
                </w:p>
              </w:tc>
              <w:tc>
                <w:tcPr>
                  <w:tcW w:w="406" w:type="pct"/>
                  <w:shd w:val="clear" w:color="auto" w:fill="auto"/>
                  <w:noWrap/>
                  <w:vAlign w:val="center"/>
                </w:tcPr>
                <w:p w14:paraId="6EF84639">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28台</w:t>
                  </w:r>
                </w:p>
              </w:tc>
            </w:tr>
            <w:tr w14:paraId="67C1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4" w:hRule="atLeast"/>
              </w:trPr>
              <w:tc>
                <w:tcPr>
                  <w:tcW w:w="285" w:type="pct"/>
                  <w:shd w:val="clear" w:color="auto" w:fill="auto"/>
                  <w:noWrap/>
                  <w:vAlign w:val="center"/>
                </w:tcPr>
                <w:p w14:paraId="498C464B">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5</w:t>
                  </w:r>
                </w:p>
              </w:tc>
              <w:tc>
                <w:tcPr>
                  <w:tcW w:w="571" w:type="pct"/>
                  <w:shd w:val="clear" w:color="auto" w:fill="auto"/>
                  <w:noWrap/>
                  <w:vAlign w:val="center"/>
                </w:tcPr>
                <w:p w14:paraId="25718204">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无线控制器</w:t>
                  </w:r>
                </w:p>
              </w:tc>
              <w:tc>
                <w:tcPr>
                  <w:tcW w:w="3737" w:type="pct"/>
                  <w:shd w:val="clear" w:color="auto" w:fill="auto"/>
                  <w:vAlign w:val="center"/>
                </w:tcPr>
                <w:p w14:paraId="0E9593F8">
                  <w:pPr>
                    <w:numPr>
                      <w:ilvl w:val="0"/>
                      <w:numId w:val="6"/>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独立盒式硬件，转发性能≥40Gbps；</w:t>
                  </w:r>
                </w:p>
                <w:p w14:paraId="1B5A53A2">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提供≥2个SFP+万兆接口，支持端口聚合；</w:t>
                  </w:r>
                </w:p>
                <w:p w14:paraId="73472CB7">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最大可管理AP数量≥2048个；</w:t>
                  </w:r>
                </w:p>
                <w:p w14:paraId="0C8B5189">
                  <w:pPr>
                    <w:numPr>
                      <w:ilvl w:val="0"/>
                      <w:numId w:val="6"/>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支持多AC集群或备份，支持会话同步和无中断故障切换；支持二、三层漫游功能；支持控制器间漫游；</w:t>
                  </w:r>
                </w:p>
                <w:p w14:paraId="57C39B5B">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支持集中转发、本地转发；支持基于SSID和VLAN进行不同路径转发；</w:t>
                  </w:r>
                </w:p>
                <w:p w14:paraId="062BE0CE">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支持IPv4/IPv6双协议栈； </w:t>
                  </w:r>
                </w:p>
                <w:p w14:paraId="5C5C0425">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支持静态路由、OSPF、策略路由；</w:t>
                  </w:r>
                </w:p>
                <w:p w14:paraId="5117D9F4">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支持非法AP的检测、识别和反制；</w:t>
                  </w:r>
                </w:p>
                <w:p w14:paraId="1B114FAB">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支持攻击检测，可以检测攻击源所在的位置、攻击类型、攻击次数等；</w:t>
                  </w:r>
                </w:p>
                <w:p w14:paraId="022A076D">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能与学校现有的城市热点认证系统对接，完成无线用户在单一SSID下多运营商的认证和选路使用。</w:t>
                  </w:r>
                </w:p>
                <w:p w14:paraId="216B8BD5">
                  <w:pPr>
                    <w:numPr>
                      <w:ilvl w:val="0"/>
                      <w:numId w:val="6"/>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为保证设备兼容性，须与数据转发设备选用同一品牌产品。</w:t>
                  </w:r>
                </w:p>
                <w:p w14:paraId="76896DD2">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本次配置：</w:t>
                  </w:r>
                </w:p>
                <w:p w14:paraId="1146F9F8">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配置双电源；满配原厂万兆多模模块；配置满足本项目需求的AP管理授权许可。</w:t>
                  </w:r>
                </w:p>
                <w:p w14:paraId="6AF04920">
                  <w:pPr>
                    <w:pStyle w:val="2"/>
                    <w:rPr>
                      <w:rFonts w:ascii="仿宋_GB2312" w:hAnsi="仿宋_GB2312" w:eastAsia="仿宋_GB2312" w:cs="仿宋_GB2312"/>
                      <w:kern w:val="0"/>
                      <w:sz w:val="20"/>
                      <w:szCs w:val="20"/>
                    </w:rPr>
                  </w:pPr>
                </w:p>
              </w:tc>
              <w:tc>
                <w:tcPr>
                  <w:tcW w:w="406" w:type="pct"/>
                  <w:shd w:val="clear" w:color="auto" w:fill="auto"/>
                  <w:noWrap/>
                  <w:vAlign w:val="center"/>
                </w:tcPr>
                <w:p w14:paraId="1F324D02">
                  <w:pPr>
                    <w:widowControl/>
                    <w:spacing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1台</w:t>
                  </w:r>
                </w:p>
              </w:tc>
            </w:tr>
            <w:tr w14:paraId="4222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85" w:type="pct"/>
                  <w:shd w:val="clear" w:color="auto" w:fill="auto"/>
                  <w:noWrap/>
                  <w:vAlign w:val="center"/>
                </w:tcPr>
                <w:p w14:paraId="74276EE6">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6</w:t>
                  </w:r>
                </w:p>
              </w:tc>
              <w:tc>
                <w:tcPr>
                  <w:tcW w:w="571" w:type="pct"/>
                  <w:shd w:val="clear" w:color="auto" w:fill="auto"/>
                  <w:noWrap/>
                  <w:vAlign w:val="center"/>
                </w:tcPr>
                <w:p w14:paraId="27D67567">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普通型放装AP</w:t>
                  </w:r>
                  <w:r>
                    <w:rPr>
                      <w:rFonts w:hint="eastAsia" w:ascii="仿宋_GB2312" w:hAnsi="仿宋_GB2312" w:eastAsia="仿宋_GB2312" w:cs="仿宋_GB2312"/>
                      <w:b/>
                      <w:bCs/>
                      <w:kern w:val="0"/>
                      <w:sz w:val="20"/>
                      <w:szCs w:val="20"/>
                    </w:rPr>
                    <w:t>（核心产品）</w:t>
                  </w:r>
                </w:p>
              </w:tc>
              <w:tc>
                <w:tcPr>
                  <w:tcW w:w="3737" w:type="pct"/>
                  <w:shd w:val="clear" w:color="auto" w:fill="auto"/>
                  <w:noWrap/>
                  <w:vAlign w:val="center"/>
                </w:tcPr>
                <w:p w14:paraId="6962B008">
                  <w:pPr>
                    <w:numPr>
                      <w:ilvl w:val="0"/>
                      <w:numId w:val="7"/>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设备采用2.4G和5G双频四流，要求支持802.11n/ac/ax/be协议；整机速率≥3.5Gbps；</w:t>
                  </w:r>
                </w:p>
                <w:p w14:paraId="0A0804EB">
                  <w:pPr>
                    <w:numPr>
                      <w:ilvl w:val="0"/>
                      <w:numId w:val="7"/>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≥1个2.5G电口，支持 802.3at或802.3af受电；</w:t>
                  </w:r>
                </w:p>
                <w:p w14:paraId="70B14EF6">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要求内置智能或全向天线；</w:t>
                  </w:r>
                </w:p>
                <w:p w14:paraId="5D2F17EB">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支持≥16个SSID；</w:t>
                  </w:r>
                </w:p>
                <w:p w14:paraId="72B58994">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内置蓝牙模块，支持运维；</w:t>
                  </w:r>
                </w:p>
                <w:p w14:paraId="396BF298">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支持FIT/FAT模式，支持数据本地转发和集中转发，并能实现无缝漫游；</w:t>
                  </w:r>
                </w:p>
                <w:p w14:paraId="7D46868F">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支持IPv4/IPv6双协议栈； </w:t>
                  </w:r>
                </w:p>
                <w:p w14:paraId="15A517E2">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支持用户隔离，能实现用户在同一AP同一SSID下的二层隔离；</w:t>
                  </w:r>
                </w:p>
                <w:p w14:paraId="7991FD5C">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具有工信部颁发的无线产品型号核准证书；</w:t>
                  </w:r>
                </w:p>
                <w:p w14:paraId="07A267BB">
                  <w:pPr>
                    <w:numPr>
                      <w:ilvl w:val="0"/>
                      <w:numId w:val="7"/>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与无线控制器选用同一品牌产品。</w:t>
                  </w:r>
                </w:p>
              </w:tc>
              <w:tc>
                <w:tcPr>
                  <w:tcW w:w="406" w:type="pct"/>
                  <w:shd w:val="clear" w:color="auto" w:fill="auto"/>
                  <w:noWrap/>
                  <w:vAlign w:val="center"/>
                </w:tcPr>
                <w:p w14:paraId="7C7225D4">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110个</w:t>
                  </w:r>
                </w:p>
              </w:tc>
            </w:tr>
            <w:tr w14:paraId="61FB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85" w:type="pct"/>
                  <w:shd w:val="clear" w:color="auto" w:fill="auto"/>
                  <w:noWrap/>
                  <w:vAlign w:val="center"/>
                </w:tcPr>
                <w:p w14:paraId="36E58450">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7</w:t>
                  </w:r>
                </w:p>
              </w:tc>
              <w:tc>
                <w:tcPr>
                  <w:tcW w:w="571" w:type="pct"/>
                  <w:shd w:val="clear" w:color="auto" w:fill="auto"/>
                  <w:noWrap/>
                  <w:vAlign w:val="center"/>
                </w:tcPr>
                <w:p w14:paraId="608EE662">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面板AP</w:t>
                  </w:r>
                </w:p>
                <w:p w14:paraId="1E11CD60">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b/>
                      <w:bCs/>
                      <w:kern w:val="0"/>
                      <w:sz w:val="20"/>
                      <w:szCs w:val="20"/>
                    </w:rPr>
                    <w:t>（核心产品）</w:t>
                  </w:r>
                </w:p>
              </w:tc>
              <w:tc>
                <w:tcPr>
                  <w:tcW w:w="3737" w:type="pct"/>
                  <w:shd w:val="clear" w:color="auto" w:fill="auto"/>
                  <w:noWrap/>
                  <w:vAlign w:val="center"/>
                </w:tcPr>
                <w:p w14:paraId="2C00AD53">
                  <w:pPr>
                    <w:pStyle w:val="2"/>
                    <w:rPr>
                      <w:rFonts w:ascii="仿宋_GB2312" w:hAnsi="仿宋_GB2312" w:eastAsia="仿宋_GB2312" w:cs="仿宋_GB2312"/>
                      <w:kern w:val="0"/>
                      <w:sz w:val="20"/>
                      <w:szCs w:val="20"/>
                    </w:rPr>
                  </w:pPr>
                </w:p>
                <w:p w14:paraId="31060DA3">
                  <w:pPr>
                    <w:numPr>
                      <w:ilvl w:val="0"/>
                      <w:numId w:val="8"/>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设备采用2.4G和5G双频四流，要求支持802.11n/ac/ax/be协议；整机速率≥3.5Gbps；</w:t>
                  </w:r>
                </w:p>
                <w:p w14:paraId="504600CD">
                  <w:pPr>
                    <w:numPr>
                      <w:ilvl w:val="0"/>
                      <w:numId w:val="8"/>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 xml:space="preserve">≥1个2.5G电口，支持 802.3at或802.3af受电；≥4个下行1G电口； </w:t>
                  </w:r>
                </w:p>
                <w:p w14:paraId="2899A977">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要求内置智能或全向天线；支持86面板安装；</w:t>
                  </w:r>
                </w:p>
                <w:p w14:paraId="2A0710C6">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支持≥16个SSID；</w:t>
                  </w:r>
                </w:p>
                <w:p w14:paraId="6C1B4DE6">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内置蓝牙模块，支持运维；</w:t>
                  </w:r>
                </w:p>
                <w:p w14:paraId="6E8865D1">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支持FIT/FAT模式，支持数据本地转发和集中转发，并能实现无缝漫游；</w:t>
                  </w:r>
                </w:p>
                <w:p w14:paraId="01B6E71C">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支持IPv4/IPv6双协议栈； </w:t>
                  </w:r>
                </w:p>
                <w:p w14:paraId="60CCCB1A">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支持用户隔离，能实现用户在同一AP同一SSID下的二层隔离；</w:t>
                  </w:r>
                </w:p>
                <w:p w14:paraId="2B988B8D">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具有工信部颁发的无线产品型号核准证书；</w:t>
                  </w:r>
                </w:p>
                <w:p w14:paraId="0D644823">
                  <w:pPr>
                    <w:numPr>
                      <w:ilvl w:val="0"/>
                      <w:numId w:val="8"/>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与无线控制器选用同一品牌产品。</w:t>
                  </w:r>
                </w:p>
              </w:tc>
              <w:tc>
                <w:tcPr>
                  <w:tcW w:w="406" w:type="pct"/>
                  <w:shd w:val="clear" w:color="auto" w:fill="auto"/>
                  <w:noWrap/>
                  <w:vAlign w:val="center"/>
                </w:tcPr>
                <w:p w14:paraId="5B302B59">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190个</w:t>
                  </w:r>
                </w:p>
              </w:tc>
            </w:tr>
            <w:tr w14:paraId="4D18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85" w:type="pct"/>
                  <w:shd w:val="clear" w:color="auto" w:fill="auto"/>
                  <w:noWrap/>
                  <w:vAlign w:val="center"/>
                </w:tcPr>
                <w:p w14:paraId="167B0350">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8</w:t>
                  </w:r>
                </w:p>
              </w:tc>
              <w:tc>
                <w:tcPr>
                  <w:tcW w:w="571" w:type="pct"/>
                  <w:shd w:val="clear" w:color="auto" w:fill="auto"/>
                  <w:noWrap/>
                  <w:vAlign w:val="center"/>
                </w:tcPr>
                <w:p w14:paraId="083AC4FF">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高密型放装AP1</w:t>
                  </w:r>
                </w:p>
                <w:p w14:paraId="47BB6D2E">
                  <w:pPr>
                    <w:pStyle w:val="2"/>
                  </w:pPr>
                  <w:r>
                    <w:rPr>
                      <w:rFonts w:hint="eastAsia" w:ascii="仿宋_GB2312" w:hAnsi="仿宋_GB2312" w:eastAsia="仿宋_GB2312" w:cs="仿宋_GB2312"/>
                      <w:b/>
                      <w:bCs/>
                      <w:kern w:val="0"/>
                      <w:sz w:val="20"/>
                      <w:szCs w:val="20"/>
                    </w:rPr>
                    <w:t>（核心产品）</w:t>
                  </w:r>
                </w:p>
              </w:tc>
              <w:tc>
                <w:tcPr>
                  <w:tcW w:w="3737" w:type="pct"/>
                  <w:shd w:val="clear" w:color="auto" w:fill="auto"/>
                  <w:noWrap/>
                  <w:vAlign w:val="center"/>
                </w:tcPr>
                <w:p w14:paraId="51A40F33">
                  <w:pPr>
                    <w:numPr>
                      <w:ilvl w:val="0"/>
                      <w:numId w:val="9"/>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设备不低于2.4G和5G三频八流，要求支持802.11n/ac/ax/be协议；整机速率≥9.3Gbps（非6G频段速率）；</w:t>
                  </w:r>
                </w:p>
                <w:p w14:paraId="1DE809F2">
                  <w:pPr>
                    <w:numPr>
                      <w:ilvl w:val="0"/>
                      <w:numId w:val="9"/>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 xml:space="preserve">≥1个5G电口，支持 802.3bt和802.3at受电；≥1个10G光口； </w:t>
                  </w:r>
                </w:p>
                <w:p w14:paraId="69D24A66">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要求内置智能天线；</w:t>
                  </w:r>
                </w:p>
                <w:p w14:paraId="437D21D1">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支持≥16个SSID；</w:t>
                  </w:r>
                </w:p>
                <w:p w14:paraId="328724F2">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内置蓝牙模块，支持运维；支持物联网扩展；</w:t>
                  </w:r>
                </w:p>
                <w:p w14:paraId="05A11F79">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支持FIT/FAT模式，支持数据本地转发和集中转发，并能实现无缝漫游；</w:t>
                  </w:r>
                </w:p>
                <w:p w14:paraId="11412A58">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支持IPv4/IPv6双协议栈；</w:t>
                  </w:r>
                </w:p>
                <w:p w14:paraId="0C022D17">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支持用户隔离，能实现用户在同一AP同一SSID下的二层隔离；</w:t>
                  </w:r>
                </w:p>
                <w:p w14:paraId="4A888AE5">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具有工信部颁发的无线产品型号核准证书；</w:t>
                  </w:r>
                </w:p>
                <w:p w14:paraId="44D6FB82">
                  <w:pPr>
                    <w:numPr>
                      <w:ilvl w:val="0"/>
                      <w:numId w:val="9"/>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与无线控制器选用同一品牌产品。</w:t>
                  </w:r>
                </w:p>
              </w:tc>
              <w:tc>
                <w:tcPr>
                  <w:tcW w:w="406" w:type="pct"/>
                  <w:shd w:val="clear" w:color="auto" w:fill="auto"/>
                  <w:noWrap/>
                  <w:vAlign w:val="center"/>
                </w:tcPr>
                <w:p w14:paraId="067B8E8F">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45个</w:t>
                  </w:r>
                </w:p>
              </w:tc>
            </w:tr>
            <w:tr w14:paraId="355D1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85" w:type="pct"/>
                  <w:shd w:val="clear" w:color="auto" w:fill="auto"/>
                  <w:noWrap/>
                  <w:vAlign w:val="center"/>
                </w:tcPr>
                <w:p w14:paraId="4980B3EA">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9</w:t>
                  </w:r>
                </w:p>
              </w:tc>
              <w:tc>
                <w:tcPr>
                  <w:tcW w:w="571" w:type="pct"/>
                  <w:shd w:val="clear" w:color="auto" w:fill="auto"/>
                  <w:noWrap/>
                  <w:vAlign w:val="center"/>
                </w:tcPr>
                <w:p w14:paraId="6982F451">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高密型放装AP2</w:t>
                  </w:r>
                </w:p>
                <w:p w14:paraId="28F25EA1">
                  <w:pPr>
                    <w:pStyle w:val="2"/>
                  </w:pPr>
                  <w:r>
                    <w:rPr>
                      <w:rFonts w:hint="eastAsia" w:ascii="仿宋_GB2312" w:hAnsi="仿宋_GB2312" w:eastAsia="仿宋_GB2312" w:cs="仿宋_GB2312"/>
                      <w:b/>
                      <w:bCs/>
                      <w:kern w:val="0"/>
                      <w:sz w:val="20"/>
                      <w:szCs w:val="20"/>
                    </w:rPr>
                    <w:t>（核心产品）</w:t>
                  </w:r>
                </w:p>
              </w:tc>
              <w:tc>
                <w:tcPr>
                  <w:tcW w:w="3737" w:type="pct"/>
                  <w:shd w:val="clear" w:color="auto" w:fill="auto"/>
                  <w:noWrap/>
                  <w:vAlign w:val="center"/>
                </w:tcPr>
                <w:p w14:paraId="5FE3BF3C">
                  <w:pPr>
                    <w:numPr>
                      <w:ilvl w:val="0"/>
                      <w:numId w:val="10"/>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设备不低于2.4G和5G三频六流，要求支持802.11n/ac/ax/be协议；整机速率≥6Gbps（非6G频段速率）；</w:t>
                  </w:r>
                </w:p>
                <w:p w14:paraId="3F2C4BA5">
                  <w:pPr>
                    <w:numPr>
                      <w:ilvl w:val="0"/>
                      <w:numId w:val="10"/>
                    </w:numPr>
                    <w:spacing w:line="276" w:lineRule="auto"/>
                    <w:jc w:val="left"/>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≥1个2.5G自适应电口，支持 802.3bt或802.3at受电；≥1个1G自适应电口；</w:t>
                  </w:r>
                </w:p>
                <w:p w14:paraId="215ED388">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内置智能天线系统；</w:t>
                  </w:r>
                </w:p>
                <w:p w14:paraId="4DE5D309">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支持≥16个SSID；</w:t>
                  </w:r>
                </w:p>
                <w:p w14:paraId="04DDD6D1">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内置蓝牙模块，支持运维； </w:t>
                  </w:r>
                </w:p>
                <w:p w14:paraId="4D86BB89">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支持FIT/FAT模式，支持数据本地转发和集中转发，并能实现无缝漫游；</w:t>
                  </w:r>
                </w:p>
                <w:p w14:paraId="44D545AB">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支持IPv4/IPv6双协议栈；</w:t>
                  </w:r>
                </w:p>
                <w:p w14:paraId="44DE953A">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支持用户隔离，能实现同一AP在同一SSID下用户的二层隔离； </w:t>
                  </w:r>
                </w:p>
                <w:p w14:paraId="2A0F9F53">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具有工信部颁发的无线产品型号核准证</w:t>
                  </w:r>
                </w:p>
                <w:p w14:paraId="5FAF0E2F">
                  <w:pPr>
                    <w:numPr>
                      <w:ilvl w:val="0"/>
                      <w:numId w:val="1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与无线控制器选用同一品牌产品。</w:t>
                  </w:r>
                </w:p>
              </w:tc>
              <w:tc>
                <w:tcPr>
                  <w:tcW w:w="406" w:type="pct"/>
                  <w:shd w:val="clear" w:color="auto" w:fill="auto"/>
                  <w:noWrap/>
                  <w:vAlign w:val="center"/>
                </w:tcPr>
                <w:p w14:paraId="59BFFD16">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145个</w:t>
                  </w:r>
                </w:p>
              </w:tc>
            </w:tr>
            <w:tr w14:paraId="578C1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2" w:hRule="atLeast"/>
              </w:trPr>
              <w:tc>
                <w:tcPr>
                  <w:tcW w:w="285" w:type="pct"/>
                  <w:shd w:val="clear" w:color="auto" w:fill="auto"/>
                  <w:noWrap/>
                  <w:vAlign w:val="center"/>
                </w:tcPr>
                <w:p w14:paraId="4E5F4F6E">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10</w:t>
                  </w:r>
                </w:p>
              </w:tc>
              <w:tc>
                <w:tcPr>
                  <w:tcW w:w="571" w:type="pct"/>
                  <w:shd w:val="clear" w:color="auto" w:fill="auto"/>
                  <w:noWrap/>
                  <w:vAlign w:val="center"/>
                </w:tcPr>
                <w:p w14:paraId="3977080D">
                  <w:pPr>
                    <w:spacing w:line="276"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网络优化服务及系统</w:t>
                  </w:r>
                </w:p>
              </w:tc>
              <w:tc>
                <w:tcPr>
                  <w:tcW w:w="3737" w:type="pct"/>
                  <w:shd w:val="clear" w:color="auto" w:fill="auto"/>
                  <w:noWrap/>
                  <w:vAlign w:val="center"/>
                </w:tcPr>
                <w:p w14:paraId="267CB371">
                  <w:pPr>
                    <w:numPr>
                      <w:ilvl w:val="0"/>
                      <w:numId w:val="11"/>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针对本次所投无线网络设备提供网络优化及分析服务并配套可视化系统工具（可采用云端或本地化部署）。</w:t>
                  </w:r>
                </w:p>
                <w:p w14:paraId="18FCABED">
                  <w:pPr>
                    <w:numPr>
                      <w:ilvl w:val="0"/>
                      <w:numId w:val="11"/>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支持无线网络体验度量和可视化，可查看无线网络体验概况及整体使用体验；</w:t>
                  </w:r>
                </w:p>
                <w:p w14:paraId="305C6D94">
                  <w:pPr>
                    <w:numPr>
                      <w:ilvl w:val="0"/>
                      <w:numId w:val="11"/>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支持一键网络优化，智能调整整网AP的信道、功率、频宽等；</w:t>
                  </w:r>
                </w:p>
                <w:p w14:paraId="64E48F5F">
                  <w:pPr>
                    <w:numPr>
                      <w:ilvl w:val="0"/>
                      <w:numId w:val="11"/>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支持AP统计，可实现整网AP统计；支持网络诊断分析、全网设备体验分析等功能；支持基于物理位置的网络运行状态监控，分楼宇显示无线网络运行状态； </w:t>
                  </w:r>
                </w:p>
                <w:p w14:paraId="2F5D09BA">
                  <w:pPr>
                    <w:numPr>
                      <w:ilvl w:val="0"/>
                      <w:numId w:val="11"/>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 xml:space="preserve">支持漫游粘滞引导； </w:t>
                  </w:r>
                </w:p>
                <w:p w14:paraId="1F4AF2B9">
                  <w:pPr>
                    <w:numPr>
                      <w:ilvl w:val="0"/>
                      <w:numId w:val="11"/>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提供北向API接口，可通过API接口将原始数据开放给第三方系统使用；</w:t>
                  </w:r>
                </w:p>
                <w:p w14:paraId="6FF84B5F">
                  <w:pPr>
                    <w:numPr>
                      <w:ilvl w:val="0"/>
                      <w:numId w:val="11"/>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为保证兼容性，须选用AP设备原厂商的软件系统。</w:t>
                  </w:r>
                </w:p>
                <w:p w14:paraId="23705C05">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本次配置：</w:t>
                  </w:r>
                </w:p>
                <w:p w14:paraId="5EABD2CE">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满足本项目设备数量和功能需要的授权（</w:t>
                  </w:r>
                  <w:r>
                    <w:rPr>
                      <w:rFonts w:hint="eastAsia" w:ascii="仿宋_GB2312" w:hAnsi="仿宋_GB2312" w:eastAsia="仿宋_GB2312" w:cs="仿宋_GB2312"/>
                      <w:kern w:val="0"/>
                      <w:sz w:val="20"/>
                      <w:szCs w:val="20"/>
                      <w:highlight w:val="none"/>
                    </w:rPr>
                    <w:t>如所投产品为我校已有品牌，可通过增加相应授权完成本项交付</w:t>
                  </w:r>
                  <w:r>
                    <w:rPr>
                      <w:rFonts w:ascii="仿宋_GB2312" w:hAnsi="仿宋_GB2312" w:eastAsia="仿宋_GB2312" w:cs="仿宋_GB2312"/>
                      <w:kern w:val="0"/>
                      <w:sz w:val="20"/>
                      <w:szCs w:val="20"/>
                      <w:highlight w:val="none"/>
                    </w:rPr>
                    <w:t>)</w:t>
                  </w:r>
                </w:p>
              </w:tc>
              <w:tc>
                <w:tcPr>
                  <w:tcW w:w="406" w:type="pct"/>
                  <w:shd w:val="clear" w:color="auto" w:fill="auto"/>
                  <w:noWrap/>
                  <w:vAlign w:val="center"/>
                </w:tcPr>
                <w:p w14:paraId="00C31869">
                  <w:pPr>
                    <w:widowControl/>
                    <w:spacing w:before="100" w:beforeAutospacing="1" w:after="100" w:afterAutospacing="1"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1套</w:t>
                  </w:r>
                </w:p>
              </w:tc>
            </w:tr>
          </w:tbl>
          <w:p w14:paraId="33C25400">
            <w:pPr>
              <w:spacing w:line="276" w:lineRule="auto"/>
              <w:jc w:val="left"/>
              <w:rPr>
                <w:rFonts w:ascii="仿宋_GB2312" w:hAnsi="仿宋_GB2312" w:eastAsia="仿宋_GB2312" w:cs="仿宋_GB2312"/>
                <w:b/>
                <w:bCs/>
                <w:kern w:val="0"/>
                <w:sz w:val="20"/>
                <w:szCs w:val="20"/>
              </w:rPr>
            </w:pPr>
            <w:r>
              <w:rPr>
                <w:rFonts w:hint="eastAsia" w:ascii="仿宋_GB2312" w:hAnsi="仿宋_GB2312" w:eastAsia="仿宋_GB2312" w:cs="仿宋_GB2312"/>
                <w:b/>
                <w:bCs/>
                <w:kern w:val="0"/>
                <w:sz w:val="20"/>
                <w:szCs w:val="20"/>
              </w:rPr>
              <w:t>说明：</w:t>
            </w:r>
          </w:p>
          <w:p w14:paraId="722E1E5C">
            <w:pPr>
              <w:numPr>
                <w:ilvl w:val="0"/>
                <w:numId w:val="0"/>
              </w:numPr>
              <w:spacing w:line="276" w:lineRule="auto"/>
              <w:jc w:val="left"/>
              <w:rPr>
                <w:rFonts w:ascii="仿宋_GB2312" w:hAnsi="仿宋_GB2312" w:eastAsia="仿宋_GB2312" w:cs="仿宋_GB2312"/>
                <w:kern w:val="0"/>
                <w:sz w:val="20"/>
                <w:szCs w:val="20"/>
              </w:rPr>
            </w:pPr>
            <w:r>
              <w:rPr>
                <w:rFonts w:ascii="仿宋_GB2312" w:hAnsi="仿宋_GB2312" w:eastAsia="仿宋_GB2312" w:cs="仿宋_GB2312"/>
                <w:kern w:val="0"/>
                <w:sz w:val="20"/>
                <w:szCs w:val="20"/>
                <w:lang w:val="en-US" w:eastAsia="zh-CN" w:bidi="ar-SA"/>
              </w:rPr>
              <w:t>（1）</w:t>
            </w:r>
            <w:r>
              <w:rPr>
                <w:rFonts w:hint="eastAsia" w:ascii="仿宋_GB2312" w:hAnsi="仿宋_GB2312" w:eastAsia="仿宋_GB2312" w:cs="仿宋_GB2312"/>
              </w:rPr>
              <w:t>供应商</w:t>
            </w:r>
            <w:r>
              <w:rPr>
                <w:rFonts w:hint="eastAsia" w:ascii="仿宋_GB2312" w:hAnsi="仿宋_GB2312" w:eastAsia="仿宋_GB2312" w:cs="仿宋_GB2312"/>
                <w:kern w:val="0"/>
                <w:sz w:val="20"/>
                <w:szCs w:val="20"/>
              </w:rPr>
              <w:t>需对每项技术要求逐一明确响应，参数性要求还应明确应答具体参数。针对技术要求所有项目提供加盖厂商公章的官网截图、测试结果截图或可证实的资料予以说明，并在响应表中标明所在投标文件页码。</w:t>
            </w:r>
          </w:p>
          <w:p w14:paraId="1DA8DE29">
            <w:pPr>
              <w:numPr>
                <w:ilvl w:val="255"/>
                <w:numId w:val="0"/>
              </w:num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（2）投标人投标产品对某点技术要求只能部分实现的,投标人应明确回答“不满足”。如果投标设备不能同时开启功能甲和乙，或同时开启时设备性能下降到不能接受，则不能回答同时满足功能甲和乙。</w:t>
            </w:r>
          </w:p>
          <w:p w14:paraId="725F8F4D">
            <w:pPr>
              <w:spacing w:line="276" w:lineRule="auto"/>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（3）投标人应根据技术要求提供项目设计实施方案及说明，并提供明确的实施工作流程和相关报告样本。</w:t>
            </w:r>
          </w:p>
          <w:p w14:paraId="554227BD">
            <w:pPr>
              <w:spacing w:line="276" w:lineRule="auto"/>
              <w:jc w:val="left"/>
              <w:rPr>
                <w:rFonts w:ascii="仿宋_GB2312" w:hAnsi="仿宋_GB2312" w:eastAsia="仿宋_GB2312" w:cs="仿宋_GB2312"/>
                <w:sz w:val="20"/>
                <w:szCs w:val="20"/>
              </w:rPr>
            </w:pPr>
            <w:r>
              <w:rPr>
                <w:rFonts w:hint="eastAsia" w:ascii="仿宋_GB2312" w:hAnsi="仿宋_GB2312" w:eastAsia="仿宋_GB2312" w:cs="仿宋_GB2312"/>
                <w:kern w:val="0"/>
                <w:sz w:val="20"/>
                <w:szCs w:val="20"/>
              </w:rPr>
              <w:t>（4）投标人可根据所选设备情况进行深化设计，但不能改变本项目网络整体架构的逻辑结构及设计目标。</w:t>
            </w:r>
          </w:p>
        </w:tc>
      </w:tr>
      <w:tr w14:paraId="460220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16" w:hRule="atLeast"/>
        </w:trPr>
        <w:tc>
          <w:tcPr>
            <w:tcW w:w="698" w:type="dxa"/>
          </w:tcPr>
          <w:p w14:paraId="62D6CA84">
            <w:pPr>
              <w:pStyle w:val="7"/>
              <w:rPr>
                <w:rFonts w:hint="default"/>
                <w:lang w:eastAsia="zh-CN"/>
              </w:rPr>
            </w:pPr>
            <w:r>
              <w:rPr>
                <w:rFonts w:ascii="仿宋_GB2312" w:hAnsi="仿宋_GB2312" w:eastAsia="仿宋_GB2312" w:cs="仿宋_GB2312"/>
                <w:lang w:eastAsia="zh-CN"/>
              </w:rPr>
              <w:t>3</w:t>
            </w:r>
          </w:p>
        </w:tc>
        <w:tc>
          <w:tcPr>
            <w:tcW w:w="632" w:type="dxa"/>
          </w:tcPr>
          <w:p w14:paraId="5A4B8BF6"/>
        </w:tc>
        <w:tc>
          <w:tcPr>
            <w:tcW w:w="6972" w:type="dxa"/>
          </w:tcPr>
          <w:p w14:paraId="3270B948">
            <w:pPr>
              <w:pStyle w:val="8"/>
              <w:numPr>
                <w:ilvl w:val="2"/>
                <w:numId w:val="0"/>
              </w:numPr>
              <w:rPr>
                <w:rFonts w:ascii="仿宋_GB2312" w:hAnsi="仿宋_GB2312" w:eastAsia="仿宋_GB2312" w:cs="仿宋_GB2312"/>
                <w:b/>
                <w:kern w:val="0"/>
                <w:sz w:val="20"/>
                <w:szCs w:val="20"/>
              </w:rPr>
            </w:pPr>
            <w:r>
              <w:rPr>
                <w:rFonts w:hint="eastAsia" w:ascii="仿宋_GB2312" w:hAnsi="仿宋_GB2312" w:eastAsia="仿宋_GB2312" w:cs="仿宋_GB2312"/>
                <w:b/>
                <w:kern w:val="0"/>
                <w:sz w:val="20"/>
                <w:szCs w:val="20"/>
              </w:rPr>
              <w:t>实施要求</w:t>
            </w:r>
          </w:p>
          <w:p w14:paraId="57031274">
            <w:pPr>
              <w:autoSpaceDE w:val="0"/>
              <w:autoSpaceDN w:val="0"/>
              <w:spacing w:before="100" w:beforeAutospacing="1" w:after="100" w:afterAutospacing="1" w:line="360" w:lineRule="auto"/>
              <w:ind w:firstLine="400" w:firstLineChars="200"/>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本项目为交钥匙工程，供应商最终需提供给采购方完成项目建设目标、满足全部功能需求、可直接使用的设备及网络。项目实施包括但不限于采购标的物的安装、调试、优化以及为保证正常使用需要的综合布线、供电线路改造、与学校现有系统集成等工作。投标人应该按照采购文件要求，根据现场实际情况设计方案进行实施，并自行增补项目执行所需的所有材料及配套设施（包含但不限于安装支架、机柜、线缆、管材、配件、辅材辅料等）。以上费用均包含在投标人投标报价中，价格一次性包死，采购人不再额外支付任何费用。</w:t>
            </w:r>
          </w:p>
          <w:p w14:paraId="4E6AC7CF">
            <w:pPr>
              <w:autoSpaceDE w:val="0"/>
              <w:autoSpaceDN w:val="0"/>
              <w:spacing w:before="100" w:beforeAutospacing="1" w:after="100" w:afterAutospacing="1" w:line="360" w:lineRule="auto"/>
              <w:ind w:firstLine="400" w:firstLineChars="200"/>
              <w:jc w:val="left"/>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供应商需要根据项目目标要求与现场踏勘情况对AP、POE接入设备、区域传输设备等进行安装点位规划，并完成相应综合布线、供电线路和设备安装。若不能利用我校原有综合布线系统的，则需单独安装机柜、桥架等进行独立布线。供应商中标后需细化设计安装图纸，经采购人签字确认后方可进行施工，具体施工要求如下：</w:t>
            </w:r>
          </w:p>
          <w:p w14:paraId="7180326D">
            <w:pPr>
              <w:spacing w:line="360" w:lineRule="auto"/>
              <w:ind w:firstLine="351" w:firstLineChars="175"/>
              <w:rPr>
                <w:rFonts w:ascii="仿宋_GB2312" w:hAnsi="仿宋_GB2312" w:eastAsia="仿宋_GB2312" w:cs="仿宋_GB2312"/>
                <w:b/>
                <w:bCs/>
                <w:kern w:val="0"/>
                <w:sz w:val="20"/>
                <w:szCs w:val="20"/>
              </w:rPr>
            </w:pPr>
            <w:r>
              <w:rPr>
                <w:rFonts w:hint="eastAsia" w:ascii="仿宋_GB2312" w:hAnsi="仿宋_GB2312" w:eastAsia="仿宋_GB2312" w:cs="仿宋_GB2312"/>
                <w:b/>
                <w:bCs/>
                <w:kern w:val="0"/>
                <w:sz w:val="20"/>
                <w:szCs w:val="20"/>
              </w:rPr>
              <w:t>1、AP安装</w:t>
            </w:r>
          </w:p>
          <w:p w14:paraId="5E1B84D2">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（1）AP自身安装美观，固定牢靠，无损伤，无掉漆；</w:t>
            </w:r>
          </w:p>
          <w:p w14:paraId="60C344A1">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（2）AP连接线缆采用高处隐藏走线，做到无法随意碰触；</w:t>
            </w:r>
          </w:p>
          <w:p w14:paraId="3E2CB43F">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（3）AP与线缆插接牢固，不易松动；</w:t>
            </w:r>
          </w:p>
          <w:p w14:paraId="540BB3F8">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（4）公共区域的所有AP要进行相应的防盗及防破坏处理；</w:t>
            </w:r>
          </w:p>
          <w:p w14:paraId="60041E30">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（5）AP自身粘贴打印标签，标识自身命名、MAC地址、上联交换机IP及端口，做到标识清晰无误，标签粘贴牢靠耐久。</w:t>
            </w:r>
          </w:p>
          <w:p w14:paraId="19070343">
            <w:pPr>
              <w:spacing w:line="360" w:lineRule="auto"/>
              <w:ind w:firstLine="351" w:firstLineChars="175"/>
              <w:rPr>
                <w:rFonts w:ascii="仿宋_GB2312" w:hAnsi="仿宋_GB2312" w:eastAsia="仿宋_GB2312" w:cs="仿宋_GB2312"/>
                <w:b/>
                <w:bCs/>
                <w:kern w:val="0"/>
                <w:sz w:val="20"/>
                <w:szCs w:val="20"/>
              </w:rPr>
            </w:pPr>
            <w:r>
              <w:rPr>
                <w:rFonts w:hint="eastAsia" w:ascii="仿宋_GB2312" w:hAnsi="仿宋_GB2312" w:eastAsia="仿宋_GB2312" w:cs="仿宋_GB2312"/>
                <w:b/>
                <w:bCs/>
                <w:kern w:val="0"/>
                <w:sz w:val="20"/>
                <w:szCs w:val="20"/>
              </w:rPr>
              <w:t>2.综合布线</w:t>
            </w:r>
          </w:p>
          <w:p w14:paraId="3D14E36D">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（1）综合布线不能毁损目前楼内装修，要求美观得体，合理安排施工时间，不影响学校的正常工作。</w:t>
            </w:r>
          </w:p>
          <w:p w14:paraId="6565AE61">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综合布线所有线缆（光缆、双绞线、电线等）均需放置于线槽、线管内，不得外露，要求所有走线布放整齐、美观，并为维修预留一定长度。所需敷设的墙面线槽采用优质PVC材料，平面桥架采用经防腐、防锈处理的金属管、桥架等材料，并需防鼠咬。</w:t>
            </w:r>
          </w:p>
          <w:p w14:paraId="08DF9AA8">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（3）布线系统、POE供电交换机不能利用配线间已有机柜的，需要投标人单独为无线工程配线提供机柜。POE供电交换机电源插线板由投标人提供，插线板应选用品牌知名度高的优质产品。</w:t>
            </w:r>
          </w:p>
          <w:p w14:paraId="053CC33A">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4）根据踏勘情况，需要敷设光缆线路的，采用至少12芯的单模铠装光缆。光缆护套耐啮蚀、投标人在投标时须提供厂家的授权书，原产地证明书及权威检测机构的检验合格证书。光缆敷设时，两端应做好标识，标识的命名规则须统一，清晰可读，标识牌须含有光缆名称、光缆路由、光缆长度等主要信息。光纤配线架要求标准19英寸机架安装，高度1U,可容纳24个LC型光纤适配器连接端口，满配尾纤及光纤适配器，盒体印刷有数字编号。如不具备安装光纤配线架条件，则应使用光缆分纤箱(盒)。</w:t>
            </w:r>
          </w:p>
          <w:p w14:paraId="071A3149">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5）双绞线布线要求横平竖直，整齐有序，不得出现扭绞、打圈、接头等现象，在暗管和桥架内不得敷设过紧，不得出现外皮损伤、纠结等现象。所有线缆要求两端做好标签，与设备相连要求接触良好，不能有松动现象。线缆线序全部采用 T568B 标准。</w:t>
            </w:r>
          </w:p>
          <w:p w14:paraId="12E16D40">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（6）综合布线竣工后使用认证级线缆测试仪（如FLUKE或同等性能设备）按六类通道标准进行测试”。整栋楼详细的路由走线及 AP 点位分布图等资料。以上资料需提供纸质及电子版。</w:t>
            </w:r>
          </w:p>
          <w:p w14:paraId="6D28FEC6">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（7）综合布线双绞线点位总数除保障设计点位的使用外，还需多敷设实际安装AP数量的5%作为线路预留。</w:t>
            </w:r>
          </w:p>
          <w:p w14:paraId="58C2D98E">
            <w:pPr>
              <w:spacing w:line="360" w:lineRule="auto"/>
              <w:ind w:firstLine="351" w:firstLineChars="175"/>
              <w:rPr>
                <w:rFonts w:ascii="仿宋_GB2312" w:hAnsi="仿宋_GB2312" w:eastAsia="仿宋_GB2312" w:cs="仿宋_GB2312"/>
                <w:b/>
                <w:bCs/>
                <w:kern w:val="0"/>
                <w:sz w:val="20"/>
                <w:szCs w:val="20"/>
              </w:rPr>
            </w:pPr>
            <w:r>
              <w:rPr>
                <w:rFonts w:hint="eastAsia" w:ascii="仿宋_GB2312" w:hAnsi="仿宋_GB2312" w:eastAsia="仿宋_GB2312" w:cs="仿宋_GB2312"/>
                <w:b/>
                <w:bCs/>
                <w:kern w:val="0"/>
                <w:sz w:val="20"/>
                <w:szCs w:val="20"/>
              </w:rPr>
              <w:t>3.综合布线产品要求</w:t>
            </w:r>
          </w:p>
          <w:p w14:paraId="4620FE84">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（1）综合布线线缆生产厂商必须具有有效的质量体系认证书。</w:t>
            </w:r>
          </w:p>
          <w:p w14:paraId="7AD0F74D">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（2）六类综合布线产品必须提供通过国家认可的第三方检测机构（CMA/CNAS）出具的六类信道测试合格报告，或提供国际等效认证（UL/ETL）”，，提供详细证明文件。</w:t>
            </w:r>
          </w:p>
          <w:p w14:paraId="3DAC2DA6">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 投标人必须提供材料原厂商提供的参与本项目投标的专项授权证明书，中标之后所供布线产品需要提供原厂出厂证明。</w:t>
            </w:r>
          </w:p>
          <w:p w14:paraId="116009B5">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（4）综合布线材料中的六类非屏蔽双绞线、理线器、水晶头、模块、面板要求为同一品牌产品。</w:t>
            </w:r>
          </w:p>
          <w:p w14:paraId="2C611469">
            <w:pPr>
              <w:pStyle w:val="9"/>
              <w:spacing w:line="360" w:lineRule="auto"/>
              <w:ind w:firstLine="354" w:firstLineChars="177"/>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（5）综合布线线缆技术规格及要求见下表。</w:t>
            </w:r>
          </w:p>
          <w:tbl>
            <w:tblPr>
              <w:tblStyle w:val="5"/>
              <w:tblW w:w="47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165"/>
              <w:gridCol w:w="1322"/>
            </w:tblGrid>
            <w:tr w14:paraId="472D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1" w:type="pct"/>
                  <w:shd w:val="clear" w:color="auto" w:fill="auto"/>
                  <w:vAlign w:val="center"/>
                </w:tcPr>
                <w:p w14:paraId="2358C7B4">
                  <w:pPr>
                    <w:spacing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项目</w:t>
                  </w:r>
                </w:p>
              </w:tc>
              <w:tc>
                <w:tcPr>
                  <w:tcW w:w="3217" w:type="pct"/>
                  <w:shd w:val="clear" w:color="auto" w:fill="auto"/>
                  <w:vAlign w:val="center"/>
                </w:tcPr>
                <w:p w14:paraId="1FF209C7">
                  <w:pPr>
                    <w:spacing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技术规格及要求</w:t>
                  </w:r>
                </w:p>
              </w:tc>
              <w:tc>
                <w:tcPr>
                  <w:tcW w:w="1021" w:type="pct"/>
                  <w:shd w:val="clear" w:color="auto" w:fill="auto"/>
                  <w:vAlign w:val="center"/>
                </w:tcPr>
                <w:p w14:paraId="236DD26A">
                  <w:pPr>
                    <w:pStyle w:val="9"/>
                    <w:spacing w:line="360" w:lineRule="auto"/>
                    <w:ind w:firstLine="0" w:firstLineChars="0"/>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数量</w:t>
                  </w:r>
                </w:p>
              </w:tc>
            </w:tr>
            <w:tr w14:paraId="6AFA6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0" w:hRule="atLeast"/>
                <w:jc w:val="center"/>
              </w:trPr>
              <w:tc>
                <w:tcPr>
                  <w:tcW w:w="761" w:type="pct"/>
                  <w:vAlign w:val="center"/>
                </w:tcPr>
                <w:p w14:paraId="47C56366">
                  <w:pPr>
                    <w:spacing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六类线缆</w:t>
                  </w:r>
                </w:p>
              </w:tc>
              <w:tc>
                <w:tcPr>
                  <w:tcW w:w="3217" w:type="pct"/>
                  <w:vAlign w:val="center"/>
                </w:tcPr>
                <w:p w14:paraId="7A830E20">
                  <w:pPr>
                    <w:spacing w:line="360" w:lineRule="auto"/>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1. 线规：23AWG，铜芯线径0.57mm；</w:t>
                  </w:r>
                </w:p>
                <w:p w14:paraId="10C1EC2C">
                  <w:pPr>
                    <w:spacing w:line="360" w:lineRule="auto"/>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2. 传输标准符合GB/T 18015.5-2025（国标） YD/T 1019-2023（行业标准）</w:t>
                  </w:r>
                  <w:bookmarkStart w:id="0" w:name="OLE_LINK1"/>
                  <w:r>
                    <w:rPr>
                      <w:rFonts w:hint="eastAsia" w:ascii="仿宋_GB2312" w:hAnsi="仿宋_GB2312" w:eastAsia="仿宋_GB2312" w:cs="仿宋_GB2312"/>
                      <w:kern w:val="0"/>
                      <w:sz w:val="20"/>
                      <w:szCs w:val="20"/>
                      <w:lang w:eastAsia="zh-CN"/>
                    </w:rPr>
                    <w:t>，</w:t>
                  </w:r>
                  <w:r>
                    <w:rPr>
                      <w:rFonts w:hint="eastAsia" w:ascii="仿宋_GB2312" w:hAnsi="仿宋_GB2312" w:eastAsia="仿宋_GB2312" w:cs="仿宋_GB2312"/>
                      <w:kern w:val="0"/>
                      <w:sz w:val="20"/>
                      <w:szCs w:val="20"/>
                    </w:rPr>
                    <w:t>提供第三方检测机构出具的链路信道测试报告</w:t>
                  </w:r>
                  <w:bookmarkEnd w:id="0"/>
                  <w:r>
                    <w:rPr>
                      <w:rFonts w:hint="eastAsia" w:ascii="仿宋_GB2312" w:hAnsi="仿宋_GB2312" w:eastAsia="仿宋_GB2312" w:cs="仿宋_GB2312"/>
                      <w:kern w:val="0"/>
                      <w:sz w:val="20"/>
                      <w:szCs w:val="20"/>
                    </w:rPr>
                    <w:t>；</w:t>
                  </w:r>
                </w:p>
                <w:p w14:paraId="7A8E01EA">
                  <w:pPr>
                    <w:spacing w:line="360" w:lineRule="auto"/>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 工作温度范为-20至60摄氏度；</w:t>
                  </w:r>
                </w:p>
                <w:p w14:paraId="34EC551C">
                  <w:pPr>
                    <w:spacing w:line="360" w:lineRule="auto"/>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4. 外皮提供通过国家认可的第三方检测机构（CMA/CNAS）出具的六类信道测试合格报告，或提供国际等效认证（UL/ETL）”。</w:t>
                  </w:r>
                </w:p>
              </w:tc>
              <w:tc>
                <w:tcPr>
                  <w:tcW w:w="1021" w:type="pct"/>
                  <w:vAlign w:val="center"/>
                </w:tcPr>
                <w:p w14:paraId="6989EA9C">
                  <w:pPr>
                    <w:pStyle w:val="9"/>
                    <w:spacing w:line="360" w:lineRule="auto"/>
                    <w:ind w:firstLine="0" w:firstLineChars="0"/>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以实际安装设备数量为准, 另预留上线AP设备总数5%的冗余线缆。</w:t>
                  </w:r>
                </w:p>
              </w:tc>
            </w:tr>
            <w:tr w14:paraId="338FC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761" w:type="pct"/>
                  <w:vAlign w:val="center"/>
                </w:tcPr>
                <w:p w14:paraId="228A9EBB">
                  <w:pPr>
                    <w:spacing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光缆</w:t>
                  </w:r>
                </w:p>
              </w:tc>
              <w:tc>
                <w:tcPr>
                  <w:tcW w:w="3217" w:type="pct"/>
                  <w:vAlign w:val="center"/>
                </w:tcPr>
                <w:p w14:paraId="6645FE6B">
                  <w:pPr>
                    <w:autoSpaceDE w:val="0"/>
                    <w:autoSpaceDN w:val="0"/>
                    <w:adjustRightInd w:val="0"/>
                    <w:spacing w:line="360" w:lineRule="auto"/>
                    <w:rPr>
                      <w:rFonts w:hint="eastAsia" w:ascii="仿宋_GB2312" w:hAnsi="仿宋_GB2312" w:eastAsia="仿宋_GB2312" w:cs="仿宋_GB2312"/>
                      <w:kern w:val="0"/>
                      <w:sz w:val="20"/>
                      <w:szCs w:val="20"/>
                      <w:lang w:eastAsia="zh-CN"/>
                    </w:rPr>
                  </w:pPr>
                  <w:r>
                    <w:rPr>
                      <w:rFonts w:hint="eastAsia" w:ascii="微软雅黑" w:hAnsi="微软雅黑" w:eastAsia="微软雅黑" w:cs="微软雅黑"/>
                      <w:kern w:val="0"/>
                      <w:sz w:val="20"/>
                      <w:szCs w:val="20"/>
                    </w:rPr>
                    <w:t>▲</w:t>
                  </w:r>
                  <w:r>
                    <w:rPr>
                      <w:rFonts w:hint="eastAsia" w:ascii="仿宋_GB2312" w:hAnsi="仿宋_GB2312" w:eastAsia="仿宋_GB2312" w:cs="仿宋_GB2312"/>
                      <w:kern w:val="0"/>
                      <w:sz w:val="20"/>
                      <w:szCs w:val="20"/>
                    </w:rPr>
                    <w:t>1.光纤信道符合 GB/T 18233.1-2022  OS2 单模光纤布线分级；光纤裸纤符合 GB/T 9771.1-2020 B1.3 低水峰单模光纤，A 级光纤衰减指标：1310nm≤0.35dB/km，1550nm≤0.21dB/km；综合布线工程设计、验收执行 GB 50311-2016、GB 50312-2016</w:t>
                  </w:r>
                  <w:r>
                    <w:rPr>
                      <w:rFonts w:hint="eastAsia" w:ascii="仿宋_GB2312" w:hAnsi="仿宋_GB2312" w:eastAsia="仿宋_GB2312" w:cs="仿宋_GB2312"/>
                      <w:kern w:val="0"/>
                      <w:sz w:val="20"/>
                      <w:szCs w:val="20"/>
                      <w:lang w:eastAsia="zh-CN"/>
                    </w:rPr>
                    <w:t>；</w:t>
                  </w:r>
                </w:p>
                <w:p w14:paraId="5E12F735">
                  <w:pPr>
                    <w:autoSpaceDE w:val="0"/>
                    <w:autoSpaceDN w:val="0"/>
                    <w:adjustRightInd w:val="0"/>
                    <w:spacing w:line="360" w:lineRule="auto"/>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2. 适合于管道和架空方式敷设的铠装光缆；可以用于楼外或楼内管道安装；</w:t>
                  </w:r>
                </w:p>
                <w:p w14:paraId="18A2A1AB">
                  <w:pPr>
                    <w:autoSpaceDE w:val="0"/>
                    <w:autoSpaceDN w:val="0"/>
                    <w:adjustRightInd w:val="0"/>
                    <w:spacing w:line="360" w:lineRule="auto"/>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3. 光缆在恶劣环境下寿命应高于20年。</w:t>
                  </w:r>
                </w:p>
              </w:tc>
              <w:tc>
                <w:tcPr>
                  <w:tcW w:w="1021" w:type="pct"/>
                  <w:vAlign w:val="center"/>
                </w:tcPr>
                <w:p w14:paraId="3220E8CD">
                  <w:pPr>
                    <w:pStyle w:val="9"/>
                    <w:spacing w:line="360" w:lineRule="auto"/>
                    <w:ind w:firstLine="0" w:firstLineChars="0"/>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满足实际使用需要。</w:t>
                  </w:r>
                </w:p>
              </w:tc>
            </w:tr>
            <w:tr w14:paraId="58F1D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761" w:type="pct"/>
                  <w:vAlign w:val="center"/>
                </w:tcPr>
                <w:p w14:paraId="2D97E4B0">
                  <w:pPr>
                    <w:spacing w:line="360" w:lineRule="auto"/>
                    <w:jc w:val="center"/>
                    <w:rPr>
                      <w:rFonts w:ascii="仿宋_GB2312" w:hAnsi="仿宋_GB2312" w:eastAsia="仿宋_GB2312" w:cs="仿宋_GB2312"/>
                      <w:kern w:val="0"/>
                      <w:sz w:val="20"/>
                      <w:szCs w:val="20"/>
                    </w:rPr>
                  </w:pPr>
                  <w:r>
                    <w:rPr>
                      <w:rFonts w:hint="eastAsia" w:ascii="仿宋_GB2312" w:hAnsi="仿宋_GB2312" w:eastAsia="仿宋_GB2312" w:cs="仿宋_GB2312"/>
                      <w:kern w:val="0"/>
                      <w:sz w:val="20"/>
                      <w:szCs w:val="20"/>
                    </w:rPr>
                    <w:t>其他</w:t>
                  </w:r>
                </w:p>
              </w:tc>
              <w:tc>
                <w:tcPr>
                  <w:tcW w:w="3217" w:type="pct"/>
                  <w:vAlign w:val="center"/>
                </w:tcPr>
                <w:p w14:paraId="372D0815">
                  <w:pPr>
                    <w:spacing w:line="360" w:lineRule="auto"/>
                    <w:rPr>
                      <w:rFonts w:ascii="仿宋_GB2312" w:hAnsi="仿宋_GB2312" w:eastAsia="仿宋_GB2312" w:cs="仿宋_GB2312"/>
                      <w:kern w:val="0"/>
                      <w:sz w:val="20"/>
                      <w:szCs w:val="20"/>
                    </w:rPr>
                  </w:pPr>
                  <w:r>
                    <w:rPr>
                      <w:rFonts w:hint="eastAsia" w:ascii="微软雅黑" w:hAnsi="微软雅黑" w:eastAsia="微软雅黑" w:cs="微软雅黑"/>
                      <w:kern w:val="0"/>
                      <w:sz w:val="20"/>
                      <w:szCs w:val="20"/>
                    </w:rPr>
                    <w:t>▲</w:t>
                  </w:r>
                  <w:r>
                    <w:rPr>
                      <w:rFonts w:hint="eastAsia" w:ascii="仿宋_GB2312" w:hAnsi="仿宋_GB2312" w:eastAsia="仿宋_GB2312" w:cs="仿宋_GB2312"/>
                      <w:b/>
                      <w:bCs/>
                      <w:kern w:val="0"/>
                      <w:sz w:val="20"/>
                      <w:szCs w:val="20"/>
                    </w:rPr>
                    <w:t>供应商投标时需提供六类非屏蔽双绞线、理线器、水晶头、模块、面板样品，作为材料验收标准。</w:t>
                  </w:r>
                </w:p>
              </w:tc>
              <w:tc>
                <w:tcPr>
                  <w:tcW w:w="1021" w:type="pct"/>
                  <w:vAlign w:val="center"/>
                </w:tcPr>
                <w:p w14:paraId="559BE6CB">
                  <w:pPr>
                    <w:pStyle w:val="9"/>
                    <w:spacing w:line="360" w:lineRule="auto"/>
                    <w:ind w:firstLine="0" w:firstLineChars="0"/>
                    <w:rPr>
                      <w:rFonts w:ascii="仿宋_GB2312" w:hAnsi="仿宋_GB2312" w:eastAsia="仿宋_GB2312" w:cs="仿宋_GB2312"/>
                      <w:kern w:val="0"/>
                      <w:sz w:val="20"/>
                      <w:szCs w:val="20"/>
                    </w:rPr>
                  </w:pPr>
                </w:p>
              </w:tc>
            </w:tr>
          </w:tbl>
          <w:p w14:paraId="513D4464">
            <w:pPr>
              <w:pStyle w:val="7"/>
              <w:rPr>
                <w:rFonts w:hint="default"/>
              </w:rPr>
            </w:pPr>
          </w:p>
        </w:tc>
      </w:tr>
      <w:tr w14:paraId="0CAD78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69" w:hRule="atLeast"/>
        </w:trPr>
        <w:tc>
          <w:tcPr>
            <w:tcW w:w="698" w:type="dxa"/>
          </w:tcPr>
          <w:p w14:paraId="2533D2AA">
            <w:pPr>
              <w:pStyle w:val="7"/>
              <w:rPr>
                <w:rFonts w:hint="default" w:ascii="仿宋_GB2312" w:hAnsi="仿宋_GB2312" w:eastAsia="仿宋_GB2312" w:cs="仿宋_GB2312"/>
                <w:lang w:eastAsia="zh-CN"/>
              </w:rPr>
            </w:pPr>
            <w:r>
              <w:rPr>
                <w:rFonts w:ascii="仿宋_GB2312" w:hAnsi="仿宋_GB2312" w:eastAsia="仿宋_GB2312" w:cs="仿宋_GB2312"/>
                <w:lang w:eastAsia="zh-CN"/>
              </w:rPr>
              <w:t>4</w:t>
            </w:r>
          </w:p>
        </w:tc>
        <w:tc>
          <w:tcPr>
            <w:tcW w:w="632" w:type="dxa"/>
          </w:tcPr>
          <w:p w14:paraId="5B6E3E31"/>
        </w:tc>
        <w:tc>
          <w:tcPr>
            <w:tcW w:w="6972" w:type="dxa"/>
          </w:tcPr>
          <w:p w14:paraId="39C07DE6">
            <w:pPr>
              <w:pStyle w:val="7"/>
              <w:rPr>
                <w:rFonts w:hint="default" w:ascii="仿宋_GB2312" w:hAnsi="仿宋_GB2312" w:eastAsia="仿宋_GB2312" w:cs="仿宋_GB2312"/>
                <w:b/>
                <w:bCs/>
                <w:lang w:eastAsia="zh-CN"/>
              </w:rPr>
            </w:pPr>
            <w:r>
              <w:rPr>
                <w:rFonts w:ascii="仿宋_GB2312" w:hAnsi="仿宋_GB2312" w:eastAsia="仿宋_GB2312" w:cs="仿宋_GB2312"/>
                <w:b/>
                <w:bCs/>
                <w:lang w:eastAsia="zh-CN"/>
              </w:rPr>
              <w:t>技术支持及售后要求</w:t>
            </w:r>
            <w:r>
              <w:rPr>
                <w:rFonts w:ascii="微软雅黑" w:hAnsi="微软雅黑" w:eastAsia="微软雅黑" w:cs="微软雅黑"/>
                <w:b/>
                <w:bCs/>
                <w:lang w:eastAsia="zh-CN"/>
              </w:rPr>
              <w:t>增加设备需配合学校等保实施要求</w:t>
            </w:r>
          </w:p>
          <w:p w14:paraId="53D63E5B">
            <w:pPr>
              <w:pStyle w:val="7"/>
              <w:rPr>
                <w:rFonts w:hint="default" w:ascii="仿宋_GB2312" w:hAnsi="仿宋_GB2312" w:eastAsia="仿宋_GB2312" w:cs="仿宋_GB2312"/>
                <w:lang w:eastAsia="zh-CN"/>
              </w:rPr>
            </w:pPr>
            <w:r>
              <w:rPr>
                <w:rFonts w:ascii="仿宋_GB2312" w:hAnsi="仿宋_GB2312" w:eastAsia="仿宋_GB2312" w:cs="仿宋_GB2312"/>
                <w:lang w:eastAsia="zh-CN"/>
              </w:rPr>
              <w:t>（1）采购标的（指设备清单中所列标的）售后服务要求由设备制造商提供标准服务并出具服务承诺函。其他售后服务内容由供应商响应，并在标书中明确提供具体的服务内容和标准。</w:t>
            </w:r>
          </w:p>
          <w:p w14:paraId="532600B9">
            <w:pPr>
              <w:pStyle w:val="7"/>
              <w:rPr>
                <w:rFonts w:ascii="仿宋_GB2312" w:hAnsi="仿宋_GB2312" w:eastAsia="仿宋_GB2312" w:cs="仿宋_GB2312"/>
                <w:lang w:eastAsia="zh-CN"/>
              </w:rPr>
            </w:pPr>
            <w:r>
              <w:rPr>
                <w:rFonts w:ascii="仿宋_GB2312" w:hAnsi="仿宋_GB2312" w:eastAsia="仿宋_GB2312" w:cs="仿宋_GB2312"/>
                <w:lang w:eastAsia="zh-CN"/>
              </w:rPr>
              <w:t>（2）网络负载均衡设备的安装实施需要遵循《中华人民共和国网络安全法》、《关键信息基础设施安全保护条例》要求，在网络安全等级保护 GB/T22239基础上落实重点保护。</w:t>
            </w:r>
          </w:p>
          <w:p w14:paraId="6FBDD2F0">
            <w:pPr>
              <w:pStyle w:val="7"/>
              <w:rPr>
                <w:rFonts w:hint="default" w:ascii="仿宋_GB2312" w:hAnsi="仿宋_GB2312" w:eastAsia="仿宋_GB2312" w:cs="仿宋_GB2312"/>
                <w:lang w:eastAsia="zh-CN"/>
              </w:rPr>
            </w:pPr>
            <w:r>
              <w:rPr>
                <w:rFonts w:ascii="仿宋_GB2312" w:hAnsi="仿宋_GB2312" w:eastAsia="仿宋_GB2312" w:cs="仿宋_GB2312"/>
                <w:lang w:eastAsia="zh-CN"/>
              </w:rPr>
              <w:t>（</w:t>
            </w:r>
            <w:r>
              <w:rPr>
                <w:rFonts w:hint="default" w:ascii="仿宋_GB2312" w:hAnsi="仿宋_GB2312" w:eastAsia="仿宋_GB2312" w:cs="仿宋_GB2312"/>
                <w:lang w:eastAsia="zh-CN"/>
              </w:rPr>
              <w:t>3</w:t>
            </w:r>
            <w:r>
              <w:rPr>
                <w:rFonts w:ascii="仿宋_GB2312" w:hAnsi="仿宋_GB2312" w:eastAsia="仿宋_GB2312" w:cs="仿宋_GB2312"/>
                <w:lang w:eastAsia="zh-CN"/>
              </w:rPr>
              <w:t>） 售后服务要求为采购人运维人员提供使用培训，培训内容包含设备及系统的操作、管理、维护等。</w:t>
            </w:r>
          </w:p>
          <w:p w14:paraId="497B0410">
            <w:pPr>
              <w:pStyle w:val="7"/>
              <w:rPr>
                <w:rFonts w:hint="default" w:ascii="仿宋_GB2312" w:hAnsi="仿宋_GB2312" w:eastAsia="仿宋_GB2312" w:cs="仿宋_GB2312"/>
                <w:b/>
                <w:bCs/>
                <w:lang w:eastAsia="zh-CN"/>
              </w:rPr>
            </w:pPr>
            <w:r>
              <w:rPr>
                <w:rFonts w:ascii="仿宋_GB2312" w:hAnsi="仿宋_GB2312" w:eastAsia="仿宋_GB2312" w:cs="仿宋_GB2312"/>
                <w:lang w:eastAsia="zh-CN"/>
              </w:rPr>
              <w:t>（</w:t>
            </w:r>
            <w:r>
              <w:rPr>
                <w:rFonts w:hint="default" w:ascii="仿宋_GB2312" w:hAnsi="仿宋_GB2312" w:eastAsia="仿宋_GB2312" w:cs="仿宋_GB2312"/>
                <w:lang w:eastAsia="zh-CN"/>
              </w:rPr>
              <w:t>4</w:t>
            </w:r>
            <w:r>
              <w:rPr>
                <w:rFonts w:ascii="仿宋_GB2312" w:hAnsi="仿宋_GB2312" w:eastAsia="仿宋_GB2312" w:cs="仿宋_GB2312"/>
                <w:lang w:eastAsia="zh-CN"/>
              </w:rPr>
              <w:t>）</w:t>
            </w:r>
            <w:r>
              <w:rPr>
                <w:rFonts w:ascii="仿宋_GB2312" w:hAnsi="仿宋_GB2312" w:eastAsia="仿宋_GB2312" w:cs="仿宋_GB2312"/>
                <w:b/>
                <w:bCs/>
                <w:lang w:eastAsia="zh-CN"/>
              </w:rPr>
              <w:t>供应商需安排一名工程师（达到国家计算机技术与软件专业技术资格网络工程师或相当水平的人员）提供一年驻场服务。要求工程师每周在岗40小时，协助学校进行网络运维工作。驻场工程师需遵守学校各项工作管理规定，采购方对驻场人员的考勤和任务完成情况等进行综合考核，若考核不合格，采购方有权要求供应商更换驻场人员。供应商需在响应文件中明确相关团队对驻场人员的技术服务支撑方案。（本项为必须满足的要求，不满足将作废标处理）</w:t>
            </w:r>
          </w:p>
          <w:p w14:paraId="270E2E93">
            <w:pPr>
              <w:pStyle w:val="7"/>
              <w:rPr>
                <w:rFonts w:hint="default" w:ascii="微软雅黑" w:hAnsi="微软雅黑" w:eastAsia="微软雅黑" w:cs="微软雅黑"/>
                <w:b/>
                <w:bCs/>
                <w:lang w:eastAsia="zh-CN"/>
              </w:rPr>
            </w:pPr>
            <w:r>
              <w:rPr>
                <w:rFonts w:ascii="仿宋_GB2312" w:hAnsi="仿宋_GB2312" w:eastAsia="仿宋_GB2312" w:cs="仿宋_GB2312"/>
                <w:b/>
                <w:bCs/>
                <w:lang w:eastAsia="zh-CN"/>
              </w:rPr>
              <w:t>注：</w:t>
            </w:r>
            <w:r>
              <w:rPr>
                <w:rFonts w:ascii="仿宋_GB2312" w:hAnsi="仿宋_GB2312" w:eastAsia="仿宋_GB2312" w:cs="仿宋_GB2312"/>
                <w:b/>
                <w:bCs/>
              </w:rPr>
              <w:t>标“</w:t>
            </w:r>
            <w:r>
              <w:rPr>
                <w:rFonts w:ascii="微软雅黑" w:hAnsi="微软雅黑" w:eastAsia="微软雅黑" w:cs="微软雅黑"/>
                <w:b/>
                <w:bCs/>
                <w:lang w:eastAsia="zh-CN"/>
              </w:rPr>
              <w:t>▲</w:t>
            </w:r>
            <w:r>
              <w:rPr>
                <w:rFonts w:ascii="仿宋_GB2312" w:hAnsi="仿宋_GB2312" w:eastAsia="仿宋_GB2312" w:cs="仿宋_GB2312"/>
                <w:b/>
                <w:bCs/>
              </w:rPr>
              <w:t>”项为实质性响应条款，须提供相应佐证材料（不限于产品彩页、检测报告、功能截图等），未提供或虽提供但不符合的按无效文件处理。</w:t>
            </w:r>
          </w:p>
        </w:tc>
      </w:tr>
    </w:tbl>
    <w:p w14:paraId="5A030837">
      <w:pPr>
        <w:jc w:val="center"/>
        <w:rPr>
          <w:rFonts w:hint="eastAsia"/>
          <w:b/>
          <w:bCs/>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2E53B7"/>
    <w:multiLevelType w:val="multilevel"/>
    <w:tmpl w:val="FE2E53B7"/>
    <w:lvl w:ilvl="0" w:tentative="0">
      <w:start w:val="1"/>
      <w:numFmt w:val="decimal"/>
      <w:lvlText w:val="%1."/>
      <w:lvlJc w:val="left"/>
      <w:pPr>
        <w:ind w:left="360" w:hanging="36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586FCDB"/>
    <w:multiLevelType w:val="multilevel"/>
    <w:tmpl w:val="0586FCDB"/>
    <w:lvl w:ilvl="0" w:tentative="0">
      <w:start w:val="1"/>
      <w:numFmt w:val="decimal"/>
      <w:lvlText w:val="%1."/>
      <w:lvlJc w:val="left"/>
      <w:pPr>
        <w:ind w:left="360" w:hanging="360"/>
      </w:pPr>
      <w:rPr>
        <w:rFonts w:hint="default"/>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A6B5C4B"/>
    <w:multiLevelType w:val="multilevel"/>
    <w:tmpl w:val="0A6B5C4B"/>
    <w:lvl w:ilvl="0" w:tentative="0">
      <w:start w:val="1"/>
      <w:numFmt w:val="decimal"/>
      <w:lvlText w:val="%1."/>
      <w:lvlJc w:val="left"/>
      <w:pPr>
        <w:ind w:left="360" w:hanging="36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1626343"/>
    <w:multiLevelType w:val="multilevel"/>
    <w:tmpl w:val="21626343"/>
    <w:lvl w:ilvl="0" w:tentative="0">
      <w:start w:val="1"/>
      <w:numFmt w:val="decimal"/>
      <w:lvlText w:val="%1."/>
      <w:lvlJc w:val="left"/>
      <w:pPr>
        <w:ind w:left="360" w:hanging="360"/>
      </w:pPr>
      <w:rPr>
        <w:rFonts w:hint="default"/>
        <w:strike w:val="0"/>
        <w:d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188C739"/>
    <w:multiLevelType w:val="multilevel"/>
    <w:tmpl w:val="2188C739"/>
    <w:lvl w:ilvl="0" w:tentative="0">
      <w:start w:val="3"/>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pStyle w:val="8"/>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5">
    <w:nsid w:val="503A7BD4"/>
    <w:multiLevelType w:val="multilevel"/>
    <w:tmpl w:val="503A7BD4"/>
    <w:lvl w:ilvl="0" w:tentative="0">
      <w:start w:val="1"/>
      <w:numFmt w:val="decimal"/>
      <w:lvlText w:val="%1."/>
      <w:lvlJc w:val="left"/>
      <w:pPr>
        <w:ind w:left="360" w:hanging="360"/>
      </w:pPr>
      <w:rPr>
        <w:rFonts w:hint="default"/>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0B033A5"/>
    <w:multiLevelType w:val="multilevel"/>
    <w:tmpl w:val="50B033A5"/>
    <w:lvl w:ilvl="0" w:tentative="0">
      <w:start w:val="1"/>
      <w:numFmt w:val="decimal"/>
      <w:lvlText w:val="%1."/>
      <w:lvlJc w:val="left"/>
      <w:pPr>
        <w:ind w:left="360" w:hanging="36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06261E4"/>
    <w:multiLevelType w:val="multilevel"/>
    <w:tmpl w:val="606261E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42F35E9"/>
    <w:multiLevelType w:val="multilevel"/>
    <w:tmpl w:val="642F35E9"/>
    <w:lvl w:ilvl="0" w:tentative="0">
      <w:start w:val="1"/>
      <w:numFmt w:val="decimal"/>
      <w:lvlText w:val="%1."/>
      <w:lvlJc w:val="left"/>
      <w:pPr>
        <w:ind w:left="360" w:hanging="36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B653E0F"/>
    <w:multiLevelType w:val="multilevel"/>
    <w:tmpl w:val="6B653E0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EF37C62"/>
    <w:multiLevelType w:val="multilevel"/>
    <w:tmpl w:val="7EF37C62"/>
    <w:lvl w:ilvl="0" w:tentative="0">
      <w:start w:val="1"/>
      <w:numFmt w:val="decimal"/>
      <w:lvlText w:val="%1."/>
      <w:lvlJc w:val="left"/>
      <w:pPr>
        <w:ind w:left="360" w:hanging="360"/>
      </w:pPr>
      <w:rPr>
        <w:rFonts w:hint="default"/>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6"/>
  </w:num>
  <w:num w:numId="3">
    <w:abstractNumId w:val="0"/>
  </w:num>
  <w:num w:numId="4">
    <w:abstractNumId w:val="7"/>
  </w:num>
  <w:num w:numId="5">
    <w:abstractNumId w:val="9"/>
  </w:num>
  <w:num w:numId="6">
    <w:abstractNumId w:val="8"/>
  </w:num>
  <w:num w:numId="7">
    <w:abstractNumId w:val="5"/>
  </w:num>
  <w:num w:numId="8">
    <w:abstractNumId w:val="1"/>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5C785A"/>
    <w:rsid w:val="515C7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7">
    <w:name w:val="null3"/>
    <w:hidden/>
    <w:qFormat/>
    <w:uiPriority w:val="0"/>
    <w:rPr>
      <w:rFonts w:hint="eastAsia" w:asciiTheme="minorHAnsi" w:hAnsiTheme="minorHAnsi" w:eastAsiaTheme="minorEastAsia" w:cstheme="minorBidi"/>
      <w:lang w:val="en-US" w:eastAsia="zh-Hans" w:bidi="ar-SA"/>
    </w:rPr>
  </w:style>
  <w:style w:type="paragraph" w:customStyle="1" w:styleId="8">
    <w:name w:val="样式5"/>
    <w:basedOn w:val="9"/>
    <w:next w:val="3"/>
    <w:qFormat/>
    <w:uiPriority w:val="0"/>
    <w:pPr>
      <w:numPr>
        <w:ilvl w:val="2"/>
        <w:numId w:val="1"/>
      </w:numPr>
      <w:spacing w:line="360" w:lineRule="auto"/>
      <w:ind w:firstLine="0" w:firstLineChars="0"/>
    </w:pPr>
    <w:rPr>
      <w:rFonts w:ascii="仿宋" w:hAnsi="仿宋" w:eastAsia="仿宋" w:cs="仿宋"/>
      <w:bCs/>
      <w:sz w:val="28"/>
      <w:szCs w:val="2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2026-09-18T11:33:00Z</dcterms:created>
  <dc:creator>123</dc:creator>
  <cp:lastModifiedBy>123</cp:lastModifiedBy>
  <dcterms:modified xsi:type="dcterms:W3CDTF">2026-09-18T12:52:58Z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EC32457B943343398684B4B6FB791112_11</vt:lpwstr>
  </property>
  <property fmtid="{D5CDD505-2E9C-101B-9397-08002B2CF9AE}" pid="4" name="KSOTemplateDocerSaveRecord">
    <vt:lpwstr>eyJoZGlkIjoiOTEzYTE1NjhmYmI0MDkxYmE1ZjVkMjkwNjA2M2Q0ZDUiLCJ1c2VySWQiOiI0NTE5NDQwNTQifQ==</vt:lpwstr>
  </property>
</Properties>
</file>