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E7208" w:rsidRPr="009E7208" w:rsidRDefault="009E7208" w:rsidP="009E7208">
      <w:pPr>
        <w:pStyle w:val="null3"/>
        <w:widowControl w:val="0"/>
        <w:spacing w:line="360" w:lineRule="auto"/>
        <w:jc w:val="center"/>
        <w:outlineLvl w:val="2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cs="仿宋_GB2312" w:hint="eastAsia"/>
          <w:b/>
          <w:sz w:val="32"/>
          <w:szCs w:val="32"/>
        </w:rPr>
        <w:t>采购</w:t>
      </w:r>
      <w:r w:rsidRPr="009E7208">
        <w:rPr>
          <w:rFonts w:ascii="宋体" w:eastAsia="宋体" w:hAnsi="宋体" w:cs="仿宋_GB2312" w:hint="eastAsia"/>
          <w:b/>
          <w:sz w:val="32"/>
          <w:szCs w:val="32"/>
        </w:rPr>
        <w:t>需求</w:t>
      </w:r>
    </w:p>
    <w:p w:rsidR="009E7208" w:rsidRDefault="009E7208" w:rsidP="009E7208">
      <w:pPr>
        <w:pStyle w:val="null3"/>
        <w:widowControl w:val="0"/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cs="仿宋_GB2312"/>
          <w:sz w:val="24"/>
          <w:szCs w:val="24"/>
        </w:rPr>
        <w:t>采购包1：</w:t>
      </w:r>
    </w:p>
    <w:p w:rsidR="009E7208" w:rsidRDefault="009E7208" w:rsidP="009E7208">
      <w:pPr>
        <w:pStyle w:val="null3"/>
        <w:widowControl w:val="0"/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cs="仿宋_GB2312"/>
          <w:sz w:val="24"/>
          <w:szCs w:val="24"/>
        </w:rPr>
        <w:t>标的名称：水沙科学综合研究装置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25"/>
        <w:gridCol w:w="8175"/>
      </w:tblGrid>
      <w:tr w:rsidR="009E7208" w:rsidTr="00C24472">
        <w:tc>
          <w:tcPr>
            <w:tcW w:w="426" w:type="dxa"/>
          </w:tcPr>
          <w:p w:rsidR="009E7208" w:rsidRDefault="009E7208" w:rsidP="00C24472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bookmarkStart w:id="0" w:name="OLE_LINK17"/>
            <w:r>
              <w:rPr>
                <w:rFonts w:ascii="宋体" w:eastAsia="宋体" w:hAnsi="宋体" w:cs="仿宋_GB2312"/>
                <w:sz w:val="24"/>
                <w:szCs w:val="24"/>
              </w:rPr>
              <w:t>序号</w:t>
            </w:r>
          </w:p>
        </w:tc>
        <w:tc>
          <w:tcPr>
            <w:tcW w:w="425" w:type="dxa"/>
          </w:tcPr>
          <w:p w:rsidR="009E7208" w:rsidRDefault="009E7208" w:rsidP="00C24472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8175" w:type="dxa"/>
          </w:tcPr>
          <w:p w:rsidR="009E7208" w:rsidRDefault="009E7208" w:rsidP="00C24472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技术参数与性能指标</w:t>
            </w:r>
          </w:p>
        </w:tc>
      </w:tr>
      <w:tr w:rsidR="009E7208" w:rsidTr="00C24472">
        <w:tc>
          <w:tcPr>
            <w:tcW w:w="426" w:type="dxa"/>
          </w:tcPr>
          <w:p w:rsidR="009E7208" w:rsidRDefault="009E7208" w:rsidP="00C24472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9E7208" w:rsidRDefault="009E7208" w:rsidP="00C24472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8175" w:type="dxa"/>
          </w:tcPr>
          <w:tbl>
            <w:tblPr>
              <w:tblpPr w:leftFromText="180" w:rightFromText="180" w:vertAnchor="text" w:horzAnchor="page" w:tblpX="-467" w:tblpY="312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1"/>
              <w:gridCol w:w="1024"/>
              <w:gridCol w:w="6504"/>
            </w:tblGrid>
            <w:tr w:rsidR="009E7208" w:rsidTr="00C24472">
              <w:trPr>
                <w:trHeight w:val="673"/>
              </w:trPr>
              <w:tc>
                <w:tcPr>
                  <w:tcW w:w="265" w:type="pct"/>
                  <w:noWrap/>
                  <w:vAlign w:val="center"/>
                </w:tcPr>
                <w:p w:rsidR="009E7208" w:rsidRDefault="009E7208" w:rsidP="00C24472">
                  <w:pPr>
                    <w:spacing w:line="360" w:lineRule="auto"/>
                    <w:jc w:val="center"/>
                    <w:rPr>
                      <w:rFonts w:ascii="宋体" w:eastAsia="宋体" w:hAnsi="宋体" w:cs="黑体" w:hint="eastAsia"/>
                      <w:sz w:val="24"/>
                    </w:rPr>
                  </w:pPr>
                  <w:r>
                    <w:rPr>
                      <w:rFonts w:ascii="宋体" w:eastAsia="宋体" w:hAnsi="宋体" w:cs="黑体" w:hint="eastAsia"/>
                      <w:sz w:val="24"/>
                    </w:rPr>
                    <w:t>序号</w:t>
                  </w:r>
                </w:p>
              </w:tc>
              <w:tc>
                <w:tcPr>
                  <w:tcW w:w="644" w:type="pct"/>
                  <w:noWrap/>
                  <w:vAlign w:val="center"/>
                </w:tcPr>
                <w:p w:rsidR="009E7208" w:rsidRDefault="009E7208" w:rsidP="00C24472">
                  <w:pPr>
                    <w:spacing w:line="360" w:lineRule="auto"/>
                    <w:jc w:val="center"/>
                    <w:rPr>
                      <w:rFonts w:ascii="宋体" w:eastAsia="宋体" w:hAnsi="宋体" w:cs="黑体" w:hint="eastAsia"/>
                      <w:sz w:val="24"/>
                    </w:rPr>
                  </w:pPr>
                  <w:r>
                    <w:rPr>
                      <w:rFonts w:ascii="宋体" w:eastAsia="宋体" w:hAnsi="宋体" w:cs="黑体" w:hint="eastAsia"/>
                      <w:sz w:val="24"/>
                    </w:rPr>
                    <w:t>货物名称</w:t>
                  </w:r>
                </w:p>
              </w:tc>
              <w:tc>
                <w:tcPr>
                  <w:tcW w:w="4091" w:type="pct"/>
                  <w:noWrap/>
                  <w:vAlign w:val="center"/>
                </w:tcPr>
                <w:p w:rsidR="009E7208" w:rsidRDefault="009E7208" w:rsidP="00C24472">
                  <w:pPr>
                    <w:spacing w:line="360" w:lineRule="auto"/>
                    <w:jc w:val="center"/>
                    <w:rPr>
                      <w:rFonts w:ascii="宋体" w:eastAsia="宋体" w:hAnsi="宋体" w:cs="黑体" w:hint="eastAsia"/>
                      <w:sz w:val="24"/>
                    </w:rPr>
                  </w:pPr>
                  <w:r>
                    <w:rPr>
                      <w:rFonts w:ascii="宋体" w:eastAsia="宋体" w:hAnsi="宋体" w:cs="黑体" w:hint="eastAsia"/>
                      <w:sz w:val="24"/>
                    </w:rPr>
                    <w:t>技术参数</w:t>
                  </w:r>
                </w:p>
              </w:tc>
            </w:tr>
            <w:tr w:rsidR="009E7208" w:rsidTr="00C24472">
              <w:trPr>
                <w:trHeight w:val="673"/>
              </w:trPr>
              <w:tc>
                <w:tcPr>
                  <w:tcW w:w="265" w:type="pct"/>
                  <w:noWrap/>
                  <w:vAlign w:val="center"/>
                </w:tcPr>
                <w:p w:rsidR="009E7208" w:rsidRDefault="009E7208" w:rsidP="00C24472">
                  <w:pPr>
                    <w:spacing w:line="360" w:lineRule="auto"/>
                    <w:jc w:val="center"/>
                    <w:rPr>
                      <w:rFonts w:ascii="宋体" w:eastAsia="宋体" w:hAnsi="宋体" w:hint="eastAsia"/>
                      <w:b/>
                      <w:bCs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b/>
                      <w:bCs/>
                      <w:sz w:val="24"/>
                    </w:rPr>
                    <w:t>1</w:t>
                  </w:r>
                </w:p>
              </w:tc>
              <w:tc>
                <w:tcPr>
                  <w:tcW w:w="644" w:type="pct"/>
                  <w:noWrap/>
                  <w:vAlign w:val="center"/>
                </w:tcPr>
                <w:p w:rsidR="009E7208" w:rsidRDefault="009E7208" w:rsidP="00C24472">
                  <w:pPr>
                    <w:spacing w:line="360" w:lineRule="auto"/>
                    <w:jc w:val="center"/>
                    <w:rPr>
                      <w:rFonts w:ascii="宋体" w:eastAsia="宋体" w:hAnsi="宋体" w:hint="eastAsia"/>
                      <w:b/>
                      <w:bCs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水沙科学综合研究装置</w:t>
                  </w:r>
                </w:p>
              </w:tc>
              <w:tc>
                <w:tcPr>
                  <w:tcW w:w="4091" w:type="pct"/>
                  <w:noWrap/>
                  <w:vAlign w:val="center"/>
                </w:tcPr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一、该装置主体结构包括透明钢化玻璃槽体与钢结构框架（含稳流段、导流/压波板）、变坡系统（上下游联动、精密升降与姿态锁定）、变频供回水系统（泵、阀门、管路、消能/溢流）、闭环控水位自动尾门系统（执行机构+角度/位移传感）、电磁流量测量与流量控制系统（执行机构+角度/位移传感）。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二、技术参数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1．槽体结构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1）槽体尺寸：≥长15 m × 宽0.5 m × 高0.8 m；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/>
                      <w:sz w:val="24"/>
                    </w:rPr>
                    <w:t>▲</w:t>
                  </w:r>
                  <w:r>
                    <w:rPr>
                      <w:rFonts w:ascii="宋体" w:eastAsia="宋体" w:hAnsi="宋体" w:hint="eastAsia"/>
                      <w:sz w:val="24"/>
                    </w:rPr>
                    <w:t>2）三面透明钢化玻璃（厚度≥15 mm），主体钢结构整体焊接并防腐；设三级稳流段与导流/压波构件；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/>
                      <w:sz w:val="24"/>
                    </w:rPr>
                    <w:t>▲</w:t>
                  </w:r>
                  <w:r>
                    <w:rPr>
                      <w:rFonts w:ascii="宋体" w:eastAsia="宋体" w:hAnsi="宋体" w:hint="eastAsia"/>
                      <w:sz w:val="24"/>
                    </w:rPr>
                    <w:t>3）玻璃底板平整度：±1.5mm；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/>
                      <w:sz w:val="24"/>
                    </w:rPr>
                    <w:t>▲</w:t>
                  </w:r>
                  <w:r>
                    <w:rPr>
                      <w:rFonts w:ascii="宋体" w:eastAsia="宋体" w:hAnsi="宋体" w:hint="eastAsia"/>
                      <w:sz w:val="24"/>
                    </w:rPr>
                    <w:t>4）玻璃边壁平整度：±1.5mm；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5）精度可调结构：设置精度可调结构，可通过调整结构调整水槽玻璃精度；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/>
                      <w:sz w:val="24"/>
                    </w:rPr>
                    <w:t>▲</w:t>
                  </w:r>
                  <w:r>
                    <w:rPr>
                      <w:rFonts w:ascii="宋体" w:eastAsia="宋体" w:hAnsi="宋体" w:hint="eastAsia"/>
                      <w:sz w:val="24"/>
                    </w:rPr>
                    <w:t>6）水槽进出口：304不锈钢材质；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7）消能紊流装置：消能材料+导流格栅+压波板；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/>
                      <w:sz w:val="24"/>
                    </w:rPr>
                    <w:t>▲</w:t>
                  </w:r>
                  <w:r>
                    <w:rPr>
                      <w:rFonts w:ascii="宋体" w:eastAsia="宋体" w:hAnsi="宋体" w:hint="eastAsia"/>
                      <w:sz w:val="24"/>
                    </w:rPr>
                    <w:t>8）防渗与刚度：静水位至0.7 m无渗漏；满水状态挠度≤L/1000；玻璃边缘防崩处理，设安全防护与检修通道。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2.变坡系统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/>
                      <w:sz w:val="24"/>
                    </w:rPr>
                    <w:lastRenderedPageBreak/>
                    <w:t>1</w:t>
                  </w:r>
                  <w:r>
                    <w:rPr>
                      <w:rFonts w:ascii="宋体" w:eastAsia="宋体" w:hAnsi="宋体" w:hint="eastAsia"/>
                      <w:sz w:val="24"/>
                    </w:rPr>
                    <w:t>）变坡范围：</w:t>
                  </w:r>
                  <w:r>
                    <w:rPr>
                      <w:rFonts w:ascii="微软雅黑" w:eastAsia="微软雅黑" w:hAnsi="微软雅黑" w:cs="微软雅黑" w:hint="eastAsia"/>
                      <w:sz w:val="24"/>
                    </w:rPr>
                    <w:t>−</w:t>
                  </w:r>
                  <w:r>
                    <w:rPr>
                      <w:rFonts w:ascii="宋体" w:eastAsia="宋体" w:hAnsi="宋体" w:hint="eastAsia"/>
                      <w:sz w:val="24"/>
                    </w:rPr>
                    <w:t>5</w:t>
                  </w:r>
                  <w:r>
                    <w:rPr>
                      <w:rFonts w:ascii="宋体" w:eastAsia="宋体" w:hAnsi="宋体"/>
                      <w:sz w:val="24"/>
                    </w:rPr>
                    <w:t>%</w:t>
                  </w:r>
                  <w:r>
                    <w:rPr>
                      <w:rFonts w:ascii="宋体" w:eastAsia="宋体" w:hAnsi="宋体" w:hint="eastAsia"/>
                      <w:sz w:val="24"/>
                    </w:rPr>
                    <w:t>～</w:t>
                  </w:r>
                  <w:r>
                    <w:rPr>
                      <w:rFonts w:ascii="宋体" w:eastAsia="宋体" w:hAnsi="宋体"/>
                      <w:sz w:val="24"/>
                    </w:rPr>
                    <w:t>+</w:t>
                  </w:r>
                  <w:r>
                    <w:rPr>
                      <w:rFonts w:ascii="宋体" w:eastAsia="宋体" w:hAnsi="宋体" w:hint="eastAsia"/>
                      <w:sz w:val="24"/>
                    </w:rPr>
                    <w:t>10</w:t>
                  </w:r>
                  <w:r>
                    <w:rPr>
                      <w:rFonts w:ascii="宋体" w:eastAsia="宋体" w:hAnsi="宋体"/>
                      <w:sz w:val="24"/>
                    </w:rPr>
                    <w:t>%</w:t>
                  </w:r>
                  <w:r>
                    <w:rPr>
                      <w:rFonts w:ascii="宋体" w:eastAsia="宋体" w:hAnsi="宋体" w:hint="eastAsia"/>
                      <w:sz w:val="24"/>
                    </w:rPr>
                    <w:t>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2）角度设定步距≤0.1°；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3）重复定位误差≤1mm；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4）跨范围姿态切换时间≤60s；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5）传动：蜗杆转速与蜗轮转速之比可定制；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6）变坡自动控制器：具有自动控制坡降比功能；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7）机械防偏限位：具有防止水槽变坡过程中侧向位移保护功能；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8）电子限位：能够设置安全限位，达到极限变坡范围</w:t>
                  </w:r>
                  <w:r>
                    <w:rPr>
                      <w:rFonts w:ascii="微软雅黑" w:eastAsia="微软雅黑" w:hAnsi="微软雅黑" w:cs="微软雅黑" w:hint="eastAsia"/>
                      <w:sz w:val="24"/>
                    </w:rPr>
                    <w:t>−</w:t>
                  </w:r>
                  <w:r>
                    <w:rPr>
                      <w:rFonts w:ascii="宋体" w:eastAsia="宋体" w:hAnsi="宋体" w:hint="eastAsia"/>
                      <w:sz w:val="24"/>
                    </w:rPr>
                    <w:t>5</w:t>
                  </w:r>
                  <w:r>
                    <w:rPr>
                      <w:rFonts w:ascii="宋体" w:eastAsia="宋体" w:hAnsi="宋体"/>
                      <w:sz w:val="24"/>
                    </w:rPr>
                    <w:t>%</w:t>
                  </w:r>
                  <w:r>
                    <w:rPr>
                      <w:rFonts w:ascii="宋体" w:eastAsia="宋体" w:hAnsi="宋体" w:hint="eastAsia"/>
                      <w:sz w:val="24"/>
                    </w:rPr>
                    <w:t>～</w:t>
                  </w:r>
                  <w:r>
                    <w:rPr>
                      <w:rFonts w:ascii="宋体" w:eastAsia="宋体" w:hAnsi="宋体"/>
                      <w:sz w:val="24"/>
                    </w:rPr>
                    <w:t>+</w:t>
                  </w:r>
                  <w:r>
                    <w:rPr>
                      <w:rFonts w:ascii="宋体" w:eastAsia="宋体" w:hAnsi="宋体" w:hint="eastAsia"/>
                      <w:sz w:val="24"/>
                    </w:rPr>
                    <w:t>10</w:t>
                  </w:r>
                  <w:r>
                    <w:rPr>
                      <w:rFonts w:ascii="宋体" w:eastAsia="宋体" w:hAnsi="宋体"/>
                      <w:sz w:val="24"/>
                    </w:rPr>
                    <w:t>%</w:t>
                  </w:r>
                  <w:r>
                    <w:rPr>
                      <w:rFonts w:ascii="宋体" w:eastAsia="宋体" w:hAnsi="宋体" w:hint="eastAsia"/>
                      <w:sz w:val="24"/>
                    </w:rPr>
                    <w:t>后限位器工作。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 xml:space="preserve">3. </w:t>
                  </w:r>
                  <w:r>
                    <w:rPr>
                      <w:rFonts w:ascii="宋体" w:eastAsia="宋体" w:hAnsi="宋体"/>
                      <w:sz w:val="24"/>
                    </w:rPr>
                    <w:t>闭环控水位自动尾门系统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/>
                      <w:sz w:val="24"/>
                    </w:rPr>
                    <w:t>▲</w:t>
                  </w:r>
                  <w:r>
                    <w:rPr>
                      <w:rFonts w:ascii="宋体" w:eastAsia="宋体" w:hAnsi="宋体" w:hint="eastAsia"/>
                      <w:sz w:val="24"/>
                    </w:rPr>
                    <w:t>1）尾门叶片材质：不锈钢；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2）过流面积：≥90%；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3）驱动：伺服电机配绝对值编码器；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4）控制方式：按“目标水位设定值”闭环控制（PID/前馈等），稳态水位偏差≤±3 mm（静稳条件）；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5）执行机构：伺服/步进+高分辨传感器（角度/位移），控制分辨率≤0.1°或0.1 mm（等效）；具手/自一体、急停与上位机联锁；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6）手动控制器：具有手动与软件两种控制方式，可相互配合；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7）智能调控：能够在尾门开合过程中，根据尾门角度传感器实时开度数据和实际水位数据，动态计算最优的开合速度，系统闭环调整响应时间不大于30s；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8）实验数据的实时显示：支持实验数据的存储与导出，以及制图分析统计。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 xml:space="preserve">4. </w:t>
                  </w:r>
                  <w:r>
                    <w:rPr>
                      <w:rFonts w:ascii="宋体" w:eastAsia="宋体" w:hAnsi="宋体"/>
                      <w:sz w:val="24"/>
                    </w:rPr>
                    <w:t>电磁流量测量与流量控制系统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/>
                      <w:sz w:val="24"/>
                    </w:rPr>
                    <w:t>▲</w:t>
                  </w:r>
                  <w:r>
                    <w:rPr>
                      <w:rFonts w:ascii="宋体" w:eastAsia="宋体" w:hAnsi="宋体" w:hint="eastAsia"/>
                      <w:sz w:val="24"/>
                    </w:rPr>
                    <w:t>1）额定流量能力：≥40 L/s；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2）变频调速：目标流量从停机至设定值的调节时间≤60 s；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3）电磁流量计：量程≥60 L/s，精度0.5级（±0.5%），双</w:t>
                  </w:r>
                  <w:r>
                    <w:rPr>
                      <w:rFonts w:ascii="宋体" w:eastAsia="宋体" w:hAnsi="宋体" w:hint="eastAsia"/>
                      <w:sz w:val="24"/>
                    </w:rPr>
                    <w:lastRenderedPageBreak/>
                    <w:t>向测量，具上位机通讯；安装位置应处于管道直线段，并距离弯头段不小于八倍管道直径；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4）管路：管路防腐处理；配套阀门为电动调节阀/伺服球阀，流量调节分辨率≤0.5 L/s；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5）闭环控制：系统的硬件设备由软件同步控制，可根据反馈信号调节；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6）智能调控：根据实际情况对多个水泵进行动态优化分配，使系统整体性能最佳，满足恒定流与非恒定流的实验需要；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7）阀门控制：可调节水泵盲区内的流量，并防止回流、保证流量计满管；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8）实验数据：实验数据的存储与导出，以及制图分析统计。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9）泥沙搅拌混合系统：满足水槽供水量条件下，泥沙混合搅拌池，容积不小于5m</w:t>
                  </w:r>
                  <w:r>
                    <w:rPr>
                      <w:rFonts w:ascii="宋体" w:eastAsia="宋体" w:hAnsi="宋体" w:hint="eastAsia"/>
                      <w:sz w:val="24"/>
                      <w:vertAlign w:val="superscript"/>
                    </w:rPr>
                    <w:t>3</w:t>
                  </w:r>
                </w:p>
              </w:tc>
            </w:tr>
            <w:tr w:rsidR="009E7208" w:rsidTr="00C24472">
              <w:trPr>
                <w:trHeight w:val="673"/>
              </w:trPr>
              <w:tc>
                <w:tcPr>
                  <w:tcW w:w="265" w:type="pct"/>
                  <w:noWrap/>
                  <w:vAlign w:val="center"/>
                </w:tcPr>
                <w:p w:rsidR="009E7208" w:rsidRDefault="009E7208" w:rsidP="00C24472">
                  <w:pPr>
                    <w:spacing w:line="360" w:lineRule="auto"/>
                    <w:jc w:val="center"/>
                    <w:rPr>
                      <w:rFonts w:ascii="宋体" w:eastAsia="宋体" w:hAnsi="宋体" w:hint="eastAsia"/>
                      <w:b/>
                      <w:bCs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b/>
                      <w:bCs/>
                      <w:sz w:val="24"/>
                    </w:rPr>
                    <w:lastRenderedPageBreak/>
                    <w:t>2</w:t>
                  </w:r>
                </w:p>
              </w:tc>
              <w:tc>
                <w:tcPr>
                  <w:tcW w:w="644" w:type="pct"/>
                  <w:noWrap/>
                  <w:vAlign w:val="center"/>
                </w:tcPr>
                <w:p w:rsidR="009E7208" w:rsidRDefault="009E7208" w:rsidP="00C24472">
                  <w:pPr>
                    <w:spacing w:line="360" w:lineRule="auto"/>
                    <w:jc w:val="center"/>
                    <w:rPr>
                      <w:rFonts w:ascii="宋体" w:eastAsia="宋体" w:hAnsi="宋体" w:hint="eastAsia"/>
                      <w:b/>
                      <w:bCs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多点水位监测系统</w:t>
                  </w:r>
                </w:p>
              </w:tc>
              <w:tc>
                <w:tcPr>
                  <w:tcW w:w="4091" w:type="pct"/>
                  <w:noWrap/>
                  <w:vAlign w:val="center"/>
                </w:tcPr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/>
                      <w:sz w:val="24"/>
                    </w:rPr>
                    <w:t>▲</w:t>
                  </w:r>
                  <w:r>
                    <w:rPr>
                      <w:rFonts w:ascii="宋体" w:eastAsia="宋体" w:hAnsi="宋体" w:hint="eastAsia"/>
                      <w:sz w:val="24"/>
                    </w:rPr>
                    <w:t>1、测点：槽内≥5处（超声/雷达任一或组合），单点分辨率≤1 mm（此精度参数需提供计量认证报告）、采样≥10 Hz；探头IP65及以上。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2、功能、参数配置：控制启停，设置采样率，查看水位实时变化曲线；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3、沿程水位：实时查看沿程水位变化趋势；能够在图上布局展示，可查看单路水位实时曲线变化；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4、数据管理：能够查看水位实时保存的水位的历史数据文件，实验数据可生成曲线图，提供数据保存功能；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5、设备管理：设备的添加、删除、修改以及比例系数K、偏移量B值的标定功能。</w:t>
                  </w:r>
                </w:p>
              </w:tc>
            </w:tr>
            <w:tr w:rsidR="009E7208" w:rsidTr="00C24472">
              <w:trPr>
                <w:trHeight w:val="673"/>
              </w:trPr>
              <w:tc>
                <w:tcPr>
                  <w:tcW w:w="265" w:type="pct"/>
                  <w:noWrap/>
                  <w:vAlign w:val="center"/>
                </w:tcPr>
                <w:p w:rsidR="009E7208" w:rsidRDefault="009E7208" w:rsidP="00C24472">
                  <w:pPr>
                    <w:spacing w:line="360" w:lineRule="auto"/>
                    <w:jc w:val="center"/>
                    <w:rPr>
                      <w:rFonts w:ascii="宋体" w:eastAsia="宋体" w:hAnsi="宋体" w:hint="eastAsia"/>
                      <w:b/>
                      <w:bCs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b/>
                      <w:bCs/>
                      <w:sz w:val="24"/>
                    </w:rPr>
                    <w:t>3</w:t>
                  </w:r>
                </w:p>
              </w:tc>
              <w:tc>
                <w:tcPr>
                  <w:tcW w:w="644" w:type="pct"/>
                  <w:noWrap/>
                  <w:vAlign w:val="center"/>
                </w:tcPr>
                <w:p w:rsidR="009E7208" w:rsidRDefault="009E7208" w:rsidP="00C24472">
                  <w:pPr>
                    <w:spacing w:line="360" w:lineRule="auto"/>
                    <w:jc w:val="center"/>
                    <w:rPr>
                      <w:rFonts w:ascii="宋体" w:eastAsia="宋体" w:hAnsi="宋体" w:hint="eastAsia"/>
                      <w:b/>
                      <w:bCs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泥沙搅拌与含沙量控制/测量系统</w:t>
                  </w:r>
                </w:p>
              </w:tc>
              <w:tc>
                <w:tcPr>
                  <w:tcW w:w="4091" w:type="pct"/>
                  <w:noWrap/>
                  <w:vAlign w:val="center"/>
                </w:tcPr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1、搅拌功率：≥100 kW（支持高含沙浓度均匀混合与连续供砂）；具变频/定时，防堵与安全防护。</w:t>
                  </w:r>
                </w:p>
                <w:p w:rsidR="009E7208" w:rsidRDefault="009E7208" w:rsidP="00C24472">
                  <w:pPr>
                    <w:spacing w:line="360" w:lineRule="auto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/>
                      <w:sz w:val="24"/>
                    </w:rPr>
                    <w:t>▲</w:t>
                  </w:r>
                  <w:r>
                    <w:rPr>
                      <w:rFonts w:ascii="宋体" w:eastAsia="宋体" w:hAnsi="宋体" w:hint="eastAsia"/>
                      <w:sz w:val="24"/>
                    </w:rPr>
                    <w:t>2、含沙量测控：量程0～100 kg/m</w:t>
                  </w:r>
                  <w:r>
                    <w:rPr>
                      <w:rFonts w:ascii="宋体" w:eastAsia="宋体" w:hAnsi="宋体"/>
                      <w:sz w:val="24"/>
                    </w:rPr>
                    <w:t>³</w:t>
                  </w:r>
                  <w:r>
                    <w:rPr>
                      <w:rFonts w:ascii="宋体" w:eastAsia="宋体" w:hAnsi="宋体" w:hint="eastAsia"/>
                      <w:sz w:val="24"/>
                    </w:rPr>
                    <w:t>，设定误差≤±5%F.S.。</w:t>
                  </w:r>
                </w:p>
              </w:tc>
            </w:tr>
          </w:tbl>
          <w:p w:rsidR="009E7208" w:rsidRDefault="009E7208" w:rsidP="00C24472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</w:tr>
      <w:bookmarkEnd w:id="0"/>
    </w:tbl>
    <w:p w:rsidR="00B30492" w:rsidRDefault="00B30492">
      <w:pPr>
        <w:rPr>
          <w:rFonts w:hint="eastAsia"/>
        </w:rPr>
      </w:pPr>
    </w:p>
    <w:sectPr w:rsidR="00B304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208"/>
    <w:rsid w:val="006F1EBA"/>
    <w:rsid w:val="009E7208"/>
    <w:rsid w:val="00A8459E"/>
    <w:rsid w:val="00B30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9BCC7"/>
  <w15:chartTrackingRefBased/>
  <w15:docId w15:val="{A18B875B-84CE-4998-A10B-A4C96FDEE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7208"/>
    <w:pPr>
      <w:widowControl w:val="0"/>
      <w:spacing w:after="0" w:line="240" w:lineRule="auto"/>
      <w:jc w:val="both"/>
    </w:pPr>
    <w:rPr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E7208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7208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7208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7208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7208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0F4761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7208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0F4761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7208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7208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7208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E720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E72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E72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E7208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E7208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9E7208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E7208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E7208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E7208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E720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9E72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7208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9E720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E7208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9E720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E7208"/>
    <w:pPr>
      <w:spacing w:after="160" w:line="278" w:lineRule="auto"/>
      <w:ind w:left="720"/>
      <w:contextualSpacing/>
      <w:jc w:val="left"/>
    </w:pPr>
    <w:rPr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9E720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E72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9E720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E7208"/>
    <w:rPr>
      <w:b/>
      <w:bCs/>
      <w:smallCaps/>
      <w:color w:val="0F4761" w:themeColor="accent1" w:themeShade="BF"/>
      <w:spacing w:val="5"/>
    </w:rPr>
  </w:style>
  <w:style w:type="paragraph" w:customStyle="1" w:styleId="null3">
    <w:name w:val="null3"/>
    <w:link w:val="null30"/>
    <w:qFormat/>
    <w:rsid w:val="009E7208"/>
    <w:pPr>
      <w:spacing w:after="0" w:line="240" w:lineRule="auto"/>
    </w:pPr>
    <w:rPr>
      <w:kern w:val="0"/>
      <w:sz w:val="20"/>
      <w:szCs w:val="20"/>
      <w:lang w:eastAsia="zh-Hans"/>
      <w14:ligatures w14:val="none"/>
    </w:rPr>
  </w:style>
  <w:style w:type="character" w:customStyle="1" w:styleId="null30">
    <w:name w:val="null3 字符"/>
    <w:basedOn w:val="a0"/>
    <w:link w:val="null3"/>
    <w:qFormat/>
    <w:rsid w:val="009E7208"/>
    <w:rPr>
      <w:kern w:val="0"/>
      <w:sz w:val="20"/>
      <w:szCs w:val="20"/>
      <w:lang w:eastAsia="zh-Han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2026-09-11T07:55:00Z</dcterms:created>
  <dcterms:modified xsi:type="dcterms:W3CDTF">2026-09-11T07:55:00Z</dcterms:modified>
</cp:coreProperties>
</file>