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版本号：SXMF-2026-07020260811001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西安监狱2026年数智安防设施设备更新维护项目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SXMF-2026-070</w:t>
      </w:r>
      <w:r>
        <w:br/>
      </w:r>
      <w:r>
        <w:br/>
      </w:r>
      <w:r>
        <w:br/>
      </w:r>
    </w:p>
    <w:p>
      <w:pPr>
        <w:pStyle w:val="null3"/>
        <w:jc w:val="center"/>
        <w:outlineLvl w:val="2"/>
      </w:pPr>
      <w:r>
        <w:rPr>
          <w:rFonts w:ascii="仿宋_GB2312" w:hAnsi="仿宋_GB2312" w:cs="仿宋_GB2312" w:eastAsia="仿宋_GB2312"/>
          <w:sz w:val="28"/>
          <w:b/>
        </w:rPr>
        <w:t>陕西省西安监狱</w:t>
      </w:r>
    </w:p>
    <w:p>
      <w:pPr>
        <w:pStyle w:val="null3"/>
        <w:jc w:val="center"/>
        <w:outlineLvl w:val="2"/>
      </w:pPr>
      <w:r>
        <w:rPr>
          <w:rFonts w:ascii="仿宋_GB2312" w:hAnsi="仿宋_GB2312" w:cs="仿宋_GB2312" w:eastAsia="仿宋_GB2312"/>
          <w:sz w:val="28"/>
          <w:b/>
        </w:rPr>
        <w:t>陕西铭帆项目管理有限公司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陕西铭帆项目管理有限公司</w:t>
      </w:r>
      <w:r>
        <w:rPr>
          <w:rFonts w:ascii="仿宋_GB2312" w:hAnsi="仿宋_GB2312" w:cs="仿宋_GB2312" w:eastAsia="仿宋_GB2312"/>
        </w:rPr>
        <w:t>（以下简称“代理机构”）受</w:t>
      </w:r>
      <w:r>
        <w:rPr>
          <w:rFonts w:ascii="仿宋_GB2312" w:hAnsi="仿宋_GB2312" w:cs="仿宋_GB2312" w:eastAsia="仿宋_GB2312"/>
        </w:rPr>
        <w:t>陕西省西安监狱</w:t>
      </w:r>
      <w:r>
        <w:rPr>
          <w:rFonts w:ascii="仿宋_GB2312" w:hAnsi="仿宋_GB2312" w:cs="仿宋_GB2312" w:eastAsia="仿宋_GB2312"/>
        </w:rPr>
        <w:t>委托，拟对</w:t>
      </w:r>
      <w:r>
        <w:rPr>
          <w:rFonts w:ascii="仿宋_GB2312" w:hAnsi="仿宋_GB2312" w:cs="仿宋_GB2312" w:eastAsia="仿宋_GB2312"/>
        </w:rPr>
        <w:t>西安监狱2026年数智安防设施设备更新维护项目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SXMF-2026-070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西安监狱2026年数智安防设施设备更新维护项目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监狱2026年数智安防设施设备更新维护项目，主要包括以下三部分内容：一、国产化安防集成管理平台的升级部署及数据迁移；二、来邦对讲全系统的年度维保服务；三、核心网络设备路由器的采购及安装。通过本项目的实施，确保西安监狱安防系统稳定、安全、高效运行。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2、本项目不接受联合体磋商，不允许分包：本项目不接受联合体磋商，不允许分包。供应商应提供声明函。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陕西省西安监狱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陕西省西安市长安区引镇街道西安监狱</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029-85880221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陕西铭帆项目管理有限公司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西安市未央区明光路龙腾半导体产业园B座307室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张琼超、赵露茹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029-88010883、15191876391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采购包1：493,960.00元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代理服务费收费标准：本项⽬收取代理服务费 代理服务费收费标准： 招标代理服务费的收取以成交价为基数，参⻅国家计委颁布的《招标代理服务收费管理暂⾏办法》（计价格[2002]1980号）和（发改办价格[2003]857号）中服务类收费标准收取，不⾜6000元按6000元收取。在领取成交通知书时由成交单位向招标代理机构⼀次性交纳。 账⼾信息如下： ⼾ 名 ：陕西铭帆项⽬管理有限公司 账 号：72260078801100000110 开⼾⾏：上海浦东发展银⾏西安开元路⽀⾏</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陕西省西安监狱</w:t>
      </w:r>
      <w:r>
        <w:rPr>
          <w:rFonts w:ascii="仿宋_GB2312" w:hAnsi="仿宋_GB2312" w:cs="仿宋_GB2312" w:eastAsia="仿宋_GB2312"/>
        </w:rPr>
        <w:t>和</w:t>
      </w:r>
      <w:r>
        <w:rPr>
          <w:rFonts w:ascii="仿宋_GB2312" w:hAnsi="仿宋_GB2312" w:cs="仿宋_GB2312" w:eastAsia="仿宋_GB2312"/>
        </w:rPr>
        <w:t>陕西铭帆项目管理有限公司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陕西省西安监狱</w:t>
      </w:r>
      <w:r>
        <w:rPr>
          <w:rFonts w:ascii="仿宋_GB2312" w:hAnsi="仿宋_GB2312" w:cs="仿宋_GB2312" w:eastAsia="仿宋_GB2312"/>
        </w:rPr>
        <w:t>负责解释。除上述磋商文件内容，其他内容由</w:t>
      </w:r>
      <w:r>
        <w:rPr>
          <w:rFonts w:ascii="仿宋_GB2312" w:hAnsi="仿宋_GB2312" w:cs="仿宋_GB2312" w:eastAsia="仿宋_GB2312"/>
        </w:rPr>
        <w:t>陕西铭帆项目管理有限公司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陕西省西安监狱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陕西铭帆项目管理有限公司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依据磋商文件、磋商响应文件及合同内容</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国家信息化建设相关标准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联系人：张琼超</w:t>
      </w:r>
    </w:p>
    <w:p>
      <w:pPr>
        <w:pStyle w:val="null3"/>
      </w:pPr>
      <w:r>
        <w:rPr>
          <w:rFonts w:ascii="仿宋_GB2312" w:hAnsi="仿宋_GB2312" w:cs="仿宋_GB2312" w:eastAsia="仿宋_GB2312"/>
        </w:rPr>
        <w:t>联系电话：15191876391</w:t>
      </w:r>
    </w:p>
    <w:p>
      <w:pPr>
        <w:pStyle w:val="null3"/>
      </w:pPr>
      <w:r>
        <w:rPr>
          <w:rFonts w:ascii="仿宋_GB2312" w:hAnsi="仿宋_GB2312" w:cs="仿宋_GB2312" w:eastAsia="仿宋_GB2312"/>
        </w:rPr>
        <w:t>地址：陕西省西安市未央区明光路⻰腾半导体产业园B座307室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监狱数智安防设施设备更新维护项目，主要包括以下三部分内容：一、国产化安防集成管理平台的升级部署及数据迁移；二、来邦对讲全系统的年度维护服务；三、核心网络设备路由器的采购及安装。通过本项目的实施，确保西安监狱安防系统稳定、安全、高效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493,960.00</w:t>
      </w:r>
    </w:p>
    <w:p>
      <w:pPr>
        <w:pStyle w:val="null3"/>
      </w:pPr>
      <w:r>
        <w:rPr>
          <w:rFonts w:ascii="仿宋_GB2312" w:hAnsi="仿宋_GB2312" w:cs="仿宋_GB2312" w:eastAsia="仿宋_GB2312"/>
        </w:rPr>
        <w:t>采购包最高限价（元）: 493,960.00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实物交付</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493,960.00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标的名称：实物交付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40" w:after="120"/>
              <w:outlineLvl w:val="2"/>
            </w:pPr>
            <w:r>
              <w:rPr>
                <w:rFonts w:ascii="仿宋_GB2312" w:hAnsi="仿宋_GB2312" w:cs="仿宋_GB2312" w:eastAsia="仿宋_GB2312"/>
                <w:sz w:val="22"/>
                <w:b/>
              </w:rPr>
              <w:t>一、</w:t>
            </w:r>
            <w:r>
              <w:rPr>
                <w:rFonts w:ascii="仿宋_GB2312" w:hAnsi="仿宋_GB2312" w:cs="仿宋_GB2312" w:eastAsia="仿宋_GB2312"/>
                <w:sz w:val="22"/>
                <w:b/>
              </w:rPr>
              <w:t>采购内容及技术要求</w:t>
            </w:r>
          </w:p>
          <w:p>
            <w:pPr>
              <w:pStyle w:val="null3"/>
              <w:spacing w:before="240" w:after="120"/>
              <w:outlineLvl w:val="2"/>
            </w:pPr>
            <w:r>
              <w:rPr>
                <w:rFonts w:ascii="仿宋_GB2312" w:hAnsi="仿宋_GB2312" w:cs="仿宋_GB2312" w:eastAsia="仿宋_GB2312"/>
                <w:sz w:val="22"/>
                <w:b/>
              </w:rPr>
              <w:t>（一）国产化安防平台升级</w:t>
            </w:r>
          </w:p>
          <w:tbl>
            <w:tblPr>
              <w:tblInd w:type="dxa" w:w="120"/>
              <w:tblBorders>
                <w:top w:val="none" w:color="000000" w:sz="4"/>
                <w:left w:val="none" w:color="000000" w:sz="4"/>
                <w:bottom w:val="none" w:color="000000" w:sz="4"/>
                <w:right w:val="none" w:color="000000" w:sz="4"/>
                <w:insideH w:val="none"/>
                <w:insideV w:val="none"/>
              </w:tblBorders>
            </w:tblPr>
            <w:tblGrid>
              <w:gridCol w:w="171"/>
              <w:gridCol w:w="377"/>
              <w:gridCol w:w="1820"/>
              <w:gridCol w:w="179"/>
            </w:tblGrid>
            <w:tr>
              <w:tc>
                <w:tcPr>
                  <w:tcW w:type="dxa" w:w="171"/>
                  <w:tcBorders>
                    <w:top w:val="singl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b/>
                    </w:rPr>
                    <w:t>序号</w:t>
                  </w:r>
                </w:p>
              </w:tc>
              <w:tc>
                <w:tcPr>
                  <w:tcW w:type="dxa" w:w="377"/>
                  <w:tcBorders>
                    <w:top w:val="singl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b/>
                    </w:rPr>
                    <w:t>功能模块</w:t>
                  </w:r>
                </w:p>
              </w:tc>
              <w:tc>
                <w:tcPr>
                  <w:tcW w:type="dxa" w:w="1820"/>
                  <w:tcBorders>
                    <w:top w:val="singl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b/>
                    </w:rPr>
                    <w:t>主要功能要求</w:t>
                  </w:r>
                </w:p>
              </w:tc>
              <w:tc>
                <w:tcPr>
                  <w:tcW w:type="dxa" w:w="179"/>
                  <w:tcBorders>
                    <w:top w:val="singl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b/>
                    </w:rPr>
                    <w:t>数量</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平台基础包</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b/>
                    </w:rPr>
                    <w:t>★ 需提供综合安防集成管理系统业务应用依赖的基础资源，包括用户管理、权限管理、部门管理、门户管理，统一管理了组织、权限、用户、物联设备等资源，并提供门户、录像计划等配置能力；需支持用户所在部门基础信息的增删改查、导入、导出等功能；需支持用户信息的增删改查、导入、导出；需支持用户安全管理，可绑定用户mac地址及IP，可自行修改用户密码或者管理员重置密码；需支持用户自定义快捷入口；需支持需支持自定义菜单内容；需支持页面元素设置，需支持上传页面logo图标、修改网站标题、设置并添加网站外部链接；需支持所有设备统一校时；提供账户安全设置，需支持账户密码有效期设置；需支持登录类型（Web端、PC客户端、移动端）和认证方式（密码、PKI）的配置；</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1套</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2</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国产化客户端</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国产化（银河麒麟</w:t>
                  </w:r>
                  <w:r>
                    <w:rPr>
                      <w:rFonts w:ascii="仿宋_GB2312" w:hAnsi="仿宋_GB2312" w:cs="仿宋_GB2312" w:eastAsia="仿宋_GB2312"/>
                      <w:sz w:val="18"/>
                    </w:rPr>
                    <w:t>V10操作系统+ARM架构，统信UOS V20操作系统+ARM架构）环境下，用户通过平台查看视频预览、录像回放、视频上墙等业务应用</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1套</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3</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视频监控</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需提供视频管理服务，需支持编码设备通过设备大华设备网络</w:t>
                  </w:r>
                  <w:r>
                    <w:rPr>
                      <w:rFonts w:ascii="仿宋_GB2312" w:hAnsi="仿宋_GB2312" w:cs="仿宋_GB2312" w:eastAsia="仿宋_GB2312"/>
                      <w:sz w:val="18"/>
                    </w:rPr>
                    <w:t>SDK协议、海康设备网络SDK协议、GB28181协议、ONVIF协议，实现视频预览、录像回放、视频上墙、视频事件监控服务能力。本次项目授权≥3000路视频通道接入。</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1套</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4</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视频级联</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基于标准协议与上级平台互联互通，需支持视频通用标准协议（GB/T28181-2011,GB/T28181-2016,DB33/T629-2011）、以及行业视频标准协议。包含但不限于域间注册与心跳、资源同步、实时预览、录像回放与控制、录像下载、设备控制等。</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1套</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5</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设备网络管理</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需支持监控摄像机、编码设备、存储设备、解码设备等物联设备在线状态、工作状态、硬盘状态、指标采集；本次项目授权</w:t>
                  </w:r>
                  <w:r>
                    <w:rPr>
                      <w:rFonts w:ascii="仿宋_GB2312" w:hAnsi="仿宋_GB2312" w:cs="仿宋_GB2312" w:eastAsia="仿宋_GB2312"/>
                      <w:sz w:val="18"/>
                    </w:rPr>
                    <w:t>≥3000路设备网络管理；需支持监控点通道的在线状态、录制状态、录像完整性、录像保存天数指标检测；需支持告警信息统计展现。需支持对监控点、编码设备、解码设备、视频综合矩阵、NVR、磁盘阵列、云储存的告警阈值进行配置；提供视频运维报表统计能力，包含但不限于区域综合排名统计、录像完整性统计、录像存储达标统计、在线状态统计、离线时长统计报表；需支持巡检计划配置，可以按照类型和资源以及自定义的巡检周期进行巡检计划配置；需支持海康SDK、大华SDK、GB/T 28181、Open Network Video Interface、ISAPI协议等；单节点在线状态巡检效率≥1000路/小时；单节点录像情况巡检效率≥1000路/小时。</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1套</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6</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监所人员管理</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需支持服刑人员库、民警库、外来人员库及自定义名单库；服刑人员库、民警库数据来源省局业务系统，需支持与省局业务系统进行对接；支持在平台上手动录入服刑人员、民警信息，同时也需支持通过</w:t>
                  </w:r>
                  <w:r>
                    <w:rPr>
                      <w:rFonts w:ascii="仿宋_GB2312" w:hAnsi="仿宋_GB2312" w:cs="仿宋_GB2312" w:eastAsia="仿宋_GB2312"/>
                      <w:sz w:val="18"/>
                    </w:rPr>
                    <w:t>excel表格模板方式导入平台；外来人员库数据一般来源于AB门；系统需支持与第三方AB门或者访客系统定制对接。</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1套</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7</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入侵报警</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需支持管理防区数量</w:t>
                  </w:r>
                  <w:r>
                    <w:rPr>
                      <w:rFonts w:ascii="仿宋_GB2312" w:hAnsi="仿宋_GB2312" w:cs="仿宋_GB2312" w:eastAsia="仿宋_GB2312"/>
                      <w:sz w:val="18"/>
                    </w:rPr>
                    <w:t>≥500个,需支持报警记录存储数量≥1000W条;需支持艾博信、大华、海康、荣飞、艾礼富报警主机通用系列接入;需支持报警子系统管理能力，包含布防、撤防、消警控制操作；需支持防区管理能力，包含旁路、旁路恢复操作；需支持实时入侵报警能力；需支持历史入侵报警事件查询及导出能力</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1套</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8</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门禁管理</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需支持接入多种门禁设备，利用卡片、人脸、指纹介质，实现人员身份确认、出入管控等智能应用，主要提供门禁权限管理、事件管理、门禁状态查看、门禁远程控制、人员出入记录实时展示、远程呼叫对讲等应用。授权数量≥300个门禁设备授权;需支持按组织、人员、人员分组、门禁点维度配置权限；需支持设置权限有效期、计划模板、假日计划；需支持按人员特征属性生成人员分组，如证件类型、岗位等级、职称等；需支持权限增量下发、初始化下发；需支持按时段配置门的常开常闭状态；需支持认证方式设置，可按不同时段设置不同的认证方式，如刷卡+人脸、刷卡+指纹；需支持首卡常开，刷首卡可使门保持常开至常开时间段结束，若此期间再次刷首卡，门恢复正常状态；需支持特殊卡设置，黑名单卡（无法开门）、胁迫卡（正常开门并上报胁迫报警）、超级卡（不受限于门常闭、刷卡+密码认证需要密码确认的规则，刷卡直接开门）；针对刷卡开门方式，即使卡片权限未同步到设备，也可通过中心平台完成权限认证开门。需支持按门禁点、人员、组织、区域等多维度，综合查询权限配置、下发状态等信息；需支持配置平台接收到事件类型；需支持配置事件保存时长；需支持查询人员出入事件和设备事件；需支持查看门禁状态，包括开关状态、在离线状态；需支持对门禁点反控，包括对门进行开、关、常开、常闭的反控操作；需支持远程呼叫应用，门禁一体机呼叫中心发起开门请求，cs客户端弹窗显示一体机视频，中心可选择接听、拒绝、开门；需支持人员进出事件实时展示，包括人员基础信息、抓拍图片、进出时间、设备名称等，可全屏展示</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1套</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9</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重点区域人员门禁管控</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在某些重点区域场景中，需支持对人员的进出进行严格管控，包括多重认证、多门互锁、反潜回等应用；需支持前端设备认证，认证分组内的成员按照设定的认证顺序在设备上完成认证开门；需支持前端设备认证</w:t>
                  </w:r>
                  <w:r>
                    <w:rPr>
                      <w:rFonts w:ascii="仿宋_GB2312" w:hAnsi="仿宋_GB2312" w:cs="仿宋_GB2312" w:eastAsia="仿宋_GB2312"/>
                      <w:sz w:val="18"/>
                    </w:rPr>
                    <w:t>+中心远程开门，认证分组内的成员按照设定的认证顺序在设备上完成认证后，中心操作人员再次通过刷卡/指纹认证后远程开门；需支持持卡者从某个门刷卡进来就必须从某个门刷卡出去，刷卡记录必须一进一出严格对应。</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1套</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10</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监所报警中心</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需支持接收智能分析报警事件、需支持接入第三方门禁、第三方电网、第三方报警主机等报警事件联动视频；需支持报警实时弹窗提醒，需支持查看报警联动抓拍图、联动实时视频和历史视频，需支持显示报警位置；需支持报警分层分级流转推送，需支持报警多于三级的流转推送且与省局平台进行对接</w:t>
                  </w:r>
                  <w:r>
                    <w:rPr>
                      <w:rFonts w:ascii="仿宋_GB2312" w:hAnsi="仿宋_GB2312" w:cs="仿宋_GB2312" w:eastAsia="仿宋_GB2312"/>
                      <w:sz w:val="18"/>
                    </w:rPr>
                    <w:t>；需支持超过指定时间未处置的报警自动上报；需支持对接收的报警进行处置，可选择报警级别、报警原因、填写处置意见，选择处置民警，上传附件。</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1套</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11</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监所地图</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需支持地图展示监控点、电网、对讲、门禁、应急报警等资源，需支持查看视频预览、回放、报警信息，需支持在平台图上显示电网短路、断路报警及实时电压、电流，需支持接收报警事件信息，报警时在地图上闪烁提示；需支持在地图上框选摄像机打开视频；需支持双击视频点位打开视频；需支持查看视频名称、</w:t>
                  </w:r>
                  <w:r>
                    <w:rPr>
                      <w:rFonts w:ascii="仿宋_GB2312" w:hAnsi="仿宋_GB2312" w:cs="仿宋_GB2312" w:eastAsia="仿宋_GB2312"/>
                      <w:sz w:val="18"/>
                    </w:rPr>
                    <w:t>IP、所属组织、型号、设备状态等信息；需支持查看视频预览、录像回放、查看当日报警信息、报警状态确认，需支持快速调阅查看5分钟、10分钟、30分钟的录像回放；需支持通过地图链接进行地图图层下钻；需支持对地图的添加、修改和删除操作；需支持对资源点进行左对齐、右对齐、下对齐、上对齐以及资源点图标尺寸、角度的修改操作；需支持同一张地图的同种类型图标大小进行复制；需支持对资源点进行移动、删除；需支持在地图上显示门禁状态，需支持在地图上控制门禁开关门操作；</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1套</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12</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车辆区域布控</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需支持配置车辆布防任务，需支持配置布防名称、布防时间、布防车辆、布防范围；需支持通过车牌识别技术对车辆进行布防，需支持按车牌布防和按车辆库布防。当车辆在某个时间段出现在布防的区域，产生非法车辆入侵报警并联动提示。在报警中心客户端可以接收查看某车辆触发的非法车辆入侵报警。</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1套</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13</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人员区域布控</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需支持配置布防任务，需支持配置布防名称、布防人员、布防时间策略、布防范围；需支持通过人脸技术对服刑人员进行布防，需支持按服刑人员类型（重点犯、普通犯）布防和按区域布防。当服刑人员在某个时间段出现在布防的区域，产生非法入侵报警并联动提示。在报警中心客户端可以接收查看某服刑人员触发的非法入侵报警；需支持通过人脸技术对外来人员进行布防，需支持按区域布防。当外来人员在某个时间段非法出现在布防的区域，产生非法入侵报警并联动提示。在报警中心客户端可以接收查看某外来人员触发的非法入侵报警。</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1套</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14</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AI模型管理</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通过平台软件对</w:t>
                  </w:r>
                  <w:r>
                    <w:rPr>
                      <w:rFonts w:ascii="仿宋_GB2312" w:hAnsi="仿宋_GB2312" w:cs="仿宋_GB2312" w:eastAsia="仿宋_GB2312"/>
                      <w:sz w:val="18"/>
                    </w:rPr>
                    <w:t>AI设备统一管理和模型下发；需支持将简单设备管理中的AI设备同步到组件中；需支持添加智能分析服务，例如行为分析、智能融合主机等一体机；需支持模型管理，智能分析任务配置，任务下发，事件处理，智能分析编排，模型任务管理，二次分析事件等。</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1套</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15</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智能监控</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需支持以人脸技术为核心，通过前后端分析设备对人脸图片进行比对分析，实现人脸自动识别应用；需支持配置重点人员识别计划、陌生人识别计划、高频人员识别计划；需支持接收重点人员、陌生人、高频人员实时事件；需支持配置智能分析规则，实现智能分析服务器的事件上报；需支持以人脸技术、视频结构化技术为核心，通过前端视频和后端比对分析设备对人体、车辆抓拍图片进行分析智能检索服务应用；需支持配置人体、车辆识别计划；需支持接收人体、车辆实时事件；需支持人脸、人体、车辆的以图搜图；需支持人员运行轨迹展示；需支持通过配置实时流分析任务完成视频流实时智能分析，包括重点人员、陌生人、高频人员、人体</w:t>
                  </w:r>
                  <w:r>
                    <w:rPr>
                      <w:rFonts w:ascii="仿宋_GB2312" w:hAnsi="仿宋_GB2312" w:cs="仿宋_GB2312" w:eastAsia="仿宋_GB2312"/>
                      <w:sz w:val="18"/>
                    </w:rPr>
                    <w:t>/车辆结构化分析；需支持配置录像点位及目标时段，对录像码流中的人、车数据进行结构化录像码流分析，实现智能分析事件快速查询。</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1套</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16</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人车智能档案</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▲需支持基于人、车的通行数据，提供人员人脸/比对数据一人一档查询、人员/车辆的监区完整通行数据及运行轨迹查询；</w:t>
                  </w:r>
                </w:p>
                <w:p>
                  <w:pPr>
                    <w:pStyle w:val="null3"/>
                  </w:pPr>
                  <w:r>
                    <w:rPr>
                      <w:rFonts w:ascii="仿宋_GB2312" w:hAnsi="仿宋_GB2312" w:cs="仿宋_GB2312" w:eastAsia="仿宋_GB2312"/>
                      <w:sz w:val="18"/>
                    </w:rPr>
                    <w:t>需支持通过人脸图片查询人员身份档案，档案信息包括人员姓名、所属组织、证件号码、联系方式、所属人脸库分组，并可通过档案快速查询对应抓拍记录及运行轨迹信息；需支持根据人员档案查询归档的人脸事件，并需支持查询人员轨迹；需支持按照车辆结构化数据、车辆图片进行车辆抓拍事件查询，需支持查询车辆轨迹。</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1套</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17</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算法策略应用</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需支持对组合报警各类策略执行的过程进行回溯，查看事件拦截原因、预设的报警逻辑规则执行情况以及算法运行输出目标等信息；需支持对攀高、离岗、如厕超时、周界入侵等事件进行二次复核，降低误报；需支持定义单人独处报警策略，可针对多个相机进行空间标定，对视频画面中的人员身份进行识别，经智能研判后输出单人独处报警；需支持定义违规滞留报警策略，可对特地区域罪犯人脸布控预警进行二次研判，结合时空计算逻辑配置，判断罪犯是否具备周边无民警监管，或单人独处等各类条件，经智能研判后对满足条件的情况输出违规滞留报警；需支持对智能报警事件进行人工研判，标定报警是否正报、误报，并进行统计分析;包含≥10个策略授权。</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1套</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18</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外来人车登记</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需支持登记外来人员基本信息，登记的基本信息字段支持扩展；需支持通过本地上传抓拍照片，或通过多功能采集仪，或人证设备采集外来人脸照片，下发人脸库需支持在审批不通过的历史登记记录基础上修改登记信息，进行快速再次登记。需支持登记车辆信息；需支持查看已登记的外来人员和外来车辆历史信息。以卡片的形式展示历史外来人员信息，支持按姓名、证件号进行检索。</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1套</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19</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人员核验</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需支持展示进出</w:t>
                  </w:r>
                  <w:r>
                    <w:rPr>
                      <w:rFonts w:ascii="仿宋_GB2312" w:hAnsi="仿宋_GB2312" w:cs="仿宋_GB2312" w:eastAsia="仿宋_GB2312"/>
                      <w:sz w:val="18"/>
                    </w:rPr>
                    <w:t>AB门服刑人员进入数量、离开数量，外部人员的来访数量、滞留数量，内部人员（民警、职工）的进入数量、离开数量；需支持展示刷脸核验身份的人员信息，包括姓名、进出方向、人员类别、证件号、事由、带领民警、进出时间、核验设备等信息；需支持语音播报进出人员类型；需支持展示校验记录，可按照外部人员、服刑人员、未登记人员、民警进行筛选；WJ核验和民警核验界面展示人员类型需支持自定义配置。</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1套</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20</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平台定制迁移</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b/>
                    </w:rPr>
                    <w:t>★相关配套平台定制适配国产化高斯数据库；定制迁移罪犯信息库、民警信息库；</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1套</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21</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平台数据迁移</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▲现有监狱综合安防集成管理平台V2.0版本上的视频设备、门禁设备、报警联动配置、智能行为分析规则配置、算法策略配置迁移；视频云存储设备相关音视频数据的迁移；</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1套</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22</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车辆核验</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需支持展示今日进入和今日离开的车辆数据；需支持展示当前进入车行通道车辆的车底照片、车辆抓拍照片和车牌抓拍照片；需支持展示车辆进出方向、进入时间和离开时间、车辆类型、驾驶人员、带领民警；需支持对驾驶人员身份进行人脸核验，支持对带领民警身份进行人脸核验，支持检查民警检查完成后进行人脸确认。需支持车行岗值班民警审核通过放行；需支持车底模式（车底检测设备）和卡口模式（车牌抓拍机）两种配置模式。</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1套</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23</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防误放管理</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需支持显示当日所有离监人员信息，支持按离监类型分类显示离监人员信息。支持多个服刑人员同时离监审核。支持最多两个带领民警。需支持显示当前离监人员的证件照片和抓拍照片，支持显示当前离监人员的基本信息、带领民警的信息，支持审核民警输入编号和备注信息进行确认通过。需支持服刑人员刷脸离监审核，支持手动输入离监人员编号的方式进行离监审核，手动离监需要民警二次审核。</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1套</w:t>
                  </w:r>
                </w:p>
              </w:tc>
            </w:tr>
            <w:tr>
              <w:tc>
                <w:tcPr>
                  <w:tcW w:type="dxa" w:w="17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24</w:t>
                  </w:r>
                </w:p>
              </w:tc>
              <w:tc>
                <w:tcPr>
                  <w:tcW w:type="dxa" w:w="37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行为分析服务器</w:t>
                  </w:r>
                </w:p>
              </w:tc>
              <w:tc>
                <w:tcPr>
                  <w:tcW w:type="dxa" w:w="1820"/>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▲创建行为分析服务器集群，支持多算力节点分布式部署、任务均衡分配、集群横向扩容，统一调度前端智能分析算法任务。</w:t>
                  </w:r>
                </w:p>
              </w:tc>
              <w:tc>
                <w:tcPr>
                  <w:tcW w:type="dxa" w:w="17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rFonts w:ascii="仿宋_GB2312" w:hAnsi="仿宋_GB2312" w:cs="仿宋_GB2312" w:eastAsia="仿宋_GB2312"/>
                      <w:sz w:val="18"/>
                    </w:rPr>
                    <w:t>1套</w:t>
                  </w:r>
                </w:p>
                <w:p>
                  <w:pPr>
                    <w:pStyle w:val="null3"/>
                  </w:pPr>
                </w:p>
              </w:tc>
            </w:tr>
          </w:tbl>
          <w:p>
            <w:pPr>
              <w:pStyle w:val="null3"/>
              <w:outlineLvl w:val="2"/>
            </w:pPr>
            <w:r>
              <w:rPr>
                <w:rFonts w:ascii="仿宋_GB2312" w:hAnsi="仿宋_GB2312" w:cs="仿宋_GB2312" w:eastAsia="仿宋_GB2312"/>
                <w:sz w:val="22"/>
                <w:b/>
              </w:rPr>
              <w:t>（</w:t>
            </w:r>
            <w:r>
              <w:rPr>
                <w:rFonts w:ascii="仿宋_GB2312" w:hAnsi="仿宋_GB2312" w:cs="仿宋_GB2312" w:eastAsia="仿宋_GB2312"/>
                <w:sz w:val="18"/>
                <w:b/>
              </w:rPr>
              <w:t>二）来邦对讲系统维保</w:t>
            </w:r>
          </w:p>
          <w:p>
            <w:pPr>
              <w:pStyle w:val="null3"/>
              <w:spacing w:before="60" w:after="60"/>
              <w:jc w:val="left"/>
            </w:pPr>
            <w:r>
              <w:rPr>
                <w:rFonts w:ascii="仿宋_GB2312" w:hAnsi="仿宋_GB2312" w:cs="仿宋_GB2312" w:eastAsia="仿宋_GB2312"/>
                <w:sz w:val="18"/>
              </w:rPr>
              <w:t>1.</w:t>
            </w:r>
            <w:r>
              <w:rPr>
                <w:rFonts w:ascii="仿宋_GB2312" w:hAnsi="仿宋_GB2312" w:cs="仿宋_GB2312" w:eastAsia="仿宋_GB2312"/>
                <w:sz w:val="18"/>
              </w:rPr>
              <w:t>系统软件检测维护范围</w:t>
            </w:r>
          </w:p>
          <w:p>
            <w:pPr>
              <w:pStyle w:val="null3"/>
              <w:spacing w:before="60" w:after="60"/>
              <w:jc w:val="left"/>
            </w:pPr>
            <w:r>
              <w:rPr>
                <w:rFonts w:ascii="仿宋_GB2312" w:hAnsi="仿宋_GB2312" w:cs="仿宋_GB2312" w:eastAsia="仿宋_GB2312"/>
                <w:sz w:val="18"/>
              </w:rPr>
              <w:t>西安监狱范围内来邦对讲系统后台管理软件</w:t>
            </w:r>
            <w:r>
              <w:rPr>
                <w:rFonts w:ascii="仿宋_GB2312" w:hAnsi="仿宋_GB2312" w:cs="仿宋_GB2312" w:eastAsia="仿宋_GB2312"/>
                <w:sz w:val="18"/>
              </w:rPr>
              <w:t>。</w:t>
            </w:r>
          </w:p>
          <w:p>
            <w:pPr>
              <w:pStyle w:val="null3"/>
              <w:spacing w:before="60" w:after="60"/>
              <w:jc w:val="left"/>
            </w:pPr>
            <w:r>
              <w:rPr>
                <w:rFonts w:ascii="仿宋_GB2312" w:hAnsi="仿宋_GB2312" w:cs="仿宋_GB2312" w:eastAsia="仿宋_GB2312"/>
                <w:sz w:val="18"/>
              </w:rPr>
              <w:t>2.</w:t>
            </w:r>
            <w:r>
              <w:rPr>
                <w:rFonts w:ascii="仿宋_GB2312" w:hAnsi="仿宋_GB2312" w:cs="仿宋_GB2312" w:eastAsia="仿宋_GB2312"/>
                <w:sz w:val="18"/>
              </w:rPr>
              <w:t>系统软件检测维护时间</w:t>
            </w:r>
          </w:p>
          <w:p>
            <w:pPr>
              <w:pStyle w:val="null3"/>
              <w:spacing w:before="60" w:after="60"/>
              <w:jc w:val="left"/>
            </w:pPr>
            <w:r>
              <w:rPr>
                <w:rFonts w:ascii="仿宋_GB2312" w:hAnsi="仿宋_GB2312" w:cs="仿宋_GB2312" w:eastAsia="仿宋_GB2312"/>
                <w:sz w:val="18"/>
              </w:rPr>
              <w:t>签订合同之日起壹年内</w:t>
            </w:r>
            <w:r>
              <w:rPr>
                <w:rFonts w:ascii="仿宋_GB2312" w:hAnsi="仿宋_GB2312" w:cs="仿宋_GB2312" w:eastAsia="仿宋_GB2312"/>
                <w:sz w:val="18"/>
              </w:rPr>
              <w:t>。</w:t>
            </w:r>
          </w:p>
          <w:p>
            <w:pPr>
              <w:pStyle w:val="null3"/>
              <w:spacing w:before="60" w:after="60"/>
              <w:jc w:val="left"/>
            </w:pPr>
            <w:r>
              <w:rPr>
                <w:rFonts w:ascii="仿宋_GB2312" w:hAnsi="仿宋_GB2312" w:cs="仿宋_GB2312" w:eastAsia="仿宋_GB2312"/>
                <w:sz w:val="18"/>
              </w:rPr>
              <w:t>3.</w:t>
            </w:r>
            <w:r>
              <w:rPr>
                <w:rFonts w:ascii="仿宋_GB2312" w:hAnsi="仿宋_GB2312" w:cs="仿宋_GB2312" w:eastAsia="仿宋_GB2312"/>
                <w:sz w:val="18"/>
              </w:rPr>
              <w:t>系统软件检测维护内容</w:t>
            </w:r>
          </w:p>
          <w:tbl>
            <w:tblPr>
              <w:tblInd w:type="dxa" w:w="135"/>
              <w:tblBorders>
                <w:top w:val="none" w:color="000000" w:sz="4"/>
                <w:left w:val="none" w:color="000000" w:sz="4"/>
                <w:bottom w:val="none" w:color="000000" w:sz="4"/>
                <w:right w:val="none" w:color="000000" w:sz="4"/>
                <w:insideH w:val="none"/>
                <w:insideV w:val="none"/>
              </w:tblBorders>
            </w:tblPr>
            <w:tblGrid>
              <w:gridCol w:w="176"/>
              <w:gridCol w:w="216"/>
              <w:gridCol w:w="295"/>
              <w:gridCol w:w="352"/>
              <w:gridCol w:w="189"/>
              <w:gridCol w:w="202"/>
              <w:gridCol w:w="194"/>
              <w:gridCol w:w="912"/>
            </w:tblGrid>
            <w:tr>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系统类别</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位置</w:t>
                  </w:r>
                </w:p>
              </w:tc>
              <w:tc>
                <w:tcPr>
                  <w:tcW w:type="dxa" w:w="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服务项目</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品牌</w:t>
                  </w:r>
                </w:p>
              </w:tc>
              <w:tc>
                <w:tcPr>
                  <w:tcW w:type="dxa" w:w="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服务内容</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对讲系统</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中心机房</w:t>
                  </w: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信息交互服务器软件</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来邦</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w:t>
                  </w:r>
                  <w:r>
                    <w:rPr>
                      <w:rFonts w:ascii="仿宋_GB2312" w:hAnsi="仿宋_GB2312" w:cs="仿宋_GB2312" w:eastAsia="仿宋_GB2312"/>
                      <w:sz w:val="18"/>
                    </w:rPr>
                    <w:t>软件</w:t>
                  </w:r>
                  <w:r>
                    <w:rPr>
                      <w:rFonts w:ascii="仿宋_GB2312" w:hAnsi="仿宋_GB2312" w:cs="仿宋_GB2312" w:eastAsia="仿宋_GB2312"/>
                      <w:sz w:val="18"/>
                    </w:rPr>
                    <w:t>运行</w:t>
                  </w:r>
                  <w:r>
                    <w:rPr>
                      <w:rFonts w:ascii="仿宋_GB2312" w:hAnsi="仿宋_GB2312" w:cs="仿宋_GB2312" w:eastAsia="仿宋_GB2312"/>
                      <w:sz w:val="18"/>
                    </w:rPr>
                    <w:t>检测、</w:t>
                  </w:r>
                  <w:r>
                    <w:rPr>
                      <w:rFonts w:ascii="仿宋_GB2312" w:hAnsi="仿宋_GB2312" w:cs="仿宋_GB2312" w:eastAsia="仿宋_GB2312"/>
                      <w:sz w:val="18"/>
                    </w:rPr>
                    <w:t>保障</w:t>
                  </w:r>
                  <w:r>
                    <w:rPr>
                      <w:rFonts w:ascii="仿宋_GB2312" w:hAnsi="仿宋_GB2312" w:cs="仿宋_GB2312" w:eastAsia="仿宋_GB2312"/>
                      <w:sz w:val="18"/>
                    </w:rPr>
                    <w:t>、维护</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6"/>
                  <w:vMerge/>
                  <w:tcBorders>
                    <w:top w:val="none" w:color="000000" w:sz="4"/>
                    <w:left w:val="none" w:color="000000" w:sz="4"/>
                    <w:bottom w:val="single" w:color="000000" w:sz="4"/>
                    <w:right w:val="single" w:color="000000" w:sz="4"/>
                  </w:tcBorders>
                </w:tcP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中心机房</w:t>
                  </w: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视频会议</w:t>
                  </w:r>
                  <w:r>
                    <w:rPr>
                      <w:rFonts w:ascii="仿宋_GB2312" w:hAnsi="仿宋_GB2312" w:cs="仿宋_GB2312" w:eastAsia="仿宋_GB2312"/>
                      <w:sz w:val="18"/>
                    </w:rPr>
                    <w:t>服务器软件</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来邦</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w:t>
                  </w:r>
                  <w:r>
                    <w:rPr>
                      <w:rFonts w:ascii="仿宋_GB2312" w:hAnsi="仿宋_GB2312" w:cs="仿宋_GB2312" w:eastAsia="仿宋_GB2312"/>
                      <w:sz w:val="18"/>
                    </w:rPr>
                    <w:t>软件</w:t>
                  </w:r>
                  <w:r>
                    <w:rPr>
                      <w:rFonts w:ascii="仿宋_GB2312" w:hAnsi="仿宋_GB2312" w:cs="仿宋_GB2312" w:eastAsia="仿宋_GB2312"/>
                      <w:sz w:val="18"/>
                    </w:rPr>
                    <w:t>运行</w:t>
                  </w:r>
                  <w:r>
                    <w:rPr>
                      <w:rFonts w:ascii="仿宋_GB2312" w:hAnsi="仿宋_GB2312" w:cs="仿宋_GB2312" w:eastAsia="仿宋_GB2312"/>
                      <w:sz w:val="18"/>
                    </w:rPr>
                    <w:t>检测、</w:t>
                  </w:r>
                  <w:r>
                    <w:rPr>
                      <w:rFonts w:ascii="仿宋_GB2312" w:hAnsi="仿宋_GB2312" w:cs="仿宋_GB2312" w:eastAsia="仿宋_GB2312"/>
                      <w:sz w:val="18"/>
                    </w:rPr>
                    <w:t>保障</w:t>
                  </w:r>
                  <w:r>
                    <w:rPr>
                      <w:rFonts w:ascii="仿宋_GB2312" w:hAnsi="仿宋_GB2312" w:cs="仿宋_GB2312" w:eastAsia="仿宋_GB2312"/>
                      <w:sz w:val="18"/>
                    </w:rPr>
                    <w:t>、维护</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6"/>
                  <w:vMerge/>
                  <w:tcBorders>
                    <w:top w:val="none" w:color="000000" w:sz="4"/>
                    <w:left w:val="none" w:color="000000" w:sz="4"/>
                    <w:bottom w:val="single" w:color="000000" w:sz="4"/>
                    <w:right w:val="single" w:color="000000" w:sz="4"/>
                  </w:tcBorders>
                </w:tcP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中心机房</w:t>
                  </w: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点播直播服务器</w:t>
                  </w:r>
                  <w:r>
                    <w:rPr>
                      <w:rFonts w:ascii="仿宋_GB2312" w:hAnsi="仿宋_GB2312" w:cs="仿宋_GB2312" w:eastAsia="仿宋_GB2312"/>
                      <w:sz w:val="18"/>
                    </w:rPr>
                    <w:t>软件</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来邦</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w:t>
                  </w:r>
                  <w:r>
                    <w:rPr>
                      <w:rFonts w:ascii="仿宋_GB2312" w:hAnsi="仿宋_GB2312" w:cs="仿宋_GB2312" w:eastAsia="仿宋_GB2312"/>
                      <w:sz w:val="18"/>
                    </w:rPr>
                    <w:t>软件</w:t>
                  </w:r>
                  <w:r>
                    <w:rPr>
                      <w:rFonts w:ascii="仿宋_GB2312" w:hAnsi="仿宋_GB2312" w:cs="仿宋_GB2312" w:eastAsia="仿宋_GB2312"/>
                      <w:sz w:val="18"/>
                    </w:rPr>
                    <w:t>运行</w:t>
                  </w:r>
                  <w:r>
                    <w:rPr>
                      <w:rFonts w:ascii="仿宋_GB2312" w:hAnsi="仿宋_GB2312" w:cs="仿宋_GB2312" w:eastAsia="仿宋_GB2312"/>
                      <w:sz w:val="18"/>
                    </w:rPr>
                    <w:t>检测、</w:t>
                  </w:r>
                  <w:r>
                    <w:rPr>
                      <w:rFonts w:ascii="仿宋_GB2312" w:hAnsi="仿宋_GB2312" w:cs="仿宋_GB2312" w:eastAsia="仿宋_GB2312"/>
                      <w:sz w:val="18"/>
                    </w:rPr>
                    <w:t>保障</w:t>
                  </w:r>
                  <w:r>
                    <w:rPr>
                      <w:rFonts w:ascii="仿宋_GB2312" w:hAnsi="仿宋_GB2312" w:cs="仿宋_GB2312" w:eastAsia="仿宋_GB2312"/>
                      <w:sz w:val="18"/>
                    </w:rPr>
                    <w:t>、维护</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16"/>
                  <w:vMerge/>
                  <w:tcBorders>
                    <w:top w:val="none" w:color="000000" w:sz="4"/>
                    <w:left w:val="none" w:color="000000" w:sz="4"/>
                    <w:bottom w:val="single" w:color="000000" w:sz="4"/>
                    <w:right w:val="single" w:color="000000" w:sz="4"/>
                  </w:tcBorders>
                </w:tcP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中心机房</w:t>
                  </w: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信息发布服务器软件</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来邦</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w:t>
                  </w:r>
                  <w:r>
                    <w:rPr>
                      <w:rFonts w:ascii="仿宋_GB2312" w:hAnsi="仿宋_GB2312" w:cs="仿宋_GB2312" w:eastAsia="仿宋_GB2312"/>
                      <w:sz w:val="18"/>
                    </w:rPr>
                    <w:t>软件</w:t>
                  </w:r>
                  <w:r>
                    <w:rPr>
                      <w:rFonts w:ascii="仿宋_GB2312" w:hAnsi="仿宋_GB2312" w:cs="仿宋_GB2312" w:eastAsia="仿宋_GB2312"/>
                      <w:sz w:val="18"/>
                    </w:rPr>
                    <w:t>运行</w:t>
                  </w:r>
                  <w:r>
                    <w:rPr>
                      <w:rFonts w:ascii="仿宋_GB2312" w:hAnsi="仿宋_GB2312" w:cs="仿宋_GB2312" w:eastAsia="仿宋_GB2312"/>
                      <w:sz w:val="18"/>
                    </w:rPr>
                    <w:t>检测、</w:t>
                  </w:r>
                  <w:r>
                    <w:rPr>
                      <w:rFonts w:ascii="仿宋_GB2312" w:hAnsi="仿宋_GB2312" w:cs="仿宋_GB2312" w:eastAsia="仿宋_GB2312"/>
                      <w:sz w:val="18"/>
                    </w:rPr>
                    <w:t>保障</w:t>
                  </w:r>
                  <w:r>
                    <w:rPr>
                      <w:rFonts w:ascii="仿宋_GB2312" w:hAnsi="仿宋_GB2312" w:cs="仿宋_GB2312" w:eastAsia="仿宋_GB2312"/>
                      <w:sz w:val="18"/>
                    </w:rPr>
                    <w:t>、维护</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16"/>
                  <w:vMerge/>
                  <w:tcBorders>
                    <w:top w:val="none" w:color="000000" w:sz="4"/>
                    <w:left w:val="none" w:color="000000" w:sz="4"/>
                    <w:bottom w:val="single" w:color="000000" w:sz="4"/>
                    <w:right w:val="single" w:color="000000" w:sz="4"/>
                  </w:tcBorders>
                </w:tcP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中心机房</w:t>
                  </w: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录音录像服务器软件</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来邦</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w:t>
                  </w:r>
                  <w:r>
                    <w:rPr>
                      <w:rFonts w:ascii="仿宋_GB2312" w:hAnsi="仿宋_GB2312" w:cs="仿宋_GB2312" w:eastAsia="仿宋_GB2312"/>
                      <w:sz w:val="18"/>
                    </w:rPr>
                    <w:t>软件</w:t>
                  </w:r>
                  <w:r>
                    <w:rPr>
                      <w:rFonts w:ascii="仿宋_GB2312" w:hAnsi="仿宋_GB2312" w:cs="仿宋_GB2312" w:eastAsia="仿宋_GB2312"/>
                      <w:sz w:val="18"/>
                    </w:rPr>
                    <w:t>运行</w:t>
                  </w:r>
                  <w:r>
                    <w:rPr>
                      <w:rFonts w:ascii="仿宋_GB2312" w:hAnsi="仿宋_GB2312" w:cs="仿宋_GB2312" w:eastAsia="仿宋_GB2312"/>
                      <w:sz w:val="18"/>
                    </w:rPr>
                    <w:t>检测、</w:t>
                  </w:r>
                  <w:r>
                    <w:rPr>
                      <w:rFonts w:ascii="仿宋_GB2312" w:hAnsi="仿宋_GB2312" w:cs="仿宋_GB2312" w:eastAsia="仿宋_GB2312"/>
                      <w:sz w:val="18"/>
                    </w:rPr>
                    <w:t>保障</w:t>
                  </w:r>
                  <w:r>
                    <w:rPr>
                      <w:rFonts w:ascii="仿宋_GB2312" w:hAnsi="仿宋_GB2312" w:cs="仿宋_GB2312" w:eastAsia="仿宋_GB2312"/>
                      <w:sz w:val="18"/>
                    </w:rPr>
                    <w:t>、维护</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16"/>
                  <w:vMerge/>
                  <w:tcBorders>
                    <w:top w:val="none" w:color="000000" w:sz="4"/>
                    <w:left w:val="none" w:color="000000" w:sz="4"/>
                    <w:bottom w:val="single" w:color="000000" w:sz="4"/>
                    <w:right w:val="single" w:color="000000" w:sz="4"/>
                  </w:tcBorders>
                </w:tcP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中心机房</w:t>
                  </w: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点名软件</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来邦</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w:t>
                  </w:r>
                  <w:r>
                    <w:rPr>
                      <w:rFonts w:ascii="仿宋_GB2312" w:hAnsi="仿宋_GB2312" w:cs="仿宋_GB2312" w:eastAsia="仿宋_GB2312"/>
                      <w:sz w:val="18"/>
                    </w:rPr>
                    <w:t>软件</w:t>
                  </w:r>
                  <w:r>
                    <w:rPr>
                      <w:rFonts w:ascii="仿宋_GB2312" w:hAnsi="仿宋_GB2312" w:cs="仿宋_GB2312" w:eastAsia="仿宋_GB2312"/>
                      <w:sz w:val="18"/>
                    </w:rPr>
                    <w:t>运行</w:t>
                  </w:r>
                  <w:r>
                    <w:rPr>
                      <w:rFonts w:ascii="仿宋_GB2312" w:hAnsi="仿宋_GB2312" w:cs="仿宋_GB2312" w:eastAsia="仿宋_GB2312"/>
                      <w:sz w:val="18"/>
                    </w:rPr>
                    <w:t>检测、</w:t>
                  </w:r>
                  <w:r>
                    <w:rPr>
                      <w:rFonts w:ascii="仿宋_GB2312" w:hAnsi="仿宋_GB2312" w:cs="仿宋_GB2312" w:eastAsia="仿宋_GB2312"/>
                      <w:sz w:val="18"/>
                    </w:rPr>
                    <w:t>保障</w:t>
                  </w:r>
                  <w:r>
                    <w:rPr>
                      <w:rFonts w:ascii="仿宋_GB2312" w:hAnsi="仿宋_GB2312" w:cs="仿宋_GB2312" w:eastAsia="仿宋_GB2312"/>
                      <w:sz w:val="18"/>
                    </w:rPr>
                    <w:t>、维护</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16"/>
                  <w:vMerge/>
                  <w:tcBorders>
                    <w:top w:val="none" w:color="000000" w:sz="4"/>
                    <w:left w:val="none" w:color="000000" w:sz="4"/>
                    <w:bottom w:val="single" w:color="000000" w:sz="4"/>
                    <w:right w:val="single" w:color="000000" w:sz="4"/>
                  </w:tcBorders>
                </w:tcP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中心机房</w:t>
                  </w:r>
                </w:p>
              </w:tc>
              <w:tc>
                <w:tcPr>
                  <w:tcW w:type="dxa" w:w="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平台管理服务器软件</w:t>
                  </w:r>
                </w:p>
              </w:tc>
              <w:tc>
                <w:tcPr>
                  <w:tcW w:type="dxa" w:w="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1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来邦</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w:t>
                  </w:r>
                  <w:r>
                    <w:rPr>
                      <w:rFonts w:ascii="仿宋_GB2312" w:hAnsi="仿宋_GB2312" w:cs="仿宋_GB2312" w:eastAsia="仿宋_GB2312"/>
                      <w:sz w:val="18"/>
                    </w:rPr>
                    <w:t>软件</w:t>
                  </w:r>
                  <w:r>
                    <w:rPr>
                      <w:rFonts w:ascii="仿宋_GB2312" w:hAnsi="仿宋_GB2312" w:cs="仿宋_GB2312" w:eastAsia="仿宋_GB2312"/>
                      <w:sz w:val="18"/>
                    </w:rPr>
                    <w:t>运行</w:t>
                  </w:r>
                  <w:r>
                    <w:rPr>
                      <w:rFonts w:ascii="仿宋_GB2312" w:hAnsi="仿宋_GB2312" w:cs="仿宋_GB2312" w:eastAsia="仿宋_GB2312"/>
                      <w:sz w:val="18"/>
                    </w:rPr>
                    <w:t>检测、</w:t>
                  </w:r>
                  <w:r>
                    <w:rPr>
                      <w:rFonts w:ascii="仿宋_GB2312" w:hAnsi="仿宋_GB2312" w:cs="仿宋_GB2312" w:eastAsia="仿宋_GB2312"/>
                      <w:sz w:val="18"/>
                    </w:rPr>
                    <w:t>保障</w:t>
                  </w:r>
                  <w:r>
                    <w:rPr>
                      <w:rFonts w:ascii="仿宋_GB2312" w:hAnsi="仿宋_GB2312" w:cs="仿宋_GB2312" w:eastAsia="仿宋_GB2312"/>
                      <w:sz w:val="18"/>
                    </w:rPr>
                    <w:t>、维护</w:t>
                  </w:r>
                </w:p>
              </w:tc>
            </w:tr>
          </w:tbl>
          <w:p>
            <w:pPr>
              <w:pStyle w:val="null3"/>
              <w:spacing w:before="60" w:after="60"/>
              <w:jc w:val="left"/>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系统软件检测维护方式</w:t>
            </w:r>
          </w:p>
          <w:p>
            <w:pPr>
              <w:pStyle w:val="null3"/>
              <w:spacing w:before="60" w:after="60"/>
              <w:jc w:val="left"/>
            </w:pPr>
            <w:r>
              <w:rPr>
                <w:rFonts w:ascii="仿宋_GB2312" w:hAnsi="仿宋_GB2312" w:cs="仿宋_GB2312" w:eastAsia="仿宋_GB2312"/>
                <w:sz w:val="18"/>
              </w:rPr>
              <w:t>系统软件维护期间，需安排一名技术负责人，且经过专业培训，并取得相关培训证书或证明材料，具备</w:t>
            </w:r>
            <w:r>
              <w:rPr>
                <w:rFonts w:ascii="仿宋_GB2312" w:hAnsi="仿宋_GB2312" w:cs="仿宋_GB2312" w:eastAsia="仿宋_GB2312"/>
                <w:sz w:val="18"/>
              </w:rPr>
              <w:t>1年以上相关工作经验，熟练掌握来邦</w:t>
            </w:r>
            <w:r>
              <w:rPr>
                <w:rFonts w:ascii="仿宋_GB2312" w:hAnsi="仿宋_GB2312" w:cs="仿宋_GB2312" w:eastAsia="仿宋_GB2312"/>
                <w:sz w:val="18"/>
              </w:rPr>
              <w:t>及其他</w:t>
            </w:r>
            <w:r>
              <w:rPr>
                <w:rFonts w:ascii="仿宋_GB2312" w:hAnsi="仿宋_GB2312" w:cs="仿宋_GB2312" w:eastAsia="仿宋_GB2312"/>
                <w:sz w:val="18"/>
              </w:rPr>
              <w:t>对讲产品系统软件、常用硬件的安装及使用方法，常见问题处理方法，具有较强的沟通协调能力，负责对本项目内的所有区域对讲后台管理软件的升级维护及故障处理。</w:t>
            </w:r>
          </w:p>
          <w:p>
            <w:pPr>
              <w:pStyle w:val="null3"/>
              <w:spacing w:before="60" w:after="60"/>
              <w:jc w:val="left"/>
            </w:pPr>
            <w:r>
              <w:rPr>
                <w:rFonts w:ascii="仿宋_GB2312" w:hAnsi="仿宋_GB2312" w:cs="仿宋_GB2312" w:eastAsia="仿宋_GB2312"/>
                <w:sz w:val="18"/>
              </w:rPr>
              <w:t xml:space="preserve">5. </w:t>
            </w:r>
            <w:r>
              <w:rPr>
                <w:rFonts w:ascii="仿宋_GB2312" w:hAnsi="仿宋_GB2312" w:cs="仿宋_GB2312" w:eastAsia="仿宋_GB2312"/>
                <w:sz w:val="18"/>
              </w:rPr>
              <w:t>系统软件检测维护要求</w:t>
            </w:r>
          </w:p>
          <w:p>
            <w:pPr>
              <w:pStyle w:val="null3"/>
              <w:spacing w:before="60" w:after="60"/>
              <w:jc w:val="left"/>
            </w:pPr>
            <w:r>
              <w:rPr>
                <w:rFonts w:ascii="仿宋_GB2312" w:hAnsi="仿宋_GB2312" w:cs="仿宋_GB2312" w:eastAsia="仿宋_GB2312"/>
                <w:sz w:val="18"/>
              </w:rPr>
              <w:t>（</w:t>
            </w:r>
            <w:r>
              <w:rPr>
                <w:rFonts w:ascii="仿宋_GB2312" w:hAnsi="仿宋_GB2312" w:cs="仿宋_GB2312" w:eastAsia="仿宋_GB2312"/>
                <w:sz w:val="18"/>
              </w:rPr>
              <w:t>1）主要针对此项目来邦对讲系统后台管理软件进行检测，维护，确保软件正常运行。</w:t>
            </w:r>
          </w:p>
          <w:p>
            <w:pPr>
              <w:pStyle w:val="null3"/>
              <w:spacing w:before="60" w:after="60"/>
              <w:jc w:val="left"/>
            </w:pPr>
            <w:r>
              <w:rPr>
                <w:rFonts w:ascii="仿宋_GB2312" w:hAnsi="仿宋_GB2312" w:cs="仿宋_GB2312" w:eastAsia="仿宋_GB2312"/>
                <w:sz w:val="18"/>
              </w:rPr>
              <w:t>（</w:t>
            </w:r>
            <w:r>
              <w:rPr>
                <w:rFonts w:ascii="仿宋_GB2312" w:hAnsi="仿宋_GB2312" w:cs="仿宋_GB2312" w:eastAsia="仿宋_GB2312"/>
                <w:sz w:val="18"/>
              </w:rPr>
              <w:t>2）维修响应时间：提供7*24小时电话技术支持服务，对用户反馈的任何产品质量问题均在2小时内响应并将处理结果及时告知用户，以保证系统正常使用。</w:t>
            </w:r>
          </w:p>
          <w:p>
            <w:pPr>
              <w:pStyle w:val="null3"/>
              <w:spacing w:before="60" w:after="60"/>
              <w:jc w:val="left"/>
            </w:pPr>
            <w:r>
              <w:rPr>
                <w:rFonts w:ascii="仿宋_GB2312" w:hAnsi="仿宋_GB2312" w:cs="仿宋_GB2312" w:eastAsia="仿宋_GB2312"/>
                <w:sz w:val="18"/>
              </w:rPr>
              <w:t>6.培训要求</w:t>
            </w:r>
          </w:p>
          <w:p>
            <w:pPr>
              <w:pStyle w:val="null3"/>
              <w:spacing w:before="60" w:after="60"/>
              <w:jc w:val="left"/>
            </w:pPr>
            <w:r>
              <w:rPr>
                <w:rFonts w:ascii="仿宋_GB2312" w:hAnsi="仿宋_GB2312" w:cs="仿宋_GB2312" w:eastAsia="仿宋_GB2312"/>
                <w:sz w:val="18"/>
              </w:rPr>
              <w:t>（</w:t>
            </w:r>
            <w:r>
              <w:rPr>
                <w:rFonts w:ascii="仿宋_GB2312" w:hAnsi="仿宋_GB2312" w:cs="仿宋_GB2312" w:eastAsia="仿宋_GB2312"/>
                <w:sz w:val="18"/>
              </w:rPr>
              <w:t>1）集中培训</w:t>
            </w:r>
          </w:p>
          <w:p>
            <w:pPr>
              <w:pStyle w:val="null3"/>
              <w:spacing w:before="60" w:after="60"/>
              <w:jc w:val="left"/>
            </w:pPr>
            <w:r>
              <w:rPr>
                <w:rFonts w:ascii="仿宋_GB2312" w:hAnsi="仿宋_GB2312" w:cs="仿宋_GB2312" w:eastAsia="仿宋_GB2312"/>
                <w:sz w:val="18"/>
              </w:rPr>
              <w:t>针对系统软件维护常识、设备特性、使用经验进行介绍，并对常见故障处理、其他领域典型案例等问题进行汇总分析，与甲方协商培训时间进行集中培训，</w:t>
            </w:r>
            <w:r>
              <w:rPr>
                <w:rFonts w:ascii="仿宋_GB2312" w:hAnsi="仿宋_GB2312" w:cs="仿宋_GB2312" w:eastAsia="仿宋_GB2312"/>
                <w:sz w:val="18"/>
              </w:rPr>
              <w:t>以提高甲方整体维护能力。</w:t>
            </w:r>
          </w:p>
          <w:p>
            <w:pPr>
              <w:pStyle w:val="null3"/>
              <w:spacing w:before="60" w:after="60"/>
              <w:jc w:val="left"/>
            </w:pPr>
            <w:r>
              <w:rPr>
                <w:rFonts w:ascii="仿宋_GB2312" w:hAnsi="仿宋_GB2312" w:cs="仿宋_GB2312" w:eastAsia="仿宋_GB2312"/>
                <w:sz w:val="18"/>
              </w:rPr>
              <w:t>（</w:t>
            </w:r>
            <w:r>
              <w:rPr>
                <w:rFonts w:ascii="仿宋_GB2312" w:hAnsi="仿宋_GB2312" w:cs="仿宋_GB2312" w:eastAsia="仿宋_GB2312"/>
                <w:sz w:val="18"/>
              </w:rPr>
              <w:t>2）现场培训</w:t>
            </w:r>
          </w:p>
          <w:p>
            <w:pPr>
              <w:pStyle w:val="null3"/>
              <w:spacing w:before="60" w:after="60"/>
              <w:jc w:val="left"/>
            </w:pPr>
            <w:r>
              <w:rPr>
                <w:rFonts w:ascii="仿宋_GB2312" w:hAnsi="仿宋_GB2312" w:cs="仿宋_GB2312" w:eastAsia="仿宋_GB2312"/>
                <w:sz w:val="18"/>
              </w:rPr>
              <w:t>系统软件维护人员将现场服务中故障发生的原因、处理过程、以及类似故障的预防和处理过程的问题对甲方的技术人员进行培训，并对重大问题重点宣讲。</w:t>
            </w:r>
          </w:p>
          <w:p>
            <w:pPr>
              <w:pStyle w:val="null3"/>
              <w:spacing w:before="240" w:after="120"/>
              <w:outlineLvl w:val="2"/>
            </w:pPr>
            <w:r>
              <w:rPr>
                <w:rFonts w:ascii="仿宋_GB2312" w:hAnsi="仿宋_GB2312" w:cs="仿宋_GB2312" w:eastAsia="仿宋_GB2312"/>
                <w:sz w:val="22"/>
                <w:b/>
              </w:rPr>
              <w:t>（三）网络部分</w:t>
            </w:r>
          </w:p>
          <w:p>
            <w:pPr>
              <w:pStyle w:val="null3"/>
              <w:spacing w:before="60" w:after="60"/>
              <w:jc w:val="left"/>
            </w:pPr>
            <w:r>
              <w:rPr>
                <w:rFonts w:ascii="仿宋_GB2312" w:hAnsi="仿宋_GB2312" w:cs="仿宋_GB2312" w:eastAsia="仿宋_GB2312"/>
                <w:sz w:val="18"/>
              </w:rPr>
              <w:t>1.采购内容</w:t>
            </w:r>
          </w:p>
          <w:p>
            <w:pPr>
              <w:pStyle w:val="null3"/>
              <w:spacing w:before="60" w:after="60"/>
              <w:jc w:val="left"/>
            </w:pPr>
            <w:r>
              <w:rPr>
                <w:rFonts w:ascii="仿宋_GB2312" w:hAnsi="仿宋_GB2312" w:cs="仿宋_GB2312" w:eastAsia="仿宋_GB2312"/>
                <w:sz w:val="18"/>
              </w:rPr>
              <w:t>路由器</w:t>
            </w:r>
            <w:r>
              <w:rPr>
                <w:rFonts w:ascii="仿宋_GB2312" w:hAnsi="仿宋_GB2312" w:cs="仿宋_GB2312" w:eastAsia="仿宋_GB2312"/>
                <w:sz w:val="18"/>
              </w:rPr>
              <w:t>1台，具体配置及技术参数要求如下：</w:t>
            </w:r>
          </w:p>
          <w:tbl>
            <w:tblPr>
              <w:tblInd w:type="dxa" w:w="120"/>
              <w:tblBorders>
                <w:top w:val="none" w:color="000000" w:sz="4"/>
                <w:left w:val="none" w:color="000000" w:sz="4"/>
                <w:bottom w:val="none" w:color="000000" w:sz="4"/>
                <w:right w:val="none" w:color="000000" w:sz="4"/>
                <w:insideH w:val="none"/>
                <w:insideV w:val="none"/>
              </w:tblBorders>
            </w:tblPr>
            <w:tblGrid>
              <w:gridCol w:w="145"/>
              <w:gridCol w:w="2403"/>
            </w:tblGrid>
            <w:tr>
              <w:tc>
                <w:tcPr>
                  <w:tcW w:type="dxa" w:w="145"/>
                  <w:tcBorders>
                    <w:top w:val="singl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b/>
                    </w:rPr>
                    <w:t>序号</w:t>
                  </w:r>
                </w:p>
              </w:tc>
              <w:tc>
                <w:tcPr>
                  <w:tcW w:type="dxa" w:w="2403"/>
                  <w:tcBorders>
                    <w:top w:val="singl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b/>
                    </w:rPr>
                    <w:t>技术参数要求</w:t>
                  </w:r>
                </w:p>
              </w:tc>
            </w:tr>
            <w:tr>
              <w:tc>
                <w:tcPr>
                  <w:tcW w:type="dxa" w:w="14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1</w:t>
                  </w:r>
                </w:p>
              </w:tc>
              <w:tc>
                <w:tcPr>
                  <w:tcW w:type="dxa" w:w="240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left"/>
                  </w:pPr>
                  <w:r>
                    <w:rPr>
                      <w:rFonts w:ascii="仿宋_GB2312" w:hAnsi="仿宋_GB2312" w:cs="仿宋_GB2312" w:eastAsia="仿宋_GB2312"/>
                      <w:sz w:val="18"/>
                      <w:b/>
                    </w:rPr>
                    <w:t>★支持交换容量≥160Tbps，支持包转发率≥28000Mpps，提供官网截图及链接证明；</w:t>
                  </w:r>
                </w:p>
              </w:tc>
            </w:tr>
            <w:tr>
              <w:tc>
                <w:tcPr>
                  <w:tcW w:type="dxa" w:w="14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2</w:t>
                  </w:r>
                </w:p>
              </w:tc>
              <w:tc>
                <w:tcPr>
                  <w:tcW w:type="dxa" w:w="240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left"/>
                  </w:pPr>
                  <w:r>
                    <w:rPr>
                      <w:rFonts w:ascii="仿宋_GB2312" w:hAnsi="仿宋_GB2312" w:cs="仿宋_GB2312" w:eastAsia="仿宋_GB2312"/>
                      <w:sz w:val="18"/>
                    </w:rPr>
                    <w:t>设备关键芯片（主控</w:t>
                  </w:r>
                  <w:r>
                    <w:rPr>
                      <w:rFonts w:ascii="仿宋_GB2312" w:hAnsi="仿宋_GB2312" w:cs="仿宋_GB2312" w:eastAsia="仿宋_GB2312"/>
                      <w:sz w:val="18"/>
                    </w:rPr>
                    <w:t>CPU芯片、NP转发芯片）采用国产化芯片，并提供权威第三方报告；</w:t>
                  </w:r>
                </w:p>
              </w:tc>
            </w:tr>
            <w:tr>
              <w:tc>
                <w:tcPr>
                  <w:tcW w:type="dxa" w:w="14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3</w:t>
                  </w:r>
                </w:p>
              </w:tc>
              <w:tc>
                <w:tcPr>
                  <w:tcW w:type="dxa" w:w="240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left"/>
                  </w:pPr>
                  <w:r>
                    <w:rPr>
                      <w:rFonts w:ascii="仿宋_GB2312" w:hAnsi="仿宋_GB2312" w:cs="仿宋_GB2312" w:eastAsia="仿宋_GB2312"/>
                      <w:sz w:val="18"/>
                    </w:rPr>
                    <w:t>支持</w:t>
                  </w:r>
                  <w:r>
                    <w:rPr>
                      <w:rFonts w:ascii="仿宋_GB2312" w:hAnsi="仿宋_GB2312" w:cs="仿宋_GB2312" w:eastAsia="仿宋_GB2312"/>
                      <w:sz w:val="18"/>
                    </w:rPr>
                    <w:t>RIP、OSPF、IS-IS、BGP等路由协议；</w:t>
                  </w:r>
                </w:p>
              </w:tc>
            </w:tr>
            <w:tr>
              <w:tc>
                <w:tcPr>
                  <w:tcW w:type="dxa" w:w="14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4</w:t>
                  </w:r>
                </w:p>
              </w:tc>
              <w:tc>
                <w:tcPr>
                  <w:tcW w:type="dxa" w:w="240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left"/>
                  </w:pPr>
                  <w:r>
                    <w:rPr>
                      <w:rFonts w:ascii="仿宋_GB2312" w:hAnsi="仿宋_GB2312" w:cs="仿宋_GB2312" w:eastAsia="仿宋_GB2312"/>
                      <w:sz w:val="18"/>
                    </w:rPr>
                    <w:t>整机业务板槽位数不少于</w:t>
                  </w:r>
                  <w:r>
                    <w:rPr>
                      <w:rFonts w:ascii="仿宋_GB2312" w:hAnsi="仿宋_GB2312" w:cs="仿宋_GB2312" w:eastAsia="仿宋_GB2312"/>
                      <w:sz w:val="18"/>
                    </w:rPr>
                    <w:t>6个；业务板类型支持50GE/25GE/10GE/GE/FE/CPOS/E1；</w:t>
                  </w:r>
                </w:p>
              </w:tc>
            </w:tr>
            <w:tr>
              <w:tc>
                <w:tcPr>
                  <w:tcW w:type="dxa" w:w="14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5</w:t>
                  </w:r>
                </w:p>
              </w:tc>
              <w:tc>
                <w:tcPr>
                  <w:tcW w:type="dxa" w:w="240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left"/>
                  </w:pPr>
                  <w:r>
                    <w:rPr>
                      <w:rFonts w:ascii="仿宋_GB2312" w:hAnsi="仿宋_GB2312" w:cs="仿宋_GB2312" w:eastAsia="仿宋_GB2312"/>
                      <w:sz w:val="18"/>
                    </w:rPr>
                    <w:t>支持</w:t>
                  </w:r>
                  <w:r>
                    <w:rPr>
                      <w:rFonts w:ascii="仿宋_GB2312" w:hAnsi="仿宋_GB2312" w:cs="仿宋_GB2312" w:eastAsia="仿宋_GB2312"/>
                      <w:sz w:val="18"/>
                    </w:rPr>
                    <w:t>LDP LSP、RSVP-TE、SR-MPLS等MPLS技术；</w:t>
                  </w:r>
                </w:p>
              </w:tc>
            </w:tr>
            <w:tr>
              <w:tc>
                <w:tcPr>
                  <w:tcW w:type="dxa" w:w="14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6</w:t>
                  </w:r>
                </w:p>
              </w:tc>
              <w:tc>
                <w:tcPr>
                  <w:tcW w:type="dxa" w:w="240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left"/>
                  </w:pPr>
                  <w:r>
                    <w:rPr>
                      <w:rFonts w:ascii="仿宋_GB2312" w:hAnsi="仿宋_GB2312" w:cs="仿宋_GB2312" w:eastAsia="仿宋_GB2312"/>
                      <w:sz w:val="18"/>
                    </w:rPr>
                    <w:t>设备支持双主控双交换双转发架构，支持电源冗余；</w:t>
                  </w:r>
                </w:p>
              </w:tc>
            </w:tr>
            <w:tr>
              <w:tc>
                <w:tcPr>
                  <w:tcW w:type="dxa" w:w="14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7</w:t>
                  </w:r>
                </w:p>
              </w:tc>
              <w:tc>
                <w:tcPr>
                  <w:tcW w:type="dxa" w:w="240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left"/>
                  </w:pPr>
                  <w:r>
                    <w:rPr>
                      <w:rFonts w:ascii="仿宋_GB2312" w:hAnsi="仿宋_GB2312" w:cs="仿宋_GB2312" w:eastAsia="仿宋_GB2312"/>
                      <w:sz w:val="18"/>
                    </w:rPr>
                    <w:t>整机高度</w:t>
                  </w:r>
                  <w:r>
                    <w:rPr>
                      <w:rFonts w:ascii="仿宋_GB2312" w:hAnsi="仿宋_GB2312" w:cs="仿宋_GB2312" w:eastAsia="仿宋_GB2312"/>
                      <w:sz w:val="18"/>
                    </w:rPr>
                    <w:t>≤2U；</w:t>
                  </w:r>
                </w:p>
              </w:tc>
            </w:tr>
            <w:tr>
              <w:tc>
                <w:tcPr>
                  <w:tcW w:type="dxa" w:w="14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8</w:t>
                  </w:r>
                </w:p>
              </w:tc>
              <w:tc>
                <w:tcPr>
                  <w:tcW w:type="dxa" w:w="240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left"/>
                  </w:pPr>
                  <w:r>
                    <w:rPr>
                      <w:rFonts w:ascii="仿宋_GB2312" w:hAnsi="仿宋_GB2312" w:cs="仿宋_GB2312" w:eastAsia="仿宋_GB2312"/>
                      <w:sz w:val="18"/>
                    </w:rPr>
                    <w:t>设备</w:t>
                  </w:r>
                  <w:r>
                    <w:rPr>
                      <w:rFonts w:ascii="仿宋_GB2312" w:hAnsi="仿宋_GB2312" w:cs="仿宋_GB2312" w:eastAsia="仿宋_GB2312"/>
                      <w:sz w:val="18"/>
                    </w:rPr>
                    <w:t>10GE端口支持网络硬切片（FlexE）；</w:t>
                  </w:r>
                </w:p>
              </w:tc>
            </w:tr>
            <w:tr>
              <w:tc>
                <w:tcPr>
                  <w:tcW w:type="dxa" w:w="14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9</w:t>
                  </w:r>
                </w:p>
              </w:tc>
              <w:tc>
                <w:tcPr>
                  <w:tcW w:type="dxa" w:w="240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left"/>
                  </w:pPr>
                  <w:r>
                    <w:rPr>
                      <w:rFonts w:ascii="仿宋_GB2312" w:hAnsi="仿宋_GB2312" w:cs="仿宋_GB2312" w:eastAsia="仿宋_GB2312"/>
                      <w:sz w:val="18"/>
                    </w:rPr>
                    <w:t>支持动态下发</w:t>
                  </w:r>
                  <w:r>
                    <w:rPr>
                      <w:rFonts w:ascii="仿宋_GB2312" w:hAnsi="仿宋_GB2312" w:cs="仿宋_GB2312" w:eastAsia="仿宋_GB2312"/>
                      <w:sz w:val="18"/>
                    </w:rPr>
                    <w:t>EVPN VPWS over SRv6 TE policy功能，实现SRv6承载L2VPN业务场景；</w:t>
                  </w:r>
                </w:p>
              </w:tc>
            </w:tr>
            <w:tr>
              <w:tc>
                <w:tcPr>
                  <w:tcW w:type="dxa" w:w="14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10</w:t>
                  </w:r>
                </w:p>
              </w:tc>
              <w:tc>
                <w:tcPr>
                  <w:tcW w:type="dxa" w:w="240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left"/>
                  </w:pPr>
                  <w:r>
                    <w:rPr>
                      <w:rFonts w:ascii="仿宋_GB2312" w:hAnsi="仿宋_GB2312" w:cs="仿宋_GB2312" w:eastAsia="仿宋_GB2312"/>
                      <w:sz w:val="18"/>
                    </w:rPr>
                    <w:t>▲本次配置双主控，双电源，万兆光口≥2个，千兆光口≥10个，千兆电口≥8个，千兆多模光模块≥2个，万兆多模光模块≥5个，相应的跳线辅材以及提供三年维保服务，供应商应承诺在设备生命周期内提供及时的技术支持和配件供应，确保系统稳定运行。</w:t>
                  </w:r>
                </w:p>
              </w:tc>
            </w:tr>
          </w:tbl>
          <w:p>
            <w:pPr>
              <w:pStyle w:val="null3"/>
              <w:spacing w:before="60" w:after="60"/>
              <w:jc w:val="left"/>
            </w:pPr>
            <w:r>
              <w:rPr>
                <w:rFonts w:ascii="仿宋_GB2312" w:hAnsi="仿宋_GB2312" w:cs="仿宋_GB2312" w:eastAsia="仿宋_GB2312"/>
                <w:sz w:val="18"/>
              </w:rPr>
              <w:t>2.网络设备维保及运维服务</w:t>
            </w:r>
          </w:p>
          <w:p>
            <w:pPr>
              <w:pStyle w:val="null3"/>
              <w:spacing w:before="60" w:after="60"/>
              <w:jc w:val="left"/>
            </w:pPr>
            <w:r>
              <w:rPr>
                <w:rFonts w:ascii="仿宋_GB2312" w:hAnsi="仿宋_GB2312" w:cs="仿宋_GB2312" w:eastAsia="仿宋_GB2312"/>
                <w:sz w:val="18"/>
              </w:rPr>
              <w:t>（</w:t>
            </w:r>
            <w:r>
              <w:rPr>
                <w:rFonts w:ascii="仿宋_GB2312" w:hAnsi="仿宋_GB2312" w:cs="仿宋_GB2312" w:eastAsia="仿宋_GB2312"/>
                <w:sz w:val="18"/>
              </w:rPr>
              <w:t>1）维保范围</w:t>
            </w:r>
          </w:p>
          <w:p>
            <w:pPr>
              <w:pStyle w:val="null3"/>
              <w:spacing w:before="60" w:after="60"/>
              <w:jc w:val="left"/>
            </w:pPr>
            <w:r>
              <w:rPr>
                <w:rFonts w:ascii="仿宋_GB2312" w:hAnsi="仿宋_GB2312" w:cs="仿宋_GB2312" w:eastAsia="仿宋_GB2312"/>
                <w:sz w:val="18"/>
              </w:rPr>
              <w:t>西安监狱现有全部网络设备、云计算平台、视频监控与数据存储系统及相关安防业务系统的维护服务，包括但不限于核心路由器、汇聚交换机、接入交换机、防火墙、云计算虚拟化平台、网络录像机（</w:t>
            </w:r>
            <w:r>
              <w:rPr>
                <w:rFonts w:ascii="仿宋_GB2312" w:hAnsi="仿宋_GB2312" w:cs="仿宋_GB2312" w:eastAsia="仿宋_GB2312"/>
                <w:sz w:val="18"/>
              </w:rPr>
              <w:t>NVR）、存储阵列（SAN/NAS）、磁盘阵列（RAID）、视频监控前端设备、视频传输网络、解码器及显示终端等。</w:t>
            </w:r>
          </w:p>
          <w:p>
            <w:pPr>
              <w:pStyle w:val="null3"/>
              <w:spacing w:before="60" w:after="60"/>
              <w:jc w:val="left"/>
            </w:pPr>
            <w:r>
              <w:rPr>
                <w:rFonts w:ascii="仿宋_GB2312" w:hAnsi="仿宋_GB2312" w:cs="仿宋_GB2312" w:eastAsia="仿宋_GB2312"/>
                <w:sz w:val="18"/>
              </w:rPr>
              <w:t>（</w:t>
            </w:r>
            <w:r>
              <w:rPr>
                <w:rFonts w:ascii="仿宋_GB2312" w:hAnsi="仿宋_GB2312" w:cs="仿宋_GB2312" w:eastAsia="仿宋_GB2312"/>
                <w:sz w:val="18"/>
              </w:rPr>
              <w:t>2）维保期限</w:t>
            </w:r>
          </w:p>
          <w:p>
            <w:pPr>
              <w:pStyle w:val="null3"/>
              <w:spacing w:before="60" w:after="60"/>
              <w:jc w:val="left"/>
            </w:pPr>
            <w:r>
              <w:rPr>
                <w:rFonts w:ascii="仿宋_GB2312" w:hAnsi="仿宋_GB2312" w:cs="仿宋_GB2312" w:eastAsia="仿宋_GB2312"/>
                <w:sz w:val="18"/>
              </w:rPr>
              <w:t>自合同签订之日起一年。</w:t>
            </w:r>
          </w:p>
          <w:p>
            <w:pPr>
              <w:pStyle w:val="null3"/>
              <w:spacing w:before="60" w:after="60"/>
              <w:jc w:val="left"/>
            </w:pPr>
            <w:r>
              <w:rPr>
                <w:rFonts w:ascii="仿宋_GB2312" w:hAnsi="仿宋_GB2312" w:cs="仿宋_GB2312" w:eastAsia="仿宋_GB2312"/>
                <w:sz w:val="18"/>
              </w:rPr>
              <w:t>（</w:t>
            </w:r>
            <w:r>
              <w:rPr>
                <w:rFonts w:ascii="仿宋_GB2312" w:hAnsi="仿宋_GB2312" w:cs="仿宋_GB2312" w:eastAsia="仿宋_GB2312"/>
                <w:sz w:val="18"/>
              </w:rPr>
              <w:t>3）维保服务内容</w:t>
            </w:r>
          </w:p>
          <w:tbl>
            <w:tblPr>
              <w:tblInd w:type="dxa" w:w="105"/>
              <w:tblBorders>
                <w:top w:val="none" w:color="000000" w:sz="4"/>
                <w:left w:val="none" w:color="000000" w:sz="4"/>
                <w:bottom w:val="none" w:color="000000" w:sz="4"/>
                <w:right w:val="none" w:color="000000" w:sz="4"/>
                <w:insideH w:val="none"/>
                <w:insideV w:val="none"/>
              </w:tblBorders>
            </w:tblPr>
            <w:tblGrid>
              <w:gridCol w:w="210"/>
              <w:gridCol w:w="306"/>
              <w:gridCol w:w="2027"/>
            </w:tblGrid>
            <w:tr>
              <w:tc>
                <w:tcPr>
                  <w:tcW w:type="dxa" w:w="210"/>
                  <w:tcBorders>
                    <w:top w:val="singl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b/>
                    </w:rPr>
                    <w:t>序号</w:t>
                  </w:r>
                </w:p>
              </w:tc>
              <w:tc>
                <w:tcPr>
                  <w:tcW w:type="dxa" w:w="306"/>
                  <w:tcBorders>
                    <w:top w:val="singl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b/>
                    </w:rPr>
                    <w:t>服务项目</w:t>
                  </w:r>
                </w:p>
              </w:tc>
              <w:tc>
                <w:tcPr>
                  <w:tcW w:type="dxa" w:w="2027"/>
                  <w:tcBorders>
                    <w:top w:val="singl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b/>
                    </w:rPr>
                    <w:t>服务内容及要求</w:t>
                  </w:r>
                </w:p>
              </w:tc>
            </w:tr>
            <w:tr>
              <w:tc>
                <w:tcPr>
                  <w:tcW w:type="dxa" w:w="21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w:t>
                  </w:r>
                </w:p>
              </w:tc>
              <w:tc>
                <w:tcPr>
                  <w:tcW w:type="dxa" w:w="306"/>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▲网络丢包故障诊断修复</w:t>
                  </w:r>
                </w:p>
              </w:tc>
              <w:tc>
                <w:tcPr>
                  <w:tcW w:type="dxa" w:w="20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left"/>
                  </w:pPr>
                  <w:r>
                    <w:rPr>
                      <w:rFonts w:ascii="仿宋_GB2312" w:hAnsi="仿宋_GB2312" w:cs="仿宋_GB2312" w:eastAsia="仿宋_GB2312"/>
                      <w:sz w:val="18"/>
                    </w:rPr>
                    <w:t>本项服务涵盖采购人现有网络环境中所有网络设备（包括但不限于核心交换机、汇聚交换机、接入交换机、路由器、防火墙等）在运行过程中出现的各类丢包故障的诊断、定位与修复；</w:t>
                  </w:r>
                </w:p>
              </w:tc>
            </w:tr>
            <w:tr>
              <w:tc>
                <w:tcPr>
                  <w:tcW w:type="dxa" w:w="21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2</w:t>
                  </w:r>
                </w:p>
              </w:tc>
              <w:tc>
                <w:tcPr>
                  <w:tcW w:type="dxa" w:w="306"/>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云计算平台运维保障</w:t>
                  </w:r>
                </w:p>
              </w:tc>
              <w:tc>
                <w:tcPr>
                  <w:tcW w:type="dxa" w:w="20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left"/>
                  </w:pPr>
                  <w:r>
                    <w:rPr>
                      <w:rFonts w:ascii="仿宋_GB2312" w:hAnsi="仿宋_GB2312" w:cs="仿宋_GB2312" w:eastAsia="仿宋_GB2312"/>
                      <w:sz w:val="18"/>
                    </w:rPr>
                    <w:t>本项服务面向现有云计算平台（包括但不限于华为</w:t>
                  </w:r>
                  <w:r>
                    <w:rPr>
                      <w:rFonts w:ascii="仿宋_GB2312" w:hAnsi="仿宋_GB2312" w:cs="仿宋_GB2312" w:eastAsia="仿宋_GB2312"/>
                      <w:sz w:val="18"/>
                    </w:rPr>
                    <w:t>FusionCompute/FusionCube等虚拟化平台），提供日常运维保障、故障诊断处理、性能优化及应急响应等服务。服务范围涵盖管理节点（VRM）、计算节点（CNA）、虚拟机实例、虚拟网络（OVS/DVS）、虚拟存储及平台数据库等全部组件；</w:t>
                  </w:r>
                </w:p>
              </w:tc>
            </w:tr>
            <w:tr>
              <w:tc>
                <w:tcPr>
                  <w:tcW w:type="dxa" w:w="21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3</w:t>
                  </w:r>
                </w:p>
              </w:tc>
              <w:tc>
                <w:tcPr>
                  <w:tcW w:type="dxa" w:w="306"/>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存储技术服务</w:t>
                  </w:r>
                </w:p>
              </w:tc>
              <w:tc>
                <w:tcPr>
                  <w:tcW w:type="dxa" w:w="20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left"/>
                  </w:pPr>
                  <w:r>
                    <w:rPr>
                      <w:rFonts w:ascii="仿宋_GB2312" w:hAnsi="仿宋_GB2312" w:cs="仿宋_GB2312" w:eastAsia="仿宋_GB2312"/>
                      <w:sz w:val="18"/>
                    </w:rPr>
                    <w:t>本项服务面向视频监视系统、数据备份系统等存储业务，针对存储保留周期不达标、存储空间不足导致录像中断或提前覆盖等问题，提供存储容量评估、码流优化、扩容规划及存储策略调整等技术服务。服务对象包括</w:t>
                  </w:r>
                  <w:r>
                    <w:rPr>
                      <w:rFonts w:ascii="仿宋_GB2312" w:hAnsi="仿宋_GB2312" w:cs="仿宋_GB2312" w:eastAsia="仿宋_GB2312"/>
                      <w:sz w:val="18"/>
                    </w:rPr>
                    <w:t>NVR网络录像机、SAN/NAS存储阵列、磁盘阵列（RAID）及相关存储管理软件；</w:t>
                  </w:r>
                </w:p>
              </w:tc>
            </w:tr>
            <w:tr>
              <w:tc>
                <w:tcPr>
                  <w:tcW w:type="dxa" w:w="21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4</w:t>
                  </w:r>
                </w:p>
              </w:tc>
              <w:tc>
                <w:tcPr>
                  <w:tcW w:type="dxa" w:w="306"/>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▲视频监控画面修复</w:t>
                  </w:r>
                </w:p>
              </w:tc>
              <w:tc>
                <w:tcPr>
                  <w:tcW w:type="dxa" w:w="20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left"/>
                  </w:pPr>
                  <w:r>
                    <w:rPr>
                      <w:rFonts w:ascii="仿宋_GB2312" w:hAnsi="仿宋_GB2312" w:cs="仿宋_GB2312" w:eastAsia="仿宋_GB2312"/>
                      <w:sz w:val="18"/>
                    </w:rPr>
                    <w:t>本项服务面向视频</w:t>
                  </w:r>
                  <w:r>
                    <w:rPr>
                      <w:rFonts w:ascii="仿宋_GB2312" w:hAnsi="仿宋_GB2312" w:cs="仿宋_GB2312" w:eastAsia="仿宋_GB2312"/>
                      <w:sz w:val="18"/>
                    </w:rPr>
                    <w:t>监视系统</w:t>
                  </w:r>
                  <w:r>
                    <w:rPr>
                      <w:rFonts w:ascii="仿宋_GB2312" w:hAnsi="仿宋_GB2312" w:cs="仿宋_GB2312" w:eastAsia="仿宋_GB2312"/>
                      <w:sz w:val="18"/>
                    </w:rPr>
                    <w:t>（包括前端摄像机、视频传输网络、</w:t>
                  </w:r>
                  <w:r>
                    <w:rPr>
                      <w:rFonts w:ascii="仿宋_GB2312" w:hAnsi="仿宋_GB2312" w:cs="仿宋_GB2312" w:eastAsia="仿宋_GB2312"/>
                      <w:sz w:val="18"/>
                    </w:rPr>
                    <w:t>NVR/解码器、显示终端等全链路设备），针对监控画面出现花屏、条纹、色偏、马赛克、画面撕裂、绿屏等显示异常问题，提供故障诊断、定位与修复服务；</w:t>
                  </w:r>
                </w:p>
              </w:tc>
            </w:tr>
            <w:tr>
              <w:tc>
                <w:tcPr>
                  <w:tcW w:type="dxa" w:w="21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5</w:t>
                  </w:r>
                </w:p>
              </w:tc>
              <w:tc>
                <w:tcPr>
                  <w:tcW w:type="dxa" w:w="306"/>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预防性巡检服务</w:t>
                  </w:r>
                </w:p>
              </w:tc>
              <w:tc>
                <w:tcPr>
                  <w:tcW w:type="dxa" w:w="20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left"/>
                  </w:pPr>
                  <w:r>
                    <w:rPr>
                      <w:rFonts w:ascii="仿宋_GB2312" w:hAnsi="仿宋_GB2312" w:cs="仿宋_GB2312" w:eastAsia="仿宋_GB2312"/>
                      <w:sz w:val="18"/>
                    </w:rPr>
                    <w:t>本项服务面向现有全部网络设备（交换机、路由器、防火墙等）及存储设备（</w:t>
                  </w:r>
                  <w:r>
                    <w:rPr>
                      <w:rFonts w:ascii="仿宋_GB2312" w:hAnsi="仿宋_GB2312" w:cs="仿宋_GB2312" w:eastAsia="仿宋_GB2312"/>
                      <w:sz w:val="18"/>
                    </w:rPr>
                    <w:t>SAN/NAS存储阵列、NVR、磁盘阵列等），提供定期预防性巡检服务，通过系统性检查发现潜在隐患，保障设备稳定运行，降低故障发生率；</w:t>
                  </w:r>
                </w:p>
              </w:tc>
            </w:tr>
            <w:tr>
              <w:tc>
                <w:tcPr>
                  <w:tcW w:type="dxa" w:w="21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6</w:t>
                  </w:r>
                </w:p>
              </w:tc>
              <w:tc>
                <w:tcPr>
                  <w:tcW w:type="dxa" w:w="306"/>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故障处理</w:t>
                  </w:r>
                </w:p>
              </w:tc>
              <w:tc>
                <w:tcPr>
                  <w:tcW w:type="dxa" w:w="20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left"/>
                  </w:pPr>
                  <w:r>
                    <w:rPr>
                      <w:rFonts w:ascii="仿宋_GB2312" w:hAnsi="仿宋_GB2312" w:cs="仿宋_GB2312" w:eastAsia="仿宋_GB2312"/>
                      <w:sz w:val="18"/>
                    </w:rPr>
                    <w:t>提供</w:t>
                  </w:r>
                  <w:r>
                    <w:rPr>
                      <w:rFonts w:ascii="仿宋_GB2312" w:hAnsi="仿宋_GB2312" w:cs="仿宋_GB2312" w:eastAsia="仿宋_GB2312"/>
                      <w:sz w:val="18"/>
                    </w:rPr>
                    <w:t>7×24小时故障响应服务，响应时间≤30分钟，一般故障4小时内解决，重大故障2小时内到达现场、8小时内解决；</w:t>
                  </w:r>
                </w:p>
              </w:tc>
            </w:tr>
            <w:tr>
              <w:tc>
                <w:tcPr>
                  <w:tcW w:type="dxa" w:w="21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7</w:t>
                  </w:r>
                </w:p>
              </w:tc>
              <w:tc>
                <w:tcPr>
                  <w:tcW w:type="dxa" w:w="306"/>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配置优化</w:t>
                  </w:r>
                </w:p>
              </w:tc>
              <w:tc>
                <w:tcPr>
                  <w:tcW w:type="dxa" w:w="20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left"/>
                  </w:pPr>
                  <w:r>
                    <w:rPr>
                      <w:rFonts w:ascii="仿宋_GB2312" w:hAnsi="仿宋_GB2312" w:cs="仿宋_GB2312" w:eastAsia="仿宋_GB2312"/>
                      <w:sz w:val="18"/>
                    </w:rPr>
                    <w:t>根据网络运行情况及业务需求变化，定期对网络设备配置进行优化调整，包括但不限于路由策略优化、</w:t>
                  </w:r>
                  <w:r>
                    <w:rPr>
                      <w:rFonts w:ascii="仿宋_GB2312" w:hAnsi="仿宋_GB2312" w:cs="仿宋_GB2312" w:eastAsia="仿宋_GB2312"/>
                      <w:sz w:val="18"/>
                    </w:rPr>
                    <w:t>QoS策略调整、安全策略更新、存储策略调整等；</w:t>
                  </w:r>
                </w:p>
              </w:tc>
            </w:tr>
            <w:tr>
              <w:tc>
                <w:tcPr>
                  <w:tcW w:type="dxa" w:w="21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8</w:t>
                  </w:r>
                </w:p>
              </w:tc>
              <w:tc>
                <w:tcPr>
                  <w:tcW w:type="dxa" w:w="306"/>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软件升级</w:t>
                  </w:r>
                </w:p>
              </w:tc>
              <w:tc>
                <w:tcPr>
                  <w:tcW w:type="dxa" w:w="20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left"/>
                  </w:pPr>
                  <w:r>
                    <w:rPr>
                      <w:rFonts w:ascii="仿宋_GB2312" w:hAnsi="仿宋_GB2312" w:cs="仿宋_GB2312" w:eastAsia="仿宋_GB2312"/>
                      <w:sz w:val="18"/>
                    </w:rPr>
                    <w:t>跟踪官方发布的软件版本更新和安全补丁，制定升级方案并在窗口期实施，确保设备运行在稳定、安全的软件版本；</w:t>
                  </w:r>
                </w:p>
              </w:tc>
            </w:tr>
            <w:tr>
              <w:tc>
                <w:tcPr>
                  <w:tcW w:type="dxa" w:w="21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9</w:t>
                  </w:r>
                </w:p>
              </w:tc>
              <w:tc>
                <w:tcPr>
                  <w:tcW w:type="dxa" w:w="306"/>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应急演练</w:t>
                  </w:r>
                </w:p>
              </w:tc>
              <w:tc>
                <w:tcPr>
                  <w:tcW w:type="dxa" w:w="20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left"/>
                  </w:pPr>
                  <w:r>
                    <w:rPr>
                      <w:rFonts w:ascii="仿宋_GB2312" w:hAnsi="仿宋_GB2312" w:cs="仿宋_GB2312" w:eastAsia="仿宋_GB2312"/>
                      <w:sz w:val="18"/>
                    </w:rPr>
                    <w:t>每年至少组织一次网络应急演练。</w:t>
                  </w:r>
                </w:p>
              </w:tc>
            </w:tr>
            <w:tr>
              <w:tc>
                <w:tcPr>
                  <w:tcW w:type="dxa" w:w="21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10</w:t>
                  </w:r>
                </w:p>
              </w:tc>
              <w:tc>
                <w:tcPr>
                  <w:tcW w:type="dxa" w:w="306"/>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技术咨询</w:t>
                  </w:r>
                </w:p>
              </w:tc>
              <w:tc>
                <w:tcPr>
                  <w:tcW w:type="dxa" w:w="20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left"/>
                  </w:pPr>
                  <w:r>
                    <w:rPr>
                      <w:rFonts w:ascii="仿宋_GB2312" w:hAnsi="仿宋_GB2312" w:cs="仿宋_GB2312" w:eastAsia="仿宋_GB2312"/>
                      <w:sz w:val="18"/>
                    </w:rPr>
                    <w:t>提供网络规划、架构优化、安全防护、云计算平台优化、存储架构规划等方面的技术咨询服务，协助甲方进行网络建设规划和方案评审；</w:t>
                  </w:r>
                </w:p>
              </w:tc>
            </w:tr>
            <w:tr>
              <w:tc>
                <w:tcPr>
                  <w:tcW w:type="dxa" w:w="21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11</w:t>
                  </w:r>
                </w:p>
              </w:tc>
              <w:tc>
                <w:tcPr>
                  <w:tcW w:type="dxa" w:w="306"/>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文档管理</w:t>
                  </w:r>
                </w:p>
              </w:tc>
              <w:tc>
                <w:tcPr>
                  <w:tcW w:type="dxa" w:w="20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left"/>
                  </w:pPr>
                  <w:r>
                    <w:rPr>
                      <w:rFonts w:ascii="仿宋_GB2312" w:hAnsi="仿宋_GB2312" w:cs="仿宋_GB2312" w:eastAsia="仿宋_GB2312"/>
                      <w:sz w:val="18"/>
                    </w:rPr>
                    <w:t>建立并维护完整的网络设备运维档案，包括设备台账、拓扑图、配置文档、巡检记录、故障处理记录、变更记录等；</w:t>
                  </w:r>
                </w:p>
              </w:tc>
            </w:tr>
            <w:tr>
              <w:tc>
                <w:tcPr>
                  <w:tcW w:type="dxa" w:w="21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12</w:t>
                  </w:r>
                </w:p>
              </w:tc>
              <w:tc>
                <w:tcPr>
                  <w:tcW w:type="dxa" w:w="306"/>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center"/>
                  </w:pPr>
                  <w:r>
                    <w:rPr>
                      <w:rFonts w:ascii="仿宋_GB2312" w:hAnsi="仿宋_GB2312" w:cs="仿宋_GB2312" w:eastAsia="仿宋_GB2312"/>
                      <w:sz w:val="18"/>
                    </w:rPr>
                    <w:t>培训服务</w:t>
                  </w:r>
                </w:p>
              </w:tc>
              <w:tc>
                <w:tcPr>
                  <w:tcW w:type="dxa" w:w="20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spacing w:before="30" w:after="30"/>
                    <w:jc w:val="left"/>
                  </w:pPr>
                  <w:r>
                    <w:rPr>
                      <w:rFonts w:ascii="仿宋_GB2312" w:hAnsi="仿宋_GB2312" w:cs="仿宋_GB2312" w:eastAsia="仿宋_GB2312"/>
                      <w:sz w:val="18"/>
                    </w:rPr>
                    <w:t>每年至少组织</w:t>
                  </w:r>
                  <w:r>
                    <w:rPr>
                      <w:rFonts w:ascii="仿宋_GB2312" w:hAnsi="仿宋_GB2312" w:cs="仿宋_GB2312" w:eastAsia="仿宋_GB2312"/>
                      <w:sz w:val="18"/>
                    </w:rPr>
                    <w:t>2次网络技术培训，内容涵盖网络基础知识、设备操作维护、云计算平台运维、存储管理、常见故障排查等，提升甲方技术人员运维能力。</w:t>
                  </w:r>
                </w:p>
              </w:tc>
            </w:tr>
          </w:tbl>
          <w:p>
            <w:pPr>
              <w:pStyle w:val="null3"/>
              <w:spacing w:before="60" w:after="60"/>
              <w:jc w:val="left"/>
            </w:pPr>
            <w:r>
              <w:rPr>
                <w:rFonts w:ascii="仿宋_GB2312" w:hAnsi="仿宋_GB2312" w:cs="仿宋_GB2312" w:eastAsia="仿宋_GB2312"/>
                <w:sz w:val="18"/>
              </w:rPr>
              <w:t>3. 维保服务考核</w:t>
            </w:r>
          </w:p>
          <w:p>
            <w:pPr>
              <w:pStyle w:val="null3"/>
              <w:spacing w:before="60" w:after="60"/>
              <w:jc w:val="left"/>
            </w:pPr>
            <w:r>
              <w:rPr>
                <w:rFonts w:ascii="仿宋_GB2312" w:hAnsi="仿宋_GB2312" w:cs="仿宋_GB2312" w:eastAsia="仿宋_GB2312"/>
                <w:sz w:val="18"/>
              </w:rPr>
              <w:t>（</w:t>
            </w:r>
            <w:r>
              <w:rPr>
                <w:rFonts w:ascii="仿宋_GB2312" w:hAnsi="仿宋_GB2312" w:cs="仿宋_GB2312" w:eastAsia="仿宋_GB2312"/>
                <w:sz w:val="18"/>
              </w:rPr>
              <w:t>1）定期由甲方对维保服务进行考核评价，考核内容包含：故障响应及时率、故障解决率、巡检完成率、服务满意度等；</w:t>
            </w:r>
          </w:p>
          <w:p>
            <w:pPr>
              <w:pStyle w:val="null3"/>
              <w:spacing w:before="60" w:after="60"/>
              <w:jc w:val="left"/>
            </w:pPr>
            <w:r>
              <w:rPr>
                <w:rFonts w:ascii="仿宋_GB2312" w:hAnsi="仿宋_GB2312" w:cs="仿宋_GB2312" w:eastAsia="仿宋_GB2312"/>
                <w:sz w:val="18"/>
              </w:rPr>
              <w:t>（</w:t>
            </w:r>
            <w:r>
              <w:rPr>
                <w:rFonts w:ascii="仿宋_GB2312" w:hAnsi="仿宋_GB2312" w:cs="仿宋_GB2312" w:eastAsia="仿宋_GB2312"/>
                <w:sz w:val="18"/>
              </w:rPr>
              <w:t>2）年度综合考核低于85分的，甲方有权要求乙方更换服务团队或扣减维保服务费；</w:t>
            </w:r>
          </w:p>
          <w:p>
            <w:pPr>
              <w:pStyle w:val="null3"/>
              <w:spacing w:before="60" w:after="60"/>
              <w:jc w:val="left"/>
            </w:pPr>
            <w:r>
              <w:rPr>
                <w:rFonts w:ascii="仿宋_GB2312" w:hAnsi="仿宋_GB2312" w:cs="仿宋_GB2312" w:eastAsia="仿宋_GB2312"/>
                <w:sz w:val="18"/>
              </w:rPr>
              <w:t>（</w:t>
            </w:r>
            <w:r>
              <w:rPr>
                <w:rFonts w:ascii="仿宋_GB2312" w:hAnsi="仿宋_GB2312" w:cs="仿宋_GB2312" w:eastAsia="仿宋_GB2312"/>
                <w:sz w:val="18"/>
              </w:rPr>
              <w:t>3）因乙方运维不当导致重大网络故障的，甲方有权追究乙方违约责任。</w:t>
            </w:r>
          </w:p>
          <w:p>
            <w:pPr>
              <w:pStyle w:val="null3"/>
              <w:spacing w:before="60" w:after="60"/>
              <w:jc w:val="left"/>
            </w:pPr>
            <w:r>
              <w:rPr>
                <w:rFonts w:ascii="仿宋_GB2312" w:hAnsi="仿宋_GB2312" w:cs="仿宋_GB2312" w:eastAsia="仿宋_GB2312"/>
                <w:sz w:val="18"/>
              </w:rPr>
              <w:t>4.硬件服务要求</w:t>
            </w:r>
          </w:p>
          <w:p>
            <w:pPr>
              <w:pStyle w:val="null3"/>
              <w:spacing w:before="60" w:after="60"/>
              <w:jc w:val="left"/>
            </w:pPr>
            <w:r>
              <w:rPr>
                <w:rFonts w:ascii="仿宋_GB2312" w:hAnsi="仿宋_GB2312" w:cs="仿宋_GB2312" w:eastAsia="仿宋_GB2312"/>
                <w:sz w:val="18"/>
              </w:rPr>
              <w:t>（</w:t>
            </w:r>
            <w:r>
              <w:rPr>
                <w:rFonts w:ascii="仿宋_GB2312" w:hAnsi="仿宋_GB2312" w:cs="仿宋_GB2312" w:eastAsia="仿宋_GB2312"/>
                <w:sz w:val="18"/>
              </w:rPr>
              <w:t>1）提供设备安装调试服务及技术培训。</w:t>
            </w:r>
          </w:p>
          <w:p>
            <w:pPr>
              <w:pStyle w:val="null3"/>
              <w:spacing w:before="240" w:after="120"/>
              <w:outlineLvl w:val="1"/>
            </w:pPr>
            <w:r>
              <w:rPr>
                <w:rFonts w:ascii="仿宋_GB2312" w:hAnsi="仿宋_GB2312" w:cs="仿宋_GB2312" w:eastAsia="仿宋_GB2312"/>
                <w:sz w:val="18"/>
                <w:b/>
              </w:rPr>
              <w:t>二</w:t>
            </w:r>
            <w:r>
              <w:rPr>
                <w:rFonts w:ascii="仿宋_GB2312" w:hAnsi="仿宋_GB2312" w:cs="仿宋_GB2312" w:eastAsia="仿宋_GB2312"/>
                <w:sz w:val="18"/>
                <w:b/>
              </w:rPr>
              <w:t>、商务要求</w:t>
            </w:r>
          </w:p>
          <w:p>
            <w:pPr>
              <w:pStyle w:val="null3"/>
              <w:spacing w:before="60" w:after="60"/>
              <w:jc w:val="left"/>
            </w:pPr>
            <w:r>
              <w:rPr>
                <w:rFonts w:ascii="仿宋_GB2312" w:hAnsi="仿宋_GB2312" w:cs="仿宋_GB2312" w:eastAsia="仿宋_GB2312"/>
                <w:sz w:val="18"/>
              </w:rPr>
              <w:t>（一）服务地点：西安监狱指定地点。</w:t>
            </w:r>
          </w:p>
          <w:p>
            <w:pPr>
              <w:pStyle w:val="null3"/>
              <w:spacing w:before="60" w:after="60"/>
              <w:jc w:val="left"/>
            </w:pPr>
            <w:r>
              <w:rPr>
                <w:rFonts w:ascii="仿宋_GB2312" w:hAnsi="仿宋_GB2312" w:cs="仿宋_GB2312" w:eastAsia="仿宋_GB2312"/>
                <w:sz w:val="18"/>
              </w:rPr>
              <w:t>（二）服务期限：</w:t>
            </w:r>
          </w:p>
          <w:p>
            <w:pPr>
              <w:pStyle w:val="null3"/>
              <w:spacing w:before="60" w:after="60"/>
              <w:jc w:val="left"/>
            </w:pPr>
            <w:r>
              <w:rPr>
                <w:rFonts w:ascii="仿宋_GB2312" w:hAnsi="仿宋_GB2312" w:cs="仿宋_GB2312" w:eastAsia="仿宋_GB2312"/>
                <w:sz w:val="18"/>
              </w:rPr>
              <w:t>1. 国产化安防平台升级：合同签订之日起90日内完成升级部署及数据迁移；</w:t>
            </w:r>
          </w:p>
          <w:p>
            <w:pPr>
              <w:pStyle w:val="null3"/>
              <w:spacing w:before="60" w:after="60"/>
              <w:jc w:val="left"/>
            </w:pPr>
            <w:r>
              <w:rPr>
                <w:rFonts w:ascii="仿宋_GB2312" w:hAnsi="仿宋_GB2312" w:cs="仿宋_GB2312" w:eastAsia="仿宋_GB2312"/>
                <w:sz w:val="18"/>
              </w:rPr>
              <w:t>2. 来邦对讲系统维保：自合同签订之日起一年。</w:t>
            </w:r>
          </w:p>
          <w:p>
            <w:pPr>
              <w:pStyle w:val="null3"/>
              <w:spacing w:before="60" w:after="60"/>
              <w:jc w:val="left"/>
            </w:pPr>
            <w:r>
              <w:rPr>
                <w:rFonts w:ascii="仿宋_GB2312" w:hAnsi="仿宋_GB2312" w:cs="仿宋_GB2312" w:eastAsia="仿宋_GB2312"/>
                <w:sz w:val="18"/>
              </w:rPr>
              <w:t>3. 网络设备：自合同签订之日起30日内完成设备调试。</w:t>
            </w:r>
          </w:p>
          <w:p>
            <w:pPr>
              <w:pStyle w:val="null3"/>
              <w:spacing w:before="60" w:after="60"/>
              <w:jc w:val="left"/>
            </w:pPr>
            <w:r>
              <w:rPr>
                <w:rFonts w:ascii="仿宋_GB2312" w:hAnsi="仿宋_GB2312" w:cs="仿宋_GB2312" w:eastAsia="仿宋_GB2312"/>
                <w:sz w:val="18"/>
              </w:rPr>
              <w:t>（三）付款方式：</w:t>
            </w:r>
          </w:p>
          <w:p>
            <w:pPr>
              <w:pStyle w:val="null3"/>
            </w:pPr>
            <w:r>
              <w:rPr>
                <w:rFonts w:ascii="仿宋_GB2312" w:hAnsi="仿宋_GB2312" w:cs="仿宋_GB2312" w:eastAsia="仿宋_GB2312"/>
                <w:sz w:val="18"/>
              </w:rPr>
              <w:t>1、</w:t>
            </w:r>
            <w:r>
              <w:rPr>
                <w:rFonts w:ascii="仿宋_GB2312" w:hAnsi="仿宋_GB2312" w:cs="仿宋_GB2312" w:eastAsia="仿宋_GB2312"/>
                <w:sz w:val="18"/>
              </w:rPr>
              <w:t>预付款，合同签订后，达到付款条件起</w:t>
            </w:r>
            <w:r>
              <w:rPr>
                <w:rFonts w:ascii="仿宋_GB2312" w:hAnsi="仿宋_GB2312" w:cs="仿宋_GB2312" w:eastAsia="仿宋_GB2312"/>
                <w:sz w:val="18"/>
              </w:rPr>
              <w:t>15个工作日内，支付合同总金额的40.0%</w:t>
            </w:r>
          </w:p>
          <w:p>
            <w:pPr>
              <w:pStyle w:val="null3"/>
            </w:pPr>
            <w:r>
              <w:rPr>
                <w:rFonts w:ascii="仿宋_GB2312" w:hAnsi="仿宋_GB2312" w:cs="仿宋_GB2312" w:eastAsia="仿宋_GB2312"/>
                <w:sz w:val="18"/>
              </w:rPr>
              <w:t>2、</w:t>
            </w:r>
            <w:r>
              <w:rPr>
                <w:rFonts w:ascii="仿宋_GB2312" w:hAnsi="仿宋_GB2312" w:cs="仿宋_GB2312" w:eastAsia="仿宋_GB2312"/>
                <w:sz w:val="18"/>
              </w:rPr>
              <w:t>进度款，完成网络设备的调试、国产化安防平台升级及对讲系统维保收通过后，达到付款条件起</w:t>
            </w:r>
            <w:r>
              <w:rPr>
                <w:rFonts w:ascii="仿宋_GB2312" w:hAnsi="仿宋_GB2312" w:cs="仿宋_GB2312" w:eastAsia="仿宋_GB2312"/>
                <w:sz w:val="18"/>
              </w:rPr>
              <w:t>15个工作日内，支付合同总金额的60.0%。</w:t>
            </w:r>
          </w:p>
          <w:p>
            <w:pPr>
              <w:pStyle w:val="null3"/>
              <w:spacing w:before="60" w:after="60"/>
              <w:jc w:val="left"/>
            </w:pPr>
            <w:r>
              <w:rPr>
                <w:rFonts w:ascii="仿宋_GB2312" w:hAnsi="仿宋_GB2312" w:cs="仿宋_GB2312" w:eastAsia="仿宋_GB2312"/>
                <w:sz w:val="18"/>
              </w:rPr>
              <w:t>（四）售后服务：</w:t>
            </w:r>
          </w:p>
          <w:p>
            <w:pPr>
              <w:pStyle w:val="null3"/>
              <w:spacing w:before="60" w:after="60"/>
              <w:jc w:val="left"/>
            </w:pPr>
            <w:r>
              <w:rPr>
                <w:rFonts w:ascii="仿宋_GB2312" w:hAnsi="仿宋_GB2312" w:cs="仿宋_GB2312" w:eastAsia="仿宋_GB2312"/>
                <w:sz w:val="18"/>
              </w:rPr>
              <w:t>1. 国产化安防平台：提供不少于3年的免费技术支持及版本升级服务；</w:t>
            </w:r>
          </w:p>
          <w:p>
            <w:pPr>
              <w:pStyle w:val="null3"/>
              <w:spacing w:before="60" w:after="60"/>
              <w:jc w:val="left"/>
            </w:pPr>
            <w:r>
              <w:rPr>
                <w:rFonts w:ascii="仿宋_GB2312" w:hAnsi="仿宋_GB2312" w:cs="仿宋_GB2312" w:eastAsia="仿宋_GB2312"/>
                <w:sz w:val="18"/>
              </w:rPr>
              <w:t>2. 来邦对讲系统：提供7×24小时电话支持，2小时内响应；</w:t>
            </w:r>
          </w:p>
          <w:p>
            <w:pPr>
              <w:pStyle w:val="null3"/>
            </w:pPr>
            <w:r>
              <w:rPr>
                <w:rFonts w:ascii="仿宋_GB2312" w:hAnsi="仿宋_GB2312" w:cs="仿宋_GB2312" w:eastAsia="仿宋_GB2312"/>
                <w:sz w:val="18"/>
              </w:rPr>
              <w:t>3. 提供三年维保服务，供应商应承诺在设备生命周期内提供及时的技术支持和配件供应，确保系统稳定运行。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国产化安防平台升级：合同签订之日起90日内完成升级部署及数据迁移； 2. 来邦对讲系统维保：自合同签订之日起一年。 3. 网络设备：自合同签订之日起30日内完成设备调试。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陕西省西安监狱</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根据国家信息化建设相关标准组织验收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进度款，完成网络设备的调试、国产化安防平台升级及对讲系统维保收通过后，达到付款条件起15个工作日内，支付合同总金额的60.0%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按照《中华人民共和国民法典》规定及合同条款约定进行处理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供应商应提供的相关资格证明材料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供应商应提供的相关资格证明材料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供应商应提供的相关资格证明材料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本项目不接受联合体磋商，不允许分包。供应商应提供声明函。</w:t>
            </w:r>
          </w:p>
        </w:tc>
        <w:tc>
          <w:tcPr>
            <w:tcW w:type="dxa" w:w="1661"/>
          </w:tcPr>
          <w:p>
            <w:pPr>
              <w:pStyle w:val="null3"/>
            </w:pPr>
            <w:r>
              <w:rPr>
                <w:rFonts w:ascii="仿宋_GB2312" w:hAnsi="仿宋_GB2312" w:cs="仿宋_GB2312" w:eastAsia="仿宋_GB2312"/>
              </w:rPr>
              <w:t>供应商应提供的相关资格证明材料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1）响应文件未按照磋商文件规定要求签署、盖章的；（2）不满足本磋商文件中“服务期限、服务地点、采购资金的支付方式及约定”的实质性条款要求的； （3）报价未超过磋商文件中规定的对应的采购预算或最高限价的； （4）响应文件有效期不足的或无有效期的； （5）法律、法规和磋商文件规定的其他无效情形。</w:t>
            </w:r>
          </w:p>
        </w:tc>
        <w:tc>
          <w:tcPr>
            <w:tcW w:type="dxa" w:w="1661"/>
          </w:tcPr>
          <w:p>
            <w:pPr>
              <w:pStyle w:val="null3"/>
            </w:pPr>
            <w:r>
              <w:rPr>
                <w:rFonts w:ascii="仿宋_GB2312" w:hAnsi="仿宋_GB2312" w:cs="仿宋_GB2312" w:eastAsia="仿宋_GB2312"/>
              </w:rPr>
              <w:t>响应文件封面 服务响应偏离表 商务部分偏离表 中小企业声明函 残疾人福利性单位声明函 服务方案 标的清单 报价表 响应函 供应商应提供的相关资格证明材料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根据供应商对3.2.2服务要求“主要功能要求”和“技术参数要求”及“服务内容及要求”中对带“▲”的各项响应情况进行评审：每负偏离一项扣1分，其他一般参数每有1项负偏离扣0.5分满分20分，扣完为止。 备注：1.提供的有效佐证材料不限于产品彩页或第三方检测机构出具的检测报告或官网功能截图或以往开发类似系统相近的功能截图等。 2.若佐证材料与技术响应偏离表响应内容不一致的，以佐证材料为准。同一指标提供佐证材料内容不一致的，以最不利于投标人的情形进行评审。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服务响应偏离表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供应商针对本项目需求提供实施方案，至少包括①项目实施流程；②平台升级、调试方案；③实施计划及进度安排；④组织管理措施；⑤项目实施重难点及解决措施。 上述5项内容 ，每提供1项内容计3分，每项内容存在1处瑕疵扣0.3分；满分15分。 本⽂所称“瑕疵”是指内容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供应商针对本项目需求提供技术服务方案，至少包括①现状分析；②系统架构升级设计；③功能模块设计；④平台集成方案；⑤数据迁移方案；⑥接口设计方案。上述6项内容，每提供1项内容计3分，每项内容存在1处瑕疵扣0.3分；满分18分。 本⽂所称“瑕疵”是指内容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需求在项目完成时对采购单位人员进行常见问题、运维等提供培训⽅案，⽅案应⾄少包括但不限于①培训时间计划及培训对象（操作人员、技术人员、管理人员）；②培训内容及培训方案；③后期管理。 上述3项内容，每提供1项内容计2分，每项内容存在1处瑕疵扣0.3分；本评分点满分6分。 本⽂所称“瑕疵”是指内容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拟派项目经理须为供应商在职员工，并通过计算机技术与软件专业技术资格（水平）考试并取得高级资格（信息系统项目管理师）得2分，取得中级资格（系统集成项目管理工程师）得1分。 提供人员职业资格证书及在职证明材料，未提供或资料不全不得分。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1）供应商配备团队人员满足4人（不含项目经理）均须为供应商在职员工，其中每有1名通过计算机技术与软件专业技术资格（水平）考试并取得中级及以上资格（系统集成项目管理工程师或信息系统监理师或信息安全工程师或数据库系统工程师或信息系统管理工程师或信息系统项目管理师或系统分析师）的得1分，满分4分。提供人员职业资格证书及在职证明材料，未提供或资料不全不得分。（2）供应商提供团队人员组织架构及清单，至少满足数据分析对接、架构及功能设计、实施建设、测试交付验收等阶段的工作。 组织架构及人员清单清晰明确，满足上述所有阶段工作，符合项目实施需求计2分； 提供内容不明确的计1分。 注：以上人员均需提供身份证、相关证书扫描件及供应商为其缴纳的2025年7月至今任意连续3个月社保证明材料，不提供不计分。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数据保密及承诺</w:t>
            </w:r>
          </w:p>
        </w:tc>
        <w:tc>
          <w:tcPr>
            <w:tcW w:type="dxa" w:w="2492"/>
          </w:tcPr>
          <w:p>
            <w:pPr>
              <w:pStyle w:val="null3"/>
            </w:pPr>
            <w:r>
              <w:rPr>
                <w:rFonts w:ascii="仿宋_GB2312" w:hAnsi="仿宋_GB2312" w:cs="仿宋_GB2312" w:eastAsia="仿宋_GB2312"/>
              </w:rPr>
              <w:t>（1）供应商承诺：若成交，在合同签订前签署《数据安全保密协议》及《信息保护承诺书》，所有实施及运维人员通过背景审查。提供承诺书并加盖供应商公章计1分，未提供不计分。（2）供应商提供数据安全分级分类策略，且内容详细明确具体的，计1分。分级策略内容简略计0.5分。（3）供应商具有有效的：①信息技术服务管理体系认证证书；②信息安全管理体系认证证书；③ISO9001质量管理体系认证证书；④ISO27001信息安全管理体系认证证书；⑤ISO14001环境管理体系认证证书；⑥ISO45001职业健康安全管理体系认证证书。每提供1个有效认证证书计1分，满分6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供应商须对以下内容承诺及响应：（1）服务期内为7×24小时服务，故障分级：一级故障1小时内响应，4小时内解决；二级故障2小时内响应，24小时内解决。提供承诺书并加盖供应商公章计2分，未提供不计分。（2）服务期内，每季度提供一次现场系统巡检，出具巡检报告及优化建议；每年至少完成一次全面的系统安全漏洞扫描，对系统安全风险进行排查检测及整改，完成后出具完整的安全漏洞扫描报告。供应商针对上述内容提供系统巡检事项清单及定期巡检承诺，承诺书应加盖供应商公章，提供齐全计1分，缺项或未提供不计分。（3）每月进行一次备份数据恢复验证。提供承诺书并加盖供应商公章计1分，未提供不计分。（4）针对本项目需求提供有关日常维护及保养的措施、应急措施、售后服务保障，提供承诺书并加盖供应商公章，每提供1项计1分，共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（1）提供供应商2023年1月1日至今信息化系统建设项目或维保服务项目类似业绩合同（以合同签订日期为准）。每提供1个完整业绩得2分，最高得6分。 提供供应商2023年1月1日至今类似网络设备采购项目业绩合同（以合同签订日期为准）。每提供1个完整业绩得2分，最高得2分。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10分。其他供应商的价格分统一按照下列公式计算：磋商报价得分=(磋商基准价／磋商报价)×10。计算分数时四舍五入取小数点后两位。 注：评审委员会有权要求供应商对明显低于市场成本价的报价提供书面说明及相关证明材料，不能提供或说明不合理的，按无效响应处理。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详见附件：供应商应提供的相关资格证明材料</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详见附件：商务部分偏离表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