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版本号：SHS-DL-2026-0720260716001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东风小学运动场地改造项目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SHS-DL-2026-07</w:t>
      </w:r>
      <w:r>
        <w:br/>
      </w:r>
      <w:r>
        <w:br/>
      </w:r>
      <w:r>
        <w:br/>
      </w:r>
    </w:p>
    <w:p>
      <w:pPr>
        <w:pStyle w:val="null3"/>
        <w:jc w:val="center"/>
        <w:outlineLvl w:val="2"/>
      </w:pPr>
      <w:r>
        <w:rPr>
          <w:rFonts w:ascii="仿宋_GB2312" w:hAnsi="仿宋_GB2312" w:cs="仿宋_GB2312" w:eastAsia="仿宋_GB2312"/>
          <w:sz w:val="28"/>
          <w:b/>
        </w:rPr>
        <w:t>白水县教育体育局</w:t>
      </w:r>
    </w:p>
    <w:p>
      <w:pPr>
        <w:pStyle w:val="null3"/>
        <w:jc w:val="center"/>
        <w:outlineLvl w:val="2"/>
      </w:pPr>
      <w:r>
        <w:rPr>
          <w:rFonts w:ascii="仿宋_GB2312" w:hAnsi="仿宋_GB2312" w:cs="仿宋_GB2312" w:eastAsia="仿宋_GB2312"/>
          <w:sz w:val="28"/>
          <w:b/>
        </w:rPr>
        <w:t>西安水行山项目管理有限公司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西安水行山项目管理有限公司</w:t>
      </w:r>
      <w:r>
        <w:rPr>
          <w:rFonts w:ascii="仿宋_GB2312" w:hAnsi="仿宋_GB2312" w:cs="仿宋_GB2312" w:eastAsia="仿宋_GB2312"/>
        </w:rPr>
        <w:t>（以下简称“代理机构”）受</w:t>
      </w:r>
      <w:r>
        <w:rPr>
          <w:rFonts w:ascii="仿宋_GB2312" w:hAnsi="仿宋_GB2312" w:cs="仿宋_GB2312" w:eastAsia="仿宋_GB2312"/>
        </w:rPr>
        <w:t>白水县教育体育局</w:t>
      </w:r>
      <w:r>
        <w:rPr>
          <w:rFonts w:ascii="仿宋_GB2312" w:hAnsi="仿宋_GB2312" w:cs="仿宋_GB2312" w:eastAsia="仿宋_GB2312"/>
        </w:rPr>
        <w:t>委托，拟对</w:t>
      </w:r>
      <w:r>
        <w:rPr>
          <w:rFonts w:ascii="仿宋_GB2312" w:hAnsi="仿宋_GB2312" w:cs="仿宋_GB2312" w:eastAsia="仿宋_GB2312"/>
        </w:rPr>
        <w:t>东风小学运动场地改造项目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SHS-DL-2026-07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东风小学运动场地改造项目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对学校现有运动场损坏的草皮，塑胶跑道，透水砖等拆除，新做草皮，塑胶，石材运动场并对地沟等进行维修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采购包1（东风小学运动场地改造项目）：属于专门面向中小企业采购。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1、营业执照：提供营业执照或其他组织经营的合法凭证、自然人提供身份证明文 件；</w:t>
      </w:r>
    </w:p>
    <w:p>
      <w:pPr>
        <w:pStyle w:val="null3"/>
      </w:pPr>
      <w:r>
        <w:rPr>
          <w:rFonts w:ascii="仿宋_GB2312" w:hAnsi="仿宋_GB2312" w:cs="仿宋_GB2312" w:eastAsia="仿宋_GB2312"/>
        </w:rPr>
        <w:t>2、财务状况报告：提供2025年财务审计报告(成立时间至开标时间不足一年的可提 供成立后任意时段的资产负债表)或提供投标截止日期前三个月内其基本 存款账户开户银行出具的资信证明；</w:t>
      </w:r>
    </w:p>
    <w:p>
      <w:pPr>
        <w:pStyle w:val="null3"/>
      </w:pPr>
      <w:r>
        <w:rPr>
          <w:rFonts w:ascii="仿宋_GB2312" w:hAnsi="仿宋_GB2312" w:cs="仿宋_GB2312" w:eastAsia="仿宋_GB2312"/>
        </w:rPr>
        <w:t>3、税收缴纳证明：提供投标截止日期前六个月内任意一个月的纳税证明或完税证明；</w:t>
      </w:r>
    </w:p>
    <w:p>
      <w:pPr>
        <w:pStyle w:val="null3"/>
      </w:pPr>
      <w:r>
        <w:rPr>
          <w:rFonts w:ascii="仿宋_GB2312" w:hAnsi="仿宋_GB2312" w:cs="仿宋_GB2312" w:eastAsia="仿宋_GB2312"/>
        </w:rPr>
        <w:t>4、社会保障资金缴纳证明：提供投标截止日期前六个月内任意一个月的社会保障资金缴存单据或社保机构开具的社会保险参保缴费情况证明；</w:t>
      </w:r>
    </w:p>
    <w:p>
      <w:pPr>
        <w:pStyle w:val="null3"/>
      </w:pPr>
      <w:r>
        <w:rPr>
          <w:rFonts w:ascii="仿宋_GB2312" w:hAnsi="仿宋_GB2312" w:cs="仿宋_GB2312" w:eastAsia="仿宋_GB2312"/>
        </w:rPr>
        <w:t>5、书面承诺：具有履行合同所必需的设备和专业技术能力；</w:t>
      </w:r>
    </w:p>
    <w:p>
      <w:pPr>
        <w:pStyle w:val="null3"/>
      </w:pPr>
      <w:r>
        <w:rPr>
          <w:rFonts w:ascii="仿宋_GB2312" w:hAnsi="仿宋_GB2312" w:cs="仿宋_GB2312" w:eastAsia="仿宋_GB2312"/>
        </w:rPr>
        <w:t>6、书面承诺：供应商单位负责人为同一人或者存在直接控股、管理关系的，不得参加同一合同项下的政府采购活动（提供书面承诺）</w:t>
      </w:r>
    </w:p>
    <w:p>
      <w:pPr>
        <w:pStyle w:val="null3"/>
      </w:pPr>
      <w:r>
        <w:rPr>
          <w:rFonts w:ascii="仿宋_GB2312" w:hAnsi="仿宋_GB2312" w:cs="仿宋_GB2312" w:eastAsia="仿宋_GB2312"/>
        </w:rPr>
        <w:t>7、书面声明：参加本次政府采购活动前三年内在经营活动中没有重大违纪的书面声明；</w:t>
      </w:r>
    </w:p>
    <w:p>
      <w:pPr>
        <w:pStyle w:val="null3"/>
      </w:pPr>
      <w:r>
        <w:rPr>
          <w:rFonts w:ascii="仿宋_GB2312" w:hAnsi="仿宋_GB2312" w:cs="仿宋_GB2312" w:eastAsia="仿宋_GB2312"/>
        </w:rPr>
        <w:t>8、信用记录查询：信用记录：①“信用中国”（www.creditchina.gov.cn）网站上未被列入政府采购不良行为记录、重大税收违法案件当事人名单；②“中国执行信息公开网”（http://zxgk.court.gov.cn/shixin/）网站上未被列入失信被执行人名单；③“中国政府采购网（www.ccgp.gov.cn）”上未被列入政府采购严重违法失信行为记录名单；</w:t>
      </w:r>
    </w:p>
    <w:p>
      <w:pPr>
        <w:pStyle w:val="null3"/>
      </w:pPr>
      <w:r>
        <w:rPr>
          <w:rFonts w:ascii="仿宋_GB2312" w:hAnsi="仿宋_GB2312" w:cs="仿宋_GB2312" w:eastAsia="仿宋_GB2312"/>
        </w:rPr>
        <w:t>9、法定代表人授权委托书：法定代表人授权书及被授权人身份证明（法定代表人直接磋商只须提交其身份证明）；</w:t>
      </w:r>
    </w:p>
    <w:p>
      <w:pPr>
        <w:pStyle w:val="null3"/>
      </w:pPr>
      <w:r>
        <w:rPr>
          <w:rFonts w:ascii="仿宋_GB2312" w:hAnsi="仿宋_GB2312" w:cs="仿宋_GB2312" w:eastAsia="仿宋_GB2312"/>
        </w:rPr>
        <w:t>10、投标保证金：缴纳投标保证金截图凭证并加盖公章</w:t>
      </w:r>
    </w:p>
    <w:p>
      <w:pPr>
        <w:pStyle w:val="null3"/>
      </w:pPr>
      <w:r>
        <w:rPr>
          <w:rFonts w:ascii="仿宋_GB2312" w:hAnsi="仿宋_GB2312" w:cs="仿宋_GB2312" w:eastAsia="仿宋_GB2312"/>
        </w:rPr>
        <w:t>11、企业资质：须具备建筑工程施工总承包叁级及以上资质或市政公用工程施工总承包三级及以上资质，并具有合格有效的安全生产许可证；</w:t>
      </w:r>
    </w:p>
    <w:p>
      <w:pPr>
        <w:pStyle w:val="null3"/>
      </w:pPr>
      <w:r>
        <w:rPr>
          <w:rFonts w:ascii="仿宋_GB2312" w:hAnsi="仿宋_GB2312" w:cs="仿宋_GB2312" w:eastAsia="仿宋_GB2312"/>
        </w:rPr>
        <w:t>12、项目经理：拟派项目经理须具备建筑工程专业贰级及以上或市政公用工程施工总承包贰级及以上注册建造师资格，具备有效的安全生产考核合格证书(B证），且未担任其他在建工程项目的项目经理；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白水县四马路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赵亚龙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15191835879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西安水行山项目管理有限公司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陕西省西安市雁塔区陕西省西安市高新区锦业路32号锦业时代B3座1701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18792625857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采购包1：988,118.58元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开户名称：西安水行山项目管理有限公司</w:t>
            </w:r>
          </w:p>
          <w:p>
            <w:pPr>
              <w:pStyle w:val="null3"/>
            </w:pPr>
            <w:r>
              <w:rPr>
                <w:rFonts w:ascii="仿宋_GB2312" w:hAnsi="仿宋_GB2312" w:cs="仿宋_GB2312" w:eastAsia="仿宋_GB2312"/>
              </w:rPr>
              <w:t>开户银行：中国银行股份有限公司西安南郊支行</w:t>
            </w:r>
          </w:p>
          <w:p>
            <w:pPr>
              <w:pStyle w:val="null3"/>
            </w:pPr>
            <w:r>
              <w:rPr>
                <w:rFonts w:ascii="仿宋_GB2312" w:hAnsi="仿宋_GB2312" w:cs="仿宋_GB2312" w:eastAsia="仿宋_GB2312"/>
              </w:rPr>
              <w:t>银行账号：103690535802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和改革委员会办公厅颁发的《关于招标代理服务收费有关问题的通知》（发改办价格[2003]857号）</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白水县教育体育局</w:t>
      </w:r>
      <w:r>
        <w:rPr>
          <w:rFonts w:ascii="仿宋_GB2312" w:hAnsi="仿宋_GB2312" w:cs="仿宋_GB2312" w:eastAsia="仿宋_GB2312"/>
        </w:rPr>
        <w:t>和</w:t>
      </w:r>
      <w:r>
        <w:rPr>
          <w:rFonts w:ascii="仿宋_GB2312" w:hAnsi="仿宋_GB2312" w:cs="仿宋_GB2312" w:eastAsia="仿宋_GB2312"/>
        </w:rPr>
        <w:t>西安水行山项目管理有限公司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西安水行山项目管理有限公司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西安水行山项目管理有限公司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西安水行山项目管理有限公司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西安水行山项目管理有限公司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西安水行山项目管理有限公司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联系人：薛工</w:t>
      </w:r>
    </w:p>
    <w:p>
      <w:pPr>
        <w:pStyle w:val="null3"/>
      </w:pPr>
      <w:r>
        <w:rPr>
          <w:rFonts w:ascii="仿宋_GB2312" w:hAnsi="仿宋_GB2312" w:cs="仿宋_GB2312" w:eastAsia="仿宋_GB2312"/>
        </w:rPr>
        <w:t>联系电话：18792625857</w:t>
      </w:r>
    </w:p>
    <w:p>
      <w:pPr>
        <w:pStyle w:val="null3"/>
      </w:pPr>
      <w:r>
        <w:rPr>
          <w:rFonts w:ascii="仿宋_GB2312" w:hAnsi="仿宋_GB2312" w:cs="仿宋_GB2312" w:eastAsia="仿宋_GB2312"/>
        </w:rPr>
        <w:t>地址：陕西省西安市雁塔区锦业路锦业时代B3栋17楼1701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988,118.58</w:t>
      </w:r>
    </w:p>
    <w:p>
      <w:pPr>
        <w:pStyle w:val="null3"/>
      </w:pPr>
      <w:r>
        <w:rPr>
          <w:rFonts w:ascii="仿宋_GB2312" w:hAnsi="仿宋_GB2312" w:cs="仿宋_GB2312" w:eastAsia="仿宋_GB2312"/>
        </w:rPr>
        <w:t>采购包最高限价（元）: 988,118.58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 东风小学运动场地改造项目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988,118.58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 东风小学运动场地改造项目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8"/>
              </w:rPr>
              <w:t>项目名称：</w:t>
            </w:r>
            <w:r>
              <w:rPr>
                <w:rFonts w:ascii="仿宋_GB2312" w:hAnsi="仿宋_GB2312" w:cs="仿宋_GB2312" w:eastAsia="仿宋_GB2312"/>
                <w:sz w:val="28"/>
              </w:rPr>
              <w:t>东风小学运动场地改造项目</w:t>
            </w:r>
          </w:p>
          <w:p>
            <w:pPr>
              <w:pStyle w:val="null3"/>
              <w:numPr>
                <w:ilvl w:val="0"/>
                <w:numId w:val="1"/>
              </w:numPr>
              <w:jc w:val="both"/>
            </w:pPr>
            <w:r>
              <w:rPr>
                <w:rFonts w:ascii="仿宋_GB2312" w:hAnsi="仿宋_GB2312" w:cs="仿宋_GB2312" w:eastAsia="仿宋_GB2312"/>
                <w:sz w:val="28"/>
              </w:rPr>
              <w:t>预算金额：</w:t>
            </w:r>
            <w:r>
              <w:rPr>
                <w:rFonts w:ascii="仿宋_GB2312" w:hAnsi="仿宋_GB2312" w:cs="仿宋_GB2312" w:eastAsia="仿宋_GB2312"/>
                <w:sz w:val="28"/>
              </w:rPr>
              <w:t>988118.58元</w:t>
            </w:r>
          </w:p>
          <w:p>
            <w:pPr>
              <w:pStyle w:val="null3"/>
              <w:numPr>
                <w:ilvl w:val="0"/>
                <w:numId w:val="1"/>
              </w:numPr>
              <w:jc w:val="both"/>
            </w:pPr>
            <w:r>
              <w:rPr>
                <w:rFonts w:ascii="仿宋_GB2312" w:hAnsi="仿宋_GB2312" w:cs="仿宋_GB2312" w:eastAsia="仿宋_GB2312"/>
                <w:sz w:val="28"/>
              </w:rPr>
              <w:t>最高限价：</w:t>
            </w:r>
            <w:r>
              <w:rPr>
                <w:rFonts w:ascii="仿宋_GB2312" w:hAnsi="仿宋_GB2312" w:cs="仿宋_GB2312" w:eastAsia="仿宋_GB2312"/>
                <w:sz w:val="28"/>
              </w:rPr>
              <w:t>988118.58元</w:t>
            </w:r>
          </w:p>
          <w:p>
            <w:pPr>
              <w:pStyle w:val="null3"/>
              <w:numPr>
                <w:ilvl w:val="0"/>
                <w:numId w:val="1"/>
              </w:numPr>
              <w:jc w:val="both"/>
            </w:pPr>
            <w:r>
              <w:rPr>
                <w:rFonts w:ascii="仿宋_GB2312" w:hAnsi="仿宋_GB2312" w:cs="仿宋_GB2312" w:eastAsia="仿宋_GB2312"/>
                <w:sz w:val="28"/>
              </w:rPr>
              <w:t>工程</w:t>
            </w:r>
            <w:r>
              <w:rPr>
                <w:rFonts w:ascii="仿宋_GB2312" w:hAnsi="仿宋_GB2312" w:cs="仿宋_GB2312" w:eastAsia="仿宋_GB2312"/>
                <w:sz w:val="28"/>
              </w:rPr>
              <w:t>内容：对学校现有运动场损坏的草皮，塑胶跑道，透水砖等拆除，新做草皮，塑胶，石材运动场并对地沟等进行维修</w:t>
            </w:r>
            <w:r>
              <w:rPr>
                <w:rFonts w:ascii="仿宋_GB2312" w:hAnsi="仿宋_GB2312" w:cs="仿宋_GB2312" w:eastAsia="仿宋_GB2312"/>
                <w:sz w:val="28"/>
              </w:rPr>
              <w:t>。</w:t>
            </w:r>
          </w:p>
          <w:p>
            <w:pPr>
              <w:pStyle w:val="null3"/>
              <w:numPr>
                <w:ilvl w:val="0"/>
                <w:numId w:val="1"/>
              </w:numPr>
              <w:jc w:val="both"/>
            </w:pPr>
            <w:r>
              <w:rPr>
                <w:rFonts w:ascii="仿宋_GB2312" w:hAnsi="仿宋_GB2312" w:cs="仿宋_GB2312" w:eastAsia="仿宋_GB2312"/>
                <w:sz w:val="28"/>
              </w:rPr>
              <w:t>交货期</w:t>
            </w:r>
            <w:r>
              <w:rPr>
                <w:rFonts w:ascii="仿宋_GB2312" w:hAnsi="仿宋_GB2312" w:cs="仿宋_GB2312" w:eastAsia="仿宋_GB2312"/>
                <w:sz w:val="28"/>
              </w:rPr>
              <w:t>：</w:t>
            </w:r>
            <w:r>
              <w:rPr>
                <w:rFonts w:ascii="仿宋_GB2312" w:hAnsi="仿宋_GB2312" w:cs="仿宋_GB2312" w:eastAsia="仿宋_GB2312"/>
                <w:sz w:val="28"/>
              </w:rPr>
              <w:t>30天</w:t>
            </w:r>
          </w:p>
          <w:p>
            <w:pPr>
              <w:pStyle w:val="null3"/>
              <w:numPr>
                <w:ilvl w:val="0"/>
                <w:numId w:val="1"/>
              </w:numPr>
              <w:jc w:val="both"/>
            </w:pPr>
            <w:r>
              <w:rPr>
                <w:rFonts w:ascii="仿宋_GB2312" w:hAnsi="仿宋_GB2312" w:cs="仿宋_GB2312" w:eastAsia="仿宋_GB2312"/>
                <w:sz w:val="28"/>
              </w:rPr>
              <w:t>项目</w:t>
            </w:r>
            <w:r>
              <w:rPr>
                <w:rFonts w:ascii="仿宋_GB2312" w:hAnsi="仿宋_GB2312" w:cs="仿宋_GB2312" w:eastAsia="仿宋_GB2312"/>
                <w:sz w:val="28"/>
              </w:rPr>
              <w:t>地点：白水县</w:t>
            </w:r>
            <w:r>
              <w:rPr>
                <w:rFonts w:ascii="仿宋_GB2312" w:hAnsi="仿宋_GB2312" w:cs="仿宋_GB2312" w:eastAsia="仿宋_GB2312"/>
                <w:sz w:val="28"/>
              </w:rPr>
              <w:t>东风小学</w:t>
            </w:r>
          </w:p>
          <w:p>
            <w:pPr>
              <w:pStyle w:val="null3"/>
              <w:numPr>
                <w:ilvl w:val="0"/>
                <w:numId w:val="1"/>
              </w:numPr>
              <w:jc w:val="both"/>
            </w:pPr>
            <w:r>
              <w:rPr>
                <w:rFonts w:ascii="仿宋_GB2312" w:hAnsi="仿宋_GB2312" w:cs="仿宋_GB2312" w:eastAsia="仿宋_GB2312"/>
                <w:sz w:val="28"/>
              </w:rPr>
              <w:t>是否专门面向中小企业釆购：是</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提供营业执照或其他组织经营的合法凭证、自然人提供身份证明文 件；</w:t>
            </w:r>
          </w:p>
        </w:tc>
        <w:tc>
          <w:tcPr>
            <w:tcW w:type="dxa" w:w="1661"/>
          </w:tcPr>
          <w:p>
            <w:pPr>
              <w:pStyle w:val="null3"/>
            </w:pPr>
            <w:r>
              <w:rPr>
                <w:rFonts w:ascii="仿宋_GB2312" w:hAnsi="仿宋_GB2312" w:cs="仿宋_GB2312" w:eastAsia="仿宋_GB2312"/>
              </w:rPr>
              <w:t>已标价工程量清单 中小企业声明函 供应商应提交的相关资格证明材料 技术服务合同条款及其他商务要求应答表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提供2025年财务审计报告(成立时间至开标时间不足一年的可提 供成立后任意时段的资产负债表)或提供投标截止日期前三个月内其基本 存款账户开户银行出具的资信证明；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提供投标截止日期前六个月内任意一个月的纳税证明或完税证明；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提供投标截止日期前六个月内任意一个月的社会保障资金缴存单据或社保机构开具的社会保险参保缴费情况证明；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供应商单位负责人为同一人或者存在直接控股、管理关系的，不得参加同一合同项下的政府采购活动（提供书面承诺）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信用记录查询</w:t>
            </w:r>
          </w:p>
        </w:tc>
        <w:tc>
          <w:tcPr>
            <w:tcW w:type="dxa" w:w="3322"/>
          </w:tcPr>
          <w:p>
            <w:pPr>
              <w:pStyle w:val="null3"/>
            </w:pPr>
            <w:r>
              <w:rPr>
                <w:rFonts w:ascii="仿宋_GB2312" w:hAnsi="仿宋_GB2312" w:cs="仿宋_GB2312" w:eastAsia="仿宋_GB2312"/>
              </w:rPr>
              <w:t>信用记录：①“信用中国”（www.creditchina.gov.cn）网站上未被列入政府采购不良行为记录、重大税收违法案件当事人名单；②“中国执行信息公开网”（http://zxgk.court.gov.cn/shixin/）网站上未被列入失信被执行人名单；③“中国政府采购网（www.ccgp.gov.cn）”上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缴纳投标保证金截图凭证并加盖公章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须具备建筑工程施工总承包叁级及以上资质或市政公用工程施工总承包三级及以上资质，并具有合格有效的安全生产许可证；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拟派项目经理须具备建筑工程专业贰级及以上或市政公用工程施工总承包贰级及以上注册建造师资格，具备有效的安全生产考核合格证书(B证），且未担任其他在建工程项目的项目经理；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投标响应文件的完整性审查</w:t>
            </w:r>
          </w:p>
        </w:tc>
        <w:tc>
          <w:tcPr>
            <w:tcW w:type="dxa" w:w="3322"/>
          </w:tcPr>
          <w:p>
            <w:pPr>
              <w:pStyle w:val="null3"/>
            </w:pPr>
            <w:r>
              <w:rPr>
                <w:rFonts w:ascii="仿宋_GB2312" w:hAnsi="仿宋_GB2312" w:cs="仿宋_GB2312" w:eastAsia="仿宋_GB2312"/>
              </w:rPr>
              <w:t>1.投标响应文件是否按照招标文件要求的格式编写； 2.投标响应文件内容是否有重大缺漏项。</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投标响应文件的有效性审查</w:t>
            </w:r>
          </w:p>
        </w:tc>
        <w:tc>
          <w:tcPr>
            <w:tcW w:type="dxa" w:w="3322"/>
          </w:tcPr>
          <w:p>
            <w:pPr>
              <w:pStyle w:val="null3"/>
            </w:pPr>
            <w:r>
              <w:rPr>
                <w:rFonts w:ascii="仿宋_GB2312" w:hAnsi="仿宋_GB2312" w:cs="仿宋_GB2312" w:eastAsia="仿宋_GB2312"/>
              </w:rPr>
              <w:t>1.投标响应文件的签署、加盖印章是否合格、有效； 2.提供的各种证明文件、数据、资料是否真实、有效。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1.投标报价是否超过采购预算；2.投标有效期是否符合招标文件的要求。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根据供应商针对本项目实际情况编制施工方案。 二、评审标准 1、完整性：须全面，对评审项有详细描述及说明；2、合理性：切合本项目实际情况，实施步骤清晰、合理； 3、针对性：能够紧扣项目实际情况，内容科学合理。 三、赋分标准技术方案内容完全满足所有评审标准得12分；技术方案内容每有一处缺陷扣2分，扣完为止，不计负分；其他或未提供得0分。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根据供应商针对本项目实际情况编制的施工部署 二、评审标准 1.完整性：方案必须全面，对评审内容中的各项要求有详细描述； 2.可实施性：切合本项目实际情况，提出步骤清晰、满足需求的方案。 3.针对性：方案能够紧扣项目实际情况，内容科学合理。 三、赋分标准（满分12分） ①项目管理机构：每满足一个评审标准得1分，满分3分。 ②施工总体思路：每满足一个评审标准得1分，满分3分。 ③重难点工程识别：每满足一个评审标准得1分，满分3分。 ④施工目标（质量、安全、工期、环保）：每满足一个评审标准得1分，满分3分。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安全生产技术组织措施</w:t>
            </w:r>
          </w:p>
        </w:tc>
        <w:tc>
          <w:tcPr>
            <w:tcW w:type="dxa" w:w="2492"/>
          </w:tcPr>
          <w:p>
            <w:pPr>
              <w:pStyle w:val="null3"/>
            </w:pPr>
            <w:r>
              <w:rPr>
                <w:rFonts w:ascii="仿宋_GB2312" w:hAnsi="仿宋_GB2312" w:cs="仿宋_GB2312" w:eastAsia="仿宋_GB2312"/>
              </w:rPr>
              <w:t>一、评审内容 针对本项目提供安全生产技术组织措施，包括但不限于①安全生产管理制度、配置安全组织机构；安全隐患排查、整改制度；防火防灾和应急处置措施；②应急救援机制等。 二、评审标准 1、完整性：方案须全面，对评审内容中的各项要求有详细描述； 2、可实施性：切合本项目实际情况，实施步骤清晰、合理； 3、针对性：方案能够紧扣项目实际情况，内容科学合理。 三、赋分依据（满分6分）①安全生产管理制度、配置安全组织机构；安全隐患排查、整改制度；防火防灾和应急处置措施：每完全满足一个评审标准得1分，满分3分； ②应急救援机制等：每完全满足一个评审标准得1分，满分3分。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文明及环境保护措施</w:t>
            </w:r>
          </w:p>
        </w:tc>
        <w:tc>
          <w:tcPr>
            <w:tcW w:type="dxa" w:w="2492"/>
          </w:tcPr>
          <w:p>
            <w:pPr>
              <w:pStyle w:val="null3"/>
            </w:pPr>
            <w:r>
              <w:rPr>
                <w:rFonts w:ascii="仿宋_GB2312" w:hAnsi="仿宋_GB2312" w:cs="仿宋_GB2312" w:eastAsia="仿宋_GB2312"/>
              </w:rPr>
              <w:t>一、评审内容 针对本项目提供文明及环境保护措施，包括但不限于①文明及环境保护管理制度；②防尘降噪、节能减排措施。 二、评审标准 1、完整性：方案须全面，对评审内容中的各项要求有详细描述； 2、可实施性：切合本项目实际情况，实施步骤清晰、合理； 3、针对性：方案能够紧扣项目实际情况，内容科学合理。 三、赋分依据（满分6分） ①文明及环境保护管理制度：每完全满足一个评审标准得1分，满分3分； ②防尘降噪、节能减排措施：每完全满足一个评审标准得1分，满分3分。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施工进度保证措施</w:t>
            </w:r>
          </w:p>
        </w:tc>
        <w:tc>
          <w:tcPr>
            <w:tcW w:type="dxa" w:w="2492"/>
          </w:tcPr>
          <w:p>
            <w:pPr>
              <w:pStyle w:val="null3"/>
            </w:pPr>
            <w:r>
              <w:rPr>
                <w:rFonts w:ascii="仿宋_GB2312" w:hAnsi="仿宋_GB2312" w:cs="仿宋_GB2312" w:eastAsia="仿宋_GB2312"/>
              </w:rPr>
              <w:t>一、评审内容 针对本项目提供施工进度保证措施，包括但不限于①进度安排计划、施工网络图：②工期目标控制、工期保证措施。 二、评审标准 1、完整性：方案须全面，对评审内容中的各项要求有详细描述； 2、可实施性：切合本项目实际情况，实施步骤清晰、合理； 3、针对性：方案能够紧扣项目实际情况，内容科学合理。 三、赋分依据（满分6分） ①进度安排计划、施工网络图：每完全满足一个评审标准得1分，满分3分；②工期目标控制、工期保证措施：每完全满足一个评审标准得1分，满分3分。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 针对本项目提供施工机械配备和材料投入计划，包括但不限于①施工机械配置计划；②施工材料投入计划；③施工机械的维护保养计划；④材料的贮存计划。 二、评审标准 1、完整性：方案须全面，对评审内容中的各项要求有详细描述； 2、可实施性：切合本项目实际情况，实施步骤清晰、合理； 3、针对性：方案能够紧扣项目实际情况，内容科学合理。 三、赋分依据（满分12分） ①施工机械配置计划：每完全满足一个评审标准得1分，满分3分； ②施工材料投入计划：每完全满足一个评审标准得1分，满分3分； ③施工机械的维护保养计划：每完全满足一个评审标准得1分，满分3分； ④材料的贮存计划：每完全满足一个评审标准得1分，满分3分。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保修及后续服务</w:t>
            </w:r>
          </w:p>
        </w:tc>
        <w:tc>
          <w:tcPr>
            <w:tcW w:type="dxa" w:w="2492"/>
          </w:tcPr>
          <w:p>
            <w:pPr>
              <w:pStyle w:val="null3"/>
            </w:pPr>
            <w:r>
              <w:rPr>
                <w:rFonts w:ascii="仿宋_GB2312" w:hAnsi="仿宋_GB2312" w:cs="仿宋_GB2312" w:eastAsia="仿宋_GB2312"/>
              </w:rPr>
              <w:t>一、评审内容 针对本项目提供保修及后续服务，包括但不限于①验收方案；②维保措施；③保修责任及保修承诺；④响应时间及方式； 二、评审标准 1、完整性：方案须全面，对评审内容中的各项要求有详细描述； 2、可实施性：切合本项目实际情况，实施步骤清晰、合理； 3、针对性：方案能够紧扣项目实际情况，内容科学合理。 三、赋分依据（满分12分） ①验收方案：每完全满足一个评审标准得1分，满分3分； ②维保措施：每完全满足一个评审标准得1分，满分3分； ③保修责任及保修承诺：每完全满足一个评审标准得1分，满分3分； ④响应时间及方式：每完全满足一个评审标准得1分，满分3分。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供应商2023年1月1日至截标时间前类似施工项目业绩，每提供1份计2分，最高得4分，不提供不得分。 注：业绩证明（以合同或中标/成交通知书为准，须在磋商响应文件中附以上证明材料的扫描件加盖单位公章）。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满足磋商文件要求且磋商报价最低的报价为评审基准价。得分：报价得分=(评审基准价／最后报价)×30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