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版本号：DX2026-18220260727002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煎药用包装材料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DX2026-182</w:t>
      </w:r>
      <w:r>
        <w:br/>
      </w:r>
      <w:r>
        <w:br/>
      </w:r>
      <w:r>
        <w:br/>
      </w:r>
    </w:p>
    <w:p>
      <w:pPr>
        <w:pStyle w:val="null3"/>
        <w:jc w:val="center"/>
        <w:outlineLvl w:val="2"/>
      </w:pPr>
      <w:r>
        <w:rPr>
          <w:rFonts w:ascii="仿宋_GB2312" w:hAnsi="仿宋_GB2312" w:cs="仿宋_GB2312" w:eastAsia="仿宋_GB2312"/>
          <w:sz w:val="28"/>
          <w:b/>
        </w:rPr>
        <w:t>陕西中医药大学附属医院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陕西中医药大学附属医院</w:t>
      </w:r>
      <w:r>
        <w:rPr>
          <w:rFonts w:ascii="仿宋_GB2312" w:hAnsi="仿宋_GB2312" w:cs="仿宋_GB2312" w:eastAsia="仿宋_GB2312"/>
        </w:rPr>
        <w:t>委托，拟对</w:t>
      </w:r>
      <w:r>
        <w:rPr>
          <w:rFonts w:ascii="仿宋_GB2312" w:hAnsi="仿宋_GB2312" w:cs="仿宋_GB2312" w:eastAsia="仿宋_GB2312"/>
        </w:rPr>
        <w:t>煎药用包装材料</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DX2026-182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煎药用包装材料</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陕西中医药大学附属医院煎药用包装材料</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年度或2025年度完整的财务审计报告；或投标前六个月内其基本账户银行出具的资信证明；或财政部门认可的政府采购专业担保机构出具的担保函，以上形式的证明资料提供任何一种即可。 3、税收缴纳证明：提供已缴纳的2025年7月1日以来任意时间段的纳税证明或完税证明，纳税证明或完税证明上应有代收机构或税务机关的公章或业务专用章。依法免税的投标人应提供相关文件证明。 4、社保缴纳证明：提供已缴存的2025年7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任意一个月投标供应商为其缴纳的社保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4、投标保证金：投标保证金人民币壹万贰仟元整（¥12000.00元）</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陕西省咸阳市渭阳西路副2号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029-33320910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刘艳娇、张亚娜、聂肖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开户名称：陕西笃信招标有限公司</w:t>
            </w:r>
          </w:p>
          <w:p>
            <w:pPr>
              <w:pStyle w:val="null3"/>
            </w:pPr>
            <w:r>
              <w:rPr>
                <w:rFonts w:ascii="仿宋_GB2312" w:hAnsi="仿宋_GB2312" w:cs="仿宋_GB2312" w:eastAsia="仿宋_GB2312"/>
              </w:rPr>
              <w:t>开户银行：中国建设银行股份有限公司西安劳动北路支行</w:t>
            </w:r>
          </w:p>
          <w:p>
            <w:pPr>
              <w:pStyle w:val="null3"/>
            </w:pPr>
            <w:r>
              <w:rPr>
                <w:rFonts w:ascii="仿宋_GB2312" w:hAnsi="仿宋_GB2312" w:cs="仿宋_GB2312" w:eastAsia="仿宋_GB2312"/>
              </w:rPr>
              <w:t>银行账号：61050174390000000193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关于《招标代理服务收费管理暂行办法》（计价格[2002]1980号）、《国家发展改革委办公厅关于招标代理服务收费有关问题的通知》（发改价格[2003]857号）、《国家发展改革委关于进一步放开建设项目专业服务价格的通知》下浮20%收取。本项目代理服务费不超过7200.00元。（此金额是以限价金额作为代理服务费的缴纳基数计算所得，实际缴纳代理服务费金额以中标单位所投总价作为基数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陕西中医药大学附属医院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联系人：刘艳娇、张亚娜、聂肖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陕西中医药大学附属医院煎药用包装材料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煎药用包装材料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标的名称：煎药用包装材料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2"/>
                <w:b/>
              </w:rPr>
              <w:t>制剂用煎药用包装材料参数</w:t>
            </w:r>
          </w:p>
          <w:tbl>
            <w:tblPr>
              <w:tblInd w:type="dxa" w:w="120"/>
              <w:tblBorders>
                <w:top w:val="none" w:color="000000" w:sz="4"/>
                <w:left w:val="none" w:color="000000" w:sz="4"/>
                <w:bottom w:val="none" w:color="000000" w:sz="4"/>
                <w:right w:val="none" w:color="000000" w:sz="4"/>
                <w:insideH w:val="none"/>
                <w:insideV w:val="none"/>
              </w:tblBorders>
            </w:tblPr>
            <w:tblGrid>
              <w:gridCol w:w="510"/>
              <w:gridCol w:w="623"/>
              <w:gridCol w:w="397"/>
              <w:gridCol w:w="511"/>
              <w:gridCol w:w="511"/>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材质</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暂估数量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无纺布袋</w:t>
                  </w:r>
                  <w:r>
                    <w:rPr>
                      <w:rFonts w:ascii="仿宋_GB2312" w:hAnsi="仿宋_GB2312" w:cs="仿宋_GB2312" w:eastAsia="仿宋_GB2312"/>
                      <w:sz w:val="21"/>
                      <w:color w:val="000000"/>
                    </w:rPr>
                    <w:t>1</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40×45cm</w:t>
                  </w:r>
                </w:p>
                <w:p>
                  <w:pPr>
                    <w:pStyle w:val="null3"/>
                    <w:jc w:val="center"/>
                  </w:pPr>
                  <w:r>
                    <w:rPr>
                      <w:rFonts w:ascii="仿宋_GB2312" w:hAnsi="仿宋_GB2312" w:cs="仿宋_GB2312" w:eastAsia="仿宋_GB2312"/>
                      <w:sz w:val="21"/>
                      <w:color w:val="000000"/>
                    </w:rPr>
                    <w:t>厚度：≥4</w:t>
                  </w:r>
                  <w:r>
                    <w:rPr>
                      <w:rFonts w:ascii="仿宋_GB2312" w:hAnsi="仿宋_GB2312" w:cs="仿宋_GB2312" w:eastAsia="仿宋_GB2312"/>
                      <w:sz w:val="21"/>
                      <w:color w:val="000000"/>
                    </w:rPr>
                    <w:t>0g/m</w:t>
                  </w:r>
                  <w:r>
                    <w:rPr>
                      <w:rFonts w:ascii="仿宋_GB2312" w:hAnsi="仿宋_GB2312" w:cs="仿宋_GB2312" w:eastAsia="仿宋_GB2312"/>
                      <w:sz w:val="21"/>
                      <w:color w:val="000000"/>
                      <w:vertAlign w:val="superscript"/>
                    </w:rPr>
                    <w:t>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无纺布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180000</w:t>
                  </w:r>
                  <w:r>
                    <w:rPr>
                      <w:rFonts w:ascii="仿宋_GB2312" w:hAnsi="仿宋_GB2312" w:cs="仿宋_GB2312" w:eastAsia="仿宋_GB2312"/>
                      <w:sz w:val="21"/>
                      <w:b/>
                      <w:color w:val="000000"/>
                    </w:rPr>
                    <w:t>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1.00元/个</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无纺布袋</w:t>
                  </w:r>
                  <w:r>
                    <w:rPr>
                      <w:rFonts w:ascii="仿宋_GB2312" w:hAnsi="仿宋_GB2312" w:cs="仿宋_GB2312" w:eastAsia="仿宋_GB2312"/>
                      <w:sz w:val="21"/>
                      <w:color w:val="000000"/>
                    </w:rPr>
                    <w:t>2</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55×65cm</w:t>
                  </w:r>
                </w:p>
                <w:p>
                  <w:pPr>
                    <w:pStyle w:val="null3"/>
                    <w:jc w:val="center"/>
                  </w:pPr>
                  <w:r>
                    <w:rPr>
                      <w:rFonts w:ascii="仿宋_GB2312" w:hAnsi="仿宋_GB2312" w:cs="仿宋_GB2312" w:eastAsia="仿宋_GB2312"/>
                      <w:sz w:val="21"/>
                      <w:color w:val="000000"/>
                    </w:rPr>
                    <w:t>厚度：</w:t>
                  </w:r>
                  <w:r>
                    <w:rPr>
                      <w:rFonts w:ascii="仿宋_GB2312" w:hAnsi="仿宋_GB2312" w:cs="仿宋_GB2312" w:eastAsia="仿宋_GB2312"/>
                      <w:sz w:val="21"/>
                      <w:color w:val="000000"/>
                    </w:rPr>
                    <w:t>≥40</w:t>
                  </w:r>
                  <w:r>
                    <w:rPr>
                      <w:rFonts w:ascii="仿宋_GB2312" w:hAnsi="仿宋_GB2312" w:cs="仿宋_GB2312" w:eastAsia="仿宋_GB2312"/>
                      <w:sz w:val="21"/>
                      <w:color w:val="000000"/>
                    </w:rPr>
                    <w:t>g/m</w:t>
                  </w:r>
                  <w:r>
                    <w:rPr>
                      <w:rFonts w:ascii="仿宋_GB2312" w:hAnsi="仿宋_GB2312" w:cs="仿宋_GB2312" w:eastAsia="仿宋_GB2312"/>
                      <w:sz w:val="21"/>
                      <w:color w:val="000000"/>
                      <w:vertAlign w:val="superscript"/>
                    </w:rPr>
                    <w:t>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无纺布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14000</w:t>
                  </w:r>
                  <w:r>
                    <w:rPr>
                      <w:rFonts w:ascii="仿宋_GB2312" w:hAnsi="仿宋_GB2312" w:cs="仿宋_GB2312" w:eastAsia="仿宋_GB2312"/>
                      <w:sz w:val="21"/>
                      <w:b/>
                      <w:color w:val="000000"/>
                    </w:rPr>
                    <w:t>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1.70元/个</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无纺布袋</w:t>
                  </w:r>
                  <w:r>
                    <w:rPr>
                      <w:rFonts w:ascii="仿宋_GB2312" w:hAnsi="仿宋_GB2312" w:cs="仿宋_GB2312" w:eastAsia="仿宋_GB2312"/>
                      <w:sz w:val="21"/>
                      <w:color w:val="000000"/>
                    </w:rPr>
                    <w:t>3</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16×19cm</w:t>
                  </w:r>
                </w:p>
                <w:p>
                  <w:pPr>
                    <w:pStyle w:val="null3"/>
                    <w:jc w:val="center"/>
                  </w:pPr>
                  <w:r>
                    <w:rPr>
                      <w:rFonts w:ascii="仿宋_GB2312" w:hAnsi="仿宋_GB2312" w:cs="仿宋_GB2312" w:eastAsia="仿宋_GB2312"/>
                      <w:sz w:val="21"/>
                      <w:color w:val="000000"/>
                    </w:rPr>
                    <w:t>厚度：</w:t>
                  </w:r>
                  <w:r>
                    <w:rPr>
                      <w:rFonts w:ascii="仿宋_GB2312" w:hAnsi="仿宋_GB2312" w:cs="仿宋_GB2312" w:eastAsia="仿宋_GB2312"/>
                      <w:sz w:val="21"/>
                      <w:color w:val="000000"/>
                    </w:rPr>
                    <w:t>≥4</w:t>
                  </w:r>
                  <w:r>
                    <w:rPr>
                      <w:rFonts w:ascii="仿宋_GB2312" w:hAnsi="仿宋_GB2312" w:cs="仿宋_GB2312" w:eastAsia="仿宋_GB2312"/>
                      <w:sz w:val="21"/>
                      <w:color w:val="000000"/>
                    </w:rPr>
                    <w:t>0g/m</w:t>
                  </w:r>
                  <w:r>
                    <w:rPr>
                      <w:rFonts w:ascii="仿宋_GB2312" w:hAnsi="仿宋_GB2312" w:cs="仿宋_GB2312" w:eastAsia="仿宋_GB2312"/>
                      <w:sz w:val="21"/>
                      <w:color w:val="000000"/>
                      <w:vertAlign w:val="superscript"/>
                    </w:rPr>
                    <w:t>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无纺布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r>
                    <w:rPr>
                      <w:rFonts w:ascii="仿宋_GB2312" w:hAnsi="仿宋_GB2312" w:cs="仿宋_GB2312" w:eastAsia="仿宋_GB2312"/>
                      <w:sz w:val="21"/>
                      <w:b/>
                      <w:color w:val="000000"/>
                    </w:rPr>
                    <w:t>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0.45元/个</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中药液包装袋</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宽度：</w:t>
                  </w:r>
                  <w:r>
                    <w:rPr>
                      <w:rFonts w:ascii="仿宋_GB2312" w:hAnsi="仿宋_GB2312" w:cs="仿宋_GB2312" w:eastAsia="仿宋_GB2312"/>
                      <w:sz w:val="21"/>
                      <w:color w:val="000000"/>
                    </w:rPr>
                    <w:t>10cm</w:t>
                  </w:r>
                </w:p>
                <w:p>
                  <w:pPr>
                    <w:pStyle w:val="null3"/>
                    <w:jc w:val="center"/>
                  </w:pPr>
                  <w:r>
                    <w:rPr>
                      <w:rFonts w:ascii="仿宋_GB2312" w:hAnsi="仿宋_GB2312" w:cs="仿宋_GB2312" w:eastAsia="仿宋_GB2312"/>
                      <w:sz w:val="21"/>
                      <w:color w:val="000000"/>
                    </w:rPr>
                    <w:t>厚度：</w:t>
                  </w:r>
                  <w:r>
                    <w:rPr>
                      <w:rFonts w:ascii="仿宋_GB2312" w:hAnsi="仿宋_GB2312" w:cs="仿宋_GB2312" w:eastAsia="仿宋_GB2312"/>
                      <w:sz w:val="21"/>
                      <w:color w:val="000000"/>
                    </w:rPr>
                    <w:t>115-120cm</w:t>
                  </w:r>
                </w:p>
                <w:p>
                  <w:pPr>
                    <w:pStyle w:val="null3"/>
                    <w:jc w:val="center"/>
                  </w:pPr>
                  <w:r>
                    <w:rPr>
                      <w:rFonts w:ascii="仿宋_GB2312" w:hAnsi="仿宋_GB2312" w:cs="仿宋_GB2312" w:eastAsia="仿宋_GB2312"/>
                      <w:sz w:val="21"/>
                      <w:color w:val="000000"/>
                    </w:rPr>
                    <w:t>重量：净重</w:t>
                  </w:r>
                  <w:r>
                    <w:rPr>
                      <w:rFonts w:ascii="仿宋_GB2312" w:hAnsi="仿宋_GB2312" w:cs="仿宋_GB2312" w:eastAsia="仿宋_GB2312"/>
                      <w:sz w:val="21"/>
                      <w:color w:val="000000"/>
                    </w:rPr>
                    <w:t>9kg印字（不含筒芯）</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采用</w:t>
                  </w:r>
                  <w:r>
                    <w:rPr>
                      <w:rFonts w:ascii="仿宋_GB2312" w:hAnsi="仿宋_GB2312" w:cs="仿宋_GB2312" w:eastAsia="仿宋_GB2312"/>
                      <w:sz w:val="21"/>
                    </w:rPr>
                    <w:t>PE/PET（原生料颗粒）塑料材质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1500组</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265.00元/组</w:t>
                  </w:r>
                </w:p>
              </w:tc>
            </w:tr>
          </w:tbl>
          <w:p>
            <w:pPr>
              <w:pStyle w:val="null3"/>
              <w:jc w:val="left"/>
              <w:outlineLvl w:val="2"/>
            </w:pPr>
            <w:r>
              <w:rPr>
                <w:rFonts w:ascii="仿宋_GB2312" w:hAnsi="仿宋_GB2312" w:cs="仿宋_GB2312" w:eastAsia="仿宋_GB2312"/>
                <w:sz w:val="21"/>
                <w:b/>
              </w:rPr>
              <w:t>要求：</w:t>
            </w:r>
          </w:p>
          <w:p>
            <w:pPr>
              <w:pStyle w:val="null3"/>
              <w:jc w:val="left"/>
              <w:outlineLvl w:val="2"/>
            </w:pPr>
            <w:r>
              <w:rPr>
                <w:rFonts w:ascii="仿宋_GB2312" w:hAnsi="仿宋_GB2312" w:cs="仿宋_GB2312" w:eastAsia="仿宋_GB2312"/>
                <w:sz w:val="21"/>
                <w:b/>
              </w:rPr>
              <w:t>一、</w:t>
            </w:r>
            <w:r>
              <w:rPr>
                <w:rFonts w:ascii="仿宋_GB2312" w:hAnsi="仿宋_GB2312" w:cs="仿宋_GB2312" w:eastAsia="仿宋_GB2312"/>
                <w:sz w:val="21"/>
                <w:b/>
              </w:rPr>
              <w:t>煎药无纺布过滤袋</w:t>
            </w:r>
          </w:p>
          <w:p>
            <w:pPr>
              <w:pStyle w:val="null3"/>
              <w:jc w:val="left"/>
              <w:outlineLvl w:val="2"/>
            </w:pPr>
            <w:r>
              <w:rPr>
                <w:rFonts w:ascii="仿宋_GB2312" w:hAnsi="仿宋_GB2312" w:cs="仿宋_GB2312" w:eastAsia="仿宋_GB2312"/>
                <w:sz w:val="21"/>
                <w:b/>
              </w:rPr>
              <w:t>1.</w:t>
            </w:r>
            <w:r>
              <w:rPr>
                <w:rFonts w:ascii="仿宋_GB2312" w:hAnsi="仿宋_GB2312" w:cs="仿宋_GB2312" w:eastAsia="仿宋_GB2312"/>
                <w:sz w:val="21"/>
                <w:b/>
              </w:rPr>
              <w:t>材质要求</w:t>
            </w:r>
          </w:p>
          <w:p>
            <w:pPr>
              <w:pStyle w:val="null3"/>
              <w:ind w:firstLine="420"/>
              <w:jc w:val="left"/>
            </w:pPr>
            <w:r>
              <w:rPr>
                <w:rFonts w:ascii="仿宋_GB2312" w:hAnsi="仿宋_GB2312" w:cs="仿宋_GB2312" w:eastAsia="仿宋_GB2312"/>
                <w:sz w:val="21"/>
              </w:rPr>
              <w:t>▲1.1食品级原生聚丙烯（PP）无纺布（提供检测报告）；</w:t>
            </w:r>
          </w:p>
          <w:p>
            <w:pPr>
              <w:pStyle w:val="null3"/>
              <w:ind w:firstLine="420"/>
              <w:jc w:val="left"/>
            </w:pPr>
            <w:r>
              <w:rPr>
                <w:rFonts w:ascii="仿宋_GB2312" w:hAnsi="仿宋_GB2312" w:cs="仿宋_GB2312" w:eastAsia="仿宋_GB2312"/>
                <w:sz w:val="21"/>
              </w:rPr>
              <w:t>1.2无纺布为白色、无异味、无杂质、无荧光、无掉毛掉屑。</w:t>
            </w:r>
          </w:p>
          <w:p>
            <w:pPr>
              <w:pStyle w:val="null3"/>
              <w:jc w:val="left"/>
              <w:outlineLvl w:val="2"/>
            </w:pPr>
            <w:r>
              <w:rPr>
                <w:rFonts w:ascii="仿宋_GB2312" w:hAnsi="仿宋_GB2312" w:cs="仿宋_GB2312" w:eastAsia="仿宋_GB2312"/>
                <w:sz w:val="21"/>
                <w:b/>
              </w:rPr>
              <w:t>2</w:t>
            </w:r>
            <w:r>
              <w:rPr>
                <w:rFonts w:ascii="仿宋_GB2312" w:hAnsi="仿宋_GB2312" w:cs="仿宋_GB2312" w:eastAsia="仿宋_GB2312"/>
                <w:sz w:val="21"/>
                <w:b/>
              </w:rPr>
              <w:t>.性能要求</w:t>
            </w:r>
          </w:p>
          <w:p>
            <w:pPr>
              <w:pStyle w:val="null3"/>
              <w:jc w:val="left"/>
              <w:outlineLvl w:val="2"/>
            </w:pPr>
            <w:r>
              <w:rPr>
                <w:rFonts w:ascii="仿宋_GB2312" w:hAnsi="仿宋_GB2312" w:cs="仿宋_GB2312" w:eastAsia="仿宋_GB2312"/>
                <w:sz w:val="21"/>
                <w:b/>
              </w:rPr>
              <w:t>2.1</w:t>
            </w:r>
            <w:r>
              <w:rPr>
                <w:rFonts w:ascii="仿宋_GB2312" w:hAnsi="仿宋_GB2312" w:cs="仿宋_GB2312" w:eastAsia="仿宋_GB2312"/>
                <w:sz w:val="21"/>
                <w:b/>
              </w:rPr>
              <w:t>布质厚实均匀</w:t>
            </w:r>
          </w:p>
          <w:p>
            <w:pPr>
              <w:pStyle w:val="null3"/>
              <w:jc w:val="left"/>
              <w:outlineLvl w:val="2"/>
            </w:pPr>
            <w:r>
              <w:rPr>
                <w:rFonts w:ascii="仿宋_GB2312" w:hAnsi="仿宋_GB2312" w:cs="仿宋_GB2312" w:eastAsia="仿宋_GB2312"/>
                <w:sz w:val="21"/>
                <w:b/>
              </w:rPr>
              <w:t>2.2</w:t>
            </w:r>
            <w:r>
              <w:rPr>
                <w:rFonts w:ascii="仿宋_GB2312" w:hAnsi="仿宋_GB2312" w:cs="仿宋_GB2312" w:eastAsia="仿宋_GB2312"/>
                <w:sz w:val="21"/>
                <w:b/>
              </w:rPr>
              <w:t>耐高温：</w:t>
            </w:r>
            <w:r>
              <w:rPr>
                <w:rFonts w:ascii="仿宋_GB2312" w:hAnsi="仿宋_GB2312" w:cs="仿宋_GB2312" w:eastAsia="仿宋_GB2312"/>
                <w:sz w:val="21"/>
                <w:b/>
              </w:rPr>
              <w:t>100℃沸水连续煎煮60min以上，不熔化、不破损、不破裂</w:t>
            </w:r>
          </w:p>
          <w:p>
            <w:pPr>
              <w:pStyle w:val="null3"/>
              <w:jc w:val="left"/>
              <w:outlineLvl w:val="2"/>
            </w:pPr>
            <w:r>
              <w:rPr>
                <w:rFonts w:ascii="仿宋_GB2312" w:hAnsi="仿宋_GB2312" w:cs="仿宋_GB2312" w:eastAsia="仿宋_GB2312"/>
                <w:sz w:val="21"/>
                <w:b/>
              </w:rPr>
              <w:t>2.3</w:t>
            </w:r>
            <w:r>
              <w:rPr>
                <w:rFonts w:ascii="仿宋_GB2312" w:hAnsi="仿宋_GB2312" w:cs="仿宋_GB2312" w:eastAsia="仿宋_GB2312"/>
                <w:sz w:val="21"/>
                <w:b/>
              </w:rPr>
              <w:t>过滤效果好：有效截留药渣，药液清澈，不堵塞煎药机管路，透水透气性佳，不影响药效析出。</w:t>
            </w:r>
          </w:p>
          <w:p>
            <w:pPr>
              <w:pStyle w:val="null3"/>
              <w:ind w:firstLine="420"/>
              <w:jc w:val="left"/>
            </w:pPr>
            <w:r>
              <w:rPr>
                <w:rFonts w:ascii="仿宋_GB2312" w:hAnsi="仿宋_GB2312" w:cs="仿宋_GB2312" w:eastAsia="仿宋_GB2312"/>
                <w:sz w:val="21"/>
              </w:rPr>
              <w:t>2.5加固封口：三边热压密封，配纯棉绑带，不易开裂、散口。</w:t>
            </w:r>
          </w:p>
          <w:p>
            <w:pPr>
              <w:pStyle w:val="null3"/>
              <w:jc w:val="left"/>
              <w:outlineLvl w:val="2"/>
            </w:pPr>
            <w:r>
              <w:rPr>
                <w:rFonts w:ascii="仿宋_GB2312" w:hAnsi="仿宋_GB2312" w:cs="仿宋_GB2312" w:eastAsia="仿宋_GB2312"/>
                <w:sz w:val="21"/>
                <w:b/>
              </w:rPr>
              <w:t>3</w:t>
            </w:r>
            <w:r>
              <w:rPr>
                <w:rFonts w:ascii="仿宋_GB2312" w:hAnsi="仿宋_GB2312" w:cs="仿宋_GB2312" w:eastAsia="仿宋_GB2312"/>
                <w:sz w:val="21"/>
                <w:b/>
              </w:rPr>
              <w:t>.安全指标</w:t>
            </w:r>
          </w:p>
          <w:p>
            <w:pPr>
              <w:pStyle w:val="null3"/>
              <w:jc w:val="left"/>
              <w:outlineLvl w:val="2"/>
            </w:pPr>
            <w:r>
              <w:rPr>
                <w:rFonts w:ascii="仿宋_GB2312" w:hAnsi="仿宋_GB2312" w:cs="仿宋_GB2312" w:eastAsia="仿宋_GB2312"/>
                <w:sz w:val="21"/>
                <w:b/>
              </w:rPr>
              <w:t>▲3.1</w:t>
            </w:r>
            <w:r>
              <w:rPr>
                <w:rFonts w:ascii="仿宋_GB2312" w:hAnsi="仿宋_GB2312" w:cs="仿宋_GB2312" w:eastAsia="仿宋_GB2312"/>
                <w:sz w:val="21"/>
                <w:b/>
              </w:rPr>
              <w:t>重金属、总迁移量、高锰酸钾消耗量、脱色试验均符合国家食品接触材料标准。</w:t>
            </w:r>
          </w:p>
          <w:p>
            <w:pPr>
              <w:pStyle w:val="null3"/>
              <w:jc w:val="both"/>
            </w:pPr>
            <w:r>
              <w:rPr>
                <w:rFonts w:ascii="仿宋_GB2312" w:hAnsi="仿宋_GB2312" w:cs="仿宋_GB2312" w:eastAsia="仿宋_GB2312"/>
                <w:sz w:val="21"/>
                <w:b/>
              </w:rPr>
              <w:t>二、中药液包装袋（复合膜卷材）</w:t>
            </w:r>
          </w:p>
          <w:p>
            <w:pPr>
              <w:pStyle w:val="null3"/>
              <w:jc w:val="left"/>
              <w:outlineLvl w:val="2"/>
            </w:pPr>
            <w:r>
              <w:rPr>
                <w:rFonts w:ascii="仿宋_GB2312" w:hAnsi="仿宋_GB2312" w:cs="仿宋_GB2312" w:eastAsia="仿宋_GB2312"/>
                <w:sz w:val="21"/>
                <w:b/>
              </w:rPr>
              <w:t>1.执行标准</w:t>
            </w:r>
          </w:p>
          <w:p>
            <w:pPr>
              <w:pStyle w:val="null3"/>
              <w:jc w:val="left"/>
              <w:outlineLvl w:val="2"/>
            </w:pPr>
            <w:r>
              <w:rPr>
                <w:rFonts w:ascii="仿宋_GB2312" w:hAnsi="仿宋_GB2312" w:cs="仿宋_GB2312" w:eastAsia="仿宋_GB2312"/>
                <w:sz w:val="21"/>
                <w:b/>
              </w:rPr>
              <w:t>▲1.1</w:t>
            </w:r>
            <w:r>
              <w:rPr>
                <w:rFonts w:ascii="仿宋_GB2312" w:hAnsi="仿宋_GB2312" w:cs="仿宋_GB2312" w:eastAsia="仿宋_GB2312"/>
                <w:sz w:val="21"/>
                <w:b/>
              </w:rPr>
              <w:t>符合</w:t>
            </w:r>
            <w:r>
              <w:rPr>
                <w:rFonts w:ascii="仿宋_GB2312" w:hAnsi="仿宋_GB2312" w:cs="仿宋_GB2312" w:eastAsia="仿宋_GB2312"/>
                <w:sz w:val="21"/>
                <w:b/>
              </w:rPr>
              <w:t>YBB00132002-2015《药用复合膜、袋通则》</w:t>
            </w:r>
            <w:r>
              <w:rPr>
                <w:rFonts w:ascii="仿宋_GB2312" w:hAnsi="仿宋_GB2312" w:cs="仿宋_GB2312" w:eastAsia="仿宋_GB2312"/>
                <w:sz w:val="21"/>
                <w:b/>
              </w:rPr>
              <w:t>和</w:t>
            </w:r>
            <w:r>
              <w:rPr>
                <w:rFonts w:ascii="仿宋_GB2312" w:hAnsi="仿宋_GB2312" w:cs="仿宋_GB2312" w:eastAsia="仿宋_GB2312"/>
                <w:sz w:val="21"/>
                <w:b/>
              </w:rPr>
              <w:t>2025年版《中国药典》中《药品包用塑料材料和容器指导原则》</w:t>
            </w:r>
            <w:r>
              <w:rPr>
                <w:rFonts w:ascii="仿宋_GB2312" w:hAnsi="仿宋_GB2312" w:cs="仿宋_GB2312" w:eastAsia="仿宋_GB2312"/>
                <w:sz w:val="21"/>
                <w:b/>
              </w:rPr>
              <w:t>。</w:t>
            </w:r>
          </w:p>
          <w:p>
            <w:pPr>
              <w:pStyle w:val="null3"/>
              <w:jc w:val="left"/>
              <w:outlineLvl w:val="2"/>
            </w:pPr>
            <w:r>
              <w:rPr>
                <w:rFonts w:ascii="仿宋_GB2312" w:hAnsi="仿宋_GB2312" w:cs="仿宋_GB2312" w:eastAsia="仿宋_GB2312"/>
                <w:sz w:val="21"/>
                <w:b/>
              </w:rPr>
              <w:t>2.材质结构</w:t>
            </w:r>
          </w:p>
          <w:p>
            <w:pPr>
              <w:pStyle w:val="null3"/>
              <w:ind w:firstLine="420"/>
              <w:jc w:val="left"/>
            </w:pPr>
            <w:r>
              <w:rPr>
                <w:rFonts w:ascii="仿宋_GB2312" w:hAnsi="仿宋_GB2312" w:cs="仿宋_GB2312" w:eastAsia="仿宋_GB2312"/>
                <w:sz w:val="21"/>
              </w:rPr>
              <w:t>2.1 PET/PE双层药用复合结构，全新原生原料，无回收料、无再生料；采用药用水性油墨印刷，无异味、不掉色、不脱墨。</w:t>
            </w:r>
          </w:p>
          <w:p>
            <w:pPr>
              <w:pStyle w:val="null3"/>
              <w:jc w:val="left"/>
              <w:outlineLvl w:val="2"/>
            </w:pPr>
            <w:r>
              <w:rPr>
                <w:rFonts w:ascii="仿宋_GB2312" w:hAnsi="仿宋_GB2312" w:cs="仿宋_GB2312" w:eastAsia="仿宋_GB2312"/>
                <w:sz w:val="21"/>
                <w:b/>
              </w:rPr>
              <w:t>3.物理性能参数</w:t>
            </w:r>
          </w:p>
          <w:p>
            <w:pPr>
              <w:pStyle w:val="null3"/>
              <w:ind w:firstLine="420"/>
              <w:jc w:val="left"/>
            </w:pPr>
            <w:r>
              <w:rPr>
                <w:rFonts w:ascii="仿宋_GB2312" w:hAnsi="仿宋_GB2312" w:cs="仿宋_GB2312" w:eastAsia="仿宋_GB2312"/>
                <w:sz w:val="21"/>
              </w:rPr>
              <w:t>3.1热合强度：热封牢固，不漏液、不裂边</w:t>
            </w:r>
          </w:p>
          <w:p>
            <w:pPr>
              <w:pStyle w:val="null3"/>
              <w:ind w:firstLine="420"/>
              <w:jc w:val="left"/>
            </w:pPr>
            <w:r>
              <w:rPr>
                <w:rFonts w:ascii="仿宋_GB2312" w:hAnsi="仿宋_GB2312" w:cs="仿宋_GB2312" w:eastAsia="仿宋_GB2312"/>
                <w:sz w:val="21"/>
              </w:rPr>
              <w:t>3.2剥离强度：不分层、不脱层</w:t>
            </w:r>
          </w:p>
          <w:p>
            <w:pPr>
              <w:pStyle w:val="null3"/>
              <w:ind w:firstLine="420"/>
              <w:jc w:val="left"/>
            </w:pPr>
            <w:r>
              <w:rPr>
                <w:rFonts w:ascii="仿宋_GB2312" w:hAnsi="仿宋_GB2312" w:cs="仿宋_GB2312" w:eastAsia="仿宋_GB2312"/>
                <w:sz w:val="21"/>
              </w:rPr>
              <w:t>3.3耐高温：100℃药液长期接触不变形、不软化、无异味析出</w:t>
            </w:r>
          </w:p>
          <w:p>
            <w:pPr>
              <w:pStyle w:val="null3"/>
              <w:ind w:firstLine="420"/>
              <w:jc w:val="left"/>
            </w:pPr>
            <w:r>
              <w:rPr>
                <w:rFonts w:ascii="仿宋_GB2312" w:hAnsi="仿宋_GB2312" w:cs="仿宋_GB2312" w:eastAsia="仿宋_GB2312"/>
                <w:sz w:val="21"/>
              </w:rPr>
              <w:t>3.4耐压、跌落性能：满载药液无破裂、无渗漏、阻氧、阻湿性能优良</w:t>
            </w:r>
          </w:p>
          <w:p>
            <w:pPr>
              <w:pStyle w:val="null3"/>
              <w:jc w:val="left"/>
              <w:outlineLvl w:val="2"/>
            </w:pPr>
            <w:r>
              <w:rPr>
                <w:rFonts w:ascii="仿宋_GB2312" w:hAnsi="仿宋_GB2312" w:cs="仿宋_GB2312" w:eastAsia="仿宋_GB2312"/>
                <w:sz w:val="21"/>
                <w:b/>
              </w:rPr>
              <w:t>4.安全卫生指标</w:t>
            </w:r>
          </w:p>
          <w:p>
            <w:pPr>
              <w:pStyle w:val="null3"/>
              <w:jc w:val="left"/>
              <w:outlineLvl w:val="2"/>
            </w:pPr>
            <w:r>
              <w:rPr>
                <w:rFonts w:ascii="仿宋_GB2312" w:hAnsi="仿宋_GB2312" w:cs="仿宋_GB2312" w:eastAsia="仿宋_GB2312"/>
                <w:sz w:val="21"/>
                <w:b/>
              </w:rPr>
              <w:t>4.1</w:t>
            </w:r>
            <w:r>
              <w:rPr>
                <w:rFonts w:ascii="仿宋_GB2312" w:hAnsi="仿宋_GB2312" w:cs="仿宋_GB2312" w:eastAsia="仿宋_GB2312"/>
                <w:sz w:val="21"/>
                <w:b/>
              </w:rPr>
              <w:t>苯类溶剂残留：</w:t>
            </w:r>
            <w:r>
              <w:rPr>
                <w:rFonts w:ascii="仿宋_GB2312" w:hAnsi="仿宋_GB2312" w:cs="仿宋_GB2312" w:eastAsia="仿宋_GB2312"/>
                <w:sz w:val="21"/>
                <w:b/>
              </w:rPr>
              <w:t>不得检出</w:t>
            </w:r>
          </w:p>
          <w:p>
            <w:pPr>
              <w:pStyle w:val="null3"/>
              <w:ind w:firstLine="420"/>
              <w:jc w:val="left"/>
            </w:pPr>
            <w:r>
              <w:rPr>
                <w:rFonts w:ascii="仿宋_GB2312" w:hAnsi="仿宋_GB2312" w:cs="仿宋_GB2312" w:eastAsia="仿宋_GB2312"/>
                <w:sz w:val="21"/>
              </w:rPr>
              <w:t>4.2总溶剂残留：≤5.0mg/㎡</w:t>
            </w:r>
          </w:p>
          <w:p>
            <w:pPr>
              <w:pStyle w:val="null3"/>
              <w:ind w:firstLine="420"/>
              <w:jc w:val="left"/>
            </w:pPr>
            <w:r>
              <w:rPr>
                <w:rFonts w:ascii="仿宋_GB2312" w:hAnsi="仿宋_GB2312" w:cs="仿宋_GB2312" w:eastAsia="仿宋_GB2312"/>
                <w:sz w:val="21"/>
              </w:rPr>
              <w:t>4.3重金属、易氧化物、不挥发物符合药用包材标准</w:t>
            </w:r>
          </w:p>
          <w:p>
            <w:pPr>
              <w:pStyle w:val="null3"/>
              <w:ind w:firstLine="420"/>
              <w:jc w:val="left"/>
            </w:pPr>
            <w:r>
              <w:rPr>
                <w:rFonts w:ascii="仿宋_GB2312" w:hAnsi="仿宋_GB2312" w:cs="仿宋_GB2312" w:eastAsia="仿宋_GB2312"/>
                <w:sz w:val="21"/>
              </w:rPr>
              <w:t>4.4脱色试验：水、乙醇、正己烷浸泡液均无色、无迁移</w:t>
            </w:r>
          </w:p>
          <w:p>
            <w:pPr>
              <w:pStyle w:val="null3"/>
              <w:ind w:firstLine="420"/>
              <w:jc w:val="left"/>
            </w:pPr>
            <w:r>
              <w:rPr>
                <w:rFonts w:ascii="仿宋_GB2312" w:hAnsi="仿宋_GB2312" w:cs="仿宋_GB2312" w:eastAsia="仿宋_GB2312"/>
                <w:sz w:val="21"/>
              </w:rPr>
              <w:t>4.5无荧光增白剂、无有害增塑剂</w:t>
            </w:r>
          </w:p>
          <w:p>
            <w:pPr>
              <w:pStyle w:val="null3"/>
              <w:jc w:val="left"/>
              <w:outlineLvl w:val="2"/>
            </w:pPr>
            <w:r>
              <w:rPr>
                <w:rFonts w:ascii="仿宋_GB2312" w:hAnsi="仿宋_GB2312" w:cs="仿宋_GB2312" w:eastAsia="仿宋_GB2312"/>
                <w:sz w:val="21"/>
                <w:b/>
              </w:rPr>
              <w:t>5.微生物指标</w:t>
            </w:r>
          </w:p>
          <w:p>
            <w:pPr>
              <w:pStyle w:val="null3"/>
            </w:pPr>
            <w:r>
              <w:rPr>
                <w:rFonts w:ascii="仿宋_GB2312" w:hAnsi="仿宋_GB2312" w:cs="仿宋_GB2312" w:eastAsia="仿宋_GB2312"/>
                <w:sz w:val="21"/>
              </w:rPr>
              <w:t>5.1微生物限度符合药用标准，不得检出大肠菌群、金黄色葡萄球菌、铜绿假单胞菌等致病菌，无霉变、无污染源。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到货时间：接到甲方通知后7个日历日内。 质保期：自交付验收合格之日起，不得少于有效期时间。 售后：电话随时响应，4小时到位。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因系统录入限制，该部分内容以合同为准）本次招标为货物带量单价招标，最终合同价款按货物实际供给量据实结算。按照三个月滚动付款，第四个月支付第一个月货款，以此类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质保期：自交付验收合格之日起，不得少于有效期时间。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通过电子化交易系统进行，投标需在电子化交易系统上传投标文件。中标供应商领取中标（成交）通知书时，向采购代理机构提供一正两副纸质投标文件及电子版1份（签字盖章扫描PDF和word文档格式，U盘存储）。 2.投标人应自投标文件递交截止时间起至开标结束，保持在线状态。 3.投标文件中凡是需要法定代表人盖章之处，由分支机构参与投标时，单位负责人均参照执行（法定代表人授权书由单位负责人签授）。4.本项目支付方式以合同为准。5.样品递交地点：西安经济技术开发区凤城十一路与文景路十字文景商务广场B座8层；样品递交截止时间：同投标文件递交截止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投标人企业关系关联承诺书</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年度或2025年度完整的财务审计报告；或投标前六个月内其基本账户银行出具的资信证明；或财政部门认可的政府采购专业担保机构出具的担保函，以上形式的证明资料提供任何一种即可。 3、税收缴纳证明：提供已缴纳的2025年7月1日以来任意时间段的纳税证明或完税证明，纳税证明或完税证明上应有代收机构或税务机关的公章或业务专用章。依法免税的投标人应提供相关文件证明。 4、社保缴纳证明：提供已缴存的2025年7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任意一个月投标供应商为其缴纳的社保缴纳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投标保证金人民币壹万贰仟元整（¥12000.00元）</w:t>
            </w:r>
          </w:p>
        </w:tc>
        <w:tc>
          <w:tcPr>
            <w:tcW w:type="dxa" w:w="1661"/>
          </w:tcPr>
          <w:p>
            <w:pPr>
              <w:pStyle w:val="null3"/>
            </w:pPr>
            <w:r>
              <w:rPr>
                <w:rFonts w:ascii="仿宋_GB2312" w:hAnsi="仿宋_GB2312" w:cs="仿宋_GB2312" w:eastAsia="仿宋_GB2312"/>
              </w:rPr>
              <w:t>投标人资格证明文件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w:t>
            </w:r>
          </w:p>
        </w:tc>
        <w:tc>
          <w:tcPr>
            <w:tcW w:type="dxa" w:w="1661"/>
          </w:tcPr>
          <w:p>
            <w:pPr>
              <w:pStyle w:val="null3"/>
            </w:pPr>
            <w:r>
              <w:rPr>
                <w:rFonts w:ascii="仿宋_GB2312" w:hAnsi="仿宋_GB2312" w:cs="仿宋_GB2312" w:eastAsia="仿宋_GB2312"/>
              </w:rPr>
              <w:t>投标人廉洁自律承诺书 投标人企业关系关联承诺书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其他响应无效事项</w:t>
            </w:r>
          </w:p>
        </w:tc>
        <w:tc>
          <w:tcPr>
            <w:tcW w:type="dxa" w:w="3322"/>
          </w:tcPr>
          <w:p>
            <w:pPr>
              <w:pStyle w:val="null3"/>
            </w:pPr>
            <w:r>
              <w:rPr>
                <w:rFonts w:ascii="仿宋_GB2312" w:hAnsi="仿宋_GB2312" w:cs="仿宋_GB2312" w:eastAsia="仿宋_GB2312"/>
              </w:rPr>
              <w:t>没有不符合法律法规规定或招标文件规定的被视为无效响应的其他条款。</w:t>
            </w:r>
          </w:p>
        </w:tc>
        <w:tc>
          <w:tcPr>
            <w:tcW w:type="dxa" w:w="1661"/>
          </w:tcPr>
          <w:p>
            <w:pPr>
              <w:pStyle w:val="null3"/>
            </w:pPr>
            <w:r>
              <w:rPr>
                <w:rFonts w:ascii="仿宋_GB2312" w:hAnsi="仿宋_GB2312" w:cs="仿宋_GB2312" w:eastAsia="仿宋_GB2312"/>
              </w:rPr>
              <w:t>（商务）合同条款偏离表 投标人认为有必要补充说明的事项</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投标人对招标文件质量保证、交货期、合同条款等商务要求进行响应，完全满足采购需求得2分，不满足或存在负偏离不得分。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提供2023年7月1日至今类似项目业绩合同（以合同签订时间为准）；一个业绩得2分，最高得8分； 评审依据：提供完整合同复印件并加盖公章。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晰明确，符合使用要求，数量准确无缺漏项，技术指标完全响应招标文件要求，满足采购需求，计基本分14分；▲项每负偏离一项扣2分，其他项每负偏离一项扣0.5分，扣完为止。投标人应逐条对应技术参数进行应答。▲项需提供充分的证明资料（不限于检验报告、产品彩页、产品说明书、功能说明等）并标注页码，否则视为负偏离。</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提供样品： ①无纺布袋1，数量1个； ②无纺布袋2，数量1个； ③无纺布袋3，数量1个； ④中药液包装袋，数量1组。 二、评审标准 1.样品完全符合招标文件要求，产品无瑕疵，制作工艺符合行业标准，结实耐用，质感好，每项得1.5分； 2.样品存在瑕疵（如刺鼻异味、重量、可见杂质颗粒、污渍、大量毛边、破洞、深浅压痕、袋身歪斜、两侧不对称等），得0.5分。 3.未提供或提供不全得0分。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需提供本项目产品（无纺布袋及中药液包装袋）的合法正规来源渠道证明文件，确保供应渠道正常、检验手续合法有效、无产权纠纷（不限于授权函、销售协议、代理协议等）。每提供一种产品有效的合法来源渠道证明文件得1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投标人具备至少1辆厢式运输车，车辆应清洁、无异味，运输时不得与有毒、有害、有腐蚀性货物混装，运输中应注意轻装、轻卸、防雨、防晒，得2分。投标人每增加1辆厢式运输车加1分，最多加1分。 （提供证明资料：①自有车辆提供车辆购买发票及车辆行驶证；租赁车辆提供租赁合同及车辆行驶证；②拟投入车辆照片等；未提供不得分）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生产车间</w:t>
            </w:r>
          </w:p>
        </w:tc>
        <w:tc>
          <w:tcPr>
            <w:tcW w:type="dxa" w:w="2492"/>
          </w:tcPr>
          <w:p>
            <w:pPr>
              <w:pStyle w:val="null3"/>
            </w:pPr>
            <w:r>
              <w:rPr>
                <w:rFonts w:ascii="仿宋_GB2312" w:hAnsi="仿宋_GB2312" w:cs="仿宋_GB2312" w:eastAsia="仿宋_GB2312"/>
              </w:rPr>
              <w:t>1、提供CMA资质第三方检测机构出具的有效的洁净车间检测报告。 洁净度达到三十万级，得1分；洁净度达到十万级，得2分。 2、提供生产车间布局图、实地照片得1分。未提供或提供不全不得分。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投标人针对本项目提供增值服务， 内容详实、具备实操性且合法有效，能够切实为本项目履约提供附加保障的，每提供1条得1分，满分2分； 未提供或所提供增值服务方案空洞、不具备可实施条件的不得分。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①提供所投产品型号、材质、技术规格等详细信息描述，根据所投产品品牌、配置先进性、选型科学合理、完整性、性能、稳定性、兼容性、使用广泛性等赋分； ②具有详细的实施计划及进度安排； ③具有完善供货组织安排、详细的人员、财力调配、运输、配送措施； ④具有健全产品安装、检测、调试及验收方案。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评审内容每存在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②到场响应时限及保障措施； ③应急突发状况处置措施； ④针对本项目的服务承诺。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评审内容每存在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①售后服务机构及售后服务计划；②售后服务方案及承诺。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每存在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 报价得分=（评审基准价／报价）×40%×100。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提供政府采购政策等证明材料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详见附件：（商务）合同条款偏离表</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详见附件：投标人企业关系关联承诺书</w:t>
      </w:r>
    </w:p>
    <w:p>
      <w:pPr>
        <w:pStyle w:val="null3"/>
        <w:ind w:firstLine="960"/>
      </w:pPr>
      <w:r>
        <w:rPr>
          <w:rFonts w:ascii="仿宋_GB2312" w:hAnsi="仿宋_GB2312" w:cs="仿宋_GB2312" w:eastAsia="仿宋_GB2312"/>
        </w:rPr>
        <w:t>详见附件：投标人廉洁自律承诺书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