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73F4B">
      <w:pPr>
        <w:wordWrap w:val="0"/>
        <w:ind w:right="964"/>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合同编号：</w:t>
      </w:r>
    </w:p>
    <w:p w14:paraId="5898490E">
      <w:pPr>
        <w:rPr>
          <w:rFonts w:hint="eastAsia" w:ascii="仿宋" w:hAnsi="仿宋" w:eastAsia="仿宋" w:cs="仿宋"/>
          <w:b/>
          <w:sz w:val="24"/>
          <w:szCs w:val="24"/>
          <w:highlight w:val="none"/>
        </w:rPr>
      </w:pPr>
    </w:p>
    <w:p w14:paraId="233D01FA">
      <w:pPr>
        <w:rPr>
          <w:rFonts w:hint="eastAsia" w:ascii="仿宋" w:hAnsi="仿宋" w:eastAsia="仿宋" w:cs="仿宋"/>
          <w:b/>
          <w:sz w:val="24"/>
          <w:szCs w:val="24"/>
          <w:highlight w:val="none"/>
        </w:rPr>
      </w:pPr>
    </w:p>
    <w:p w14:paraId="6CA2BF24">
      <w:pPr>
        <w:rPr>
          <w:rFonts w:hint="eastAsia" w:ascii="仿宋" w:hAnsi="仿宋" w:eastAsia="仿宋" w:cs="仿宋"/>
          <w:b/>
          <w:sz w:val="24"/>
          <w:szCs w:val="24"/>
          <w:highlight w:val="none"/>
        </w:rPr>
      </w:pPr>
    </w:p>
    <w:p w14:paraId="2CDEE624">
      <w:pPr>
        <w:rPr>
          <w:rFonts w:hint="eastAsia" w:ascii="仿宋" w:hAnsi="仿宋" w:eastAsia="仿宋" w:cs="仿宋"/>
          <w:b/>
          <w:sz w:val="24"/>
          <w:szCs w:val="24"/>
          <w:highlight w:val="none"/>
        </w:rPr>
      </w:pPr>
    </w:p>
    <w:p w14:paraId="7347BAE2">
      <w:pPr>
        <w:jc w:val="center"/>
        <w:rPr>
          <w:rFonts w:hint="eastAsia" w:ascii="仿宋" w:hAnsi="仿宋" w:eastAsia="仿宋" w:cs="仿宋"/>
          <w:b/>
          <w:sz w:val="48"/>
          <w:szCs w:val="48"/>
          <w:highlight w:val="none"/>
        </w:rPr>
      </w:pPr>
      <w:r>
        <w:rPr>
          <w:rFonts w:hint="eastAsia" w:ascii="仿宋" w:hAnsi="仿宋" w:eastAsia="仿宋" w:cs="仿宋"/>
          <w:b/>
          <w:sz w:val="48"/>
          <w:szCs w:val="48"/>
          <w:highlight w:val="none"/>
        </w:rPr>
        <w:t>陕西中医药大学附属医院</w:t>
      </w:r>
    </w:p>
    <w:p w14:paraId="2CE28115">
      <w:pPr>
        <w:jc w:val="center"/>
        <w:rPr>
          <w:rFonts w:hint="eastAsia" w:ascii="仿宋" w:hAnsi="仿宋" w:eastAsia="仿宋" w:cs="仿宋"/>
          <w:b/>
          <w:bCs w:val="0"/>
          <w:sz w:val="36"/>
          <w:szCs w:val="36"/>
          <w:highlight w:val="none"/>
          <w:lang w:val="en-US" w:eastAsia="zh-CN"/>
        </w:rPr>
      </w:pPr>
      <w:r>
        <w:rPr>
          <w:rFonts w:hint="eastAsia" w:ascii="仿宋" w:hAnsi="仿宋" w:eastAsia="仿宋" w:cs="仿宋"/>
          <w:b/>
          <w:bCs w:val="0"/>
          <w:sz w:val="36"/>
          <w:szCs w:val="36"/>
          <w:highlight w:val="none"/>
          <w:lang w:val="en-US" w:eastAsia="zh-CN"/>
        </w:rPr>
        <w:t>煎药用包装材料采购项目</w:t>
      </w:r>
    </w:p>
    <w:p w14:paraId="6EC36E9C">
      <w:pPr>
        <w:jc w:val="center"/>
        <w:rPr>
          <w:rFonts w:hint="eastAsia" w:ascii="仿宋" w:hAnsi="仿宋" w:eastAsia="仿宋" w:cs="仿宋"/>
          <w:b/>
          <w:sz w:val="72"/>
          <w:szCs w:val="72"/>
          <w:highlight w:val="none"/>
        </w:rPr>
      </w:pPr>
    </w:p>
    <w:p w14:paraId="436CE51C">
      <w:pPr>
        <w:jc w:val="center"/>
        <w:rPr>
          <w:rFonts w:hint="eastAsia" w:ascii="仿宋" w:hAnsi="仿宋" w:eastAsia="仿宋" w:cs="仿宋"/>
          <w:b/>
          <w:sz w:val="72"/>
          <w:szCs w:val="72"/>
          <w:highlight w:val="none"/>
        </w:rPr>
      </w:pPr>
    </w:p>
    <w:p w14:paraId="4A1F2BB3">
      <w:pPr>
        <w:jc w:val="center"/>
        <w:rPr>
          <w:rFonts w:hint="eastAsia" w:ascii="仿宋" w:hAnsi="仿宋" w:eastAsia="仿宋" w:cs="仿宋"/>
          <w:b/>
          <w:sz w:val="72"/>
          <w:szCs w:val="72"/>
          <w:highlight w:val="none"/>
        </w:rPr>
      </w:pPr>
      <w:r>
        <w:rPr>
          <w:rFonts w:hint="eastAsia" w:ascii="仿宋" w:hAnsi="仿宋" w:eastAsia="仿宋" w:cs="仿宋"/>
          <w:b/>
          <w:sz w:val="72"/>
          <w:szCs w:val="72"/>
          <w:highlight w:val="none"/>
        </w:rPr>
        <w:t>供 货 合 同</w:t>
      </w:r>
    </w:p>
    <w:p w14:paraId="43724A90">
      <w:pPr>
        <w:jc w:val="center"/>
        <w:rPr>
          <w:rFonts w:hint="eastAsia" w:ascii="仿宋" w:hAnsi="仿宋" w:eastAsia="仿宋" w:cs="仿宋"/>
          <w:sz w:val="30"/>
          <w:szCs w:val="30"/>
          <w:highlight w:val="none"/>
        </w:rPr>
      </w:pPr>
    </w:p>
    <w:p w14:paraId="5B2B1659">
      <w:pPr>
        <w:jc w:val="center"/>
        <w:rPr>
          <w:rFonts w:hint="eastAsia" w:ascii="仿宋" w:hAnsi="仿宋" w:eastAsia="仿宋" w:cs="仿宋"/>
          <w:sz w:val="30"/>
          <w:szCs w:val="30"/>
          <w:highlight w:val="none"/>
        </w:rPr>
      </w:pPr>
    </w:p>
    <w:p w14:paraId="1EB0632C">
      <w:pPr>
        <w:jc w:val="center"/>
        <w:rPr>
          <w:rFonts w:hint="eastAsia" w:ascii="仿宋" w:hAnsi="仿宋" w:eastAsia="仿宋" w:cs="仿宋"/>
          <w:sz w:val="30"/>
          <w:szCs w:val="30"/>
          <w:highlight w:val="none"/>
        </w:rPr>
      </w:pPr>
    </w:p>
    <w:p w14:paraId="08EEA2C4">
      <w:pPr>
        <w:jc w:val="center"/>
        <w:rPr>
          <w:rFonts w:hint="eastAsia" w:ascii="仿宋" w:hAnsi="仿宋" w:eastAsia="仿宋" w:cs="仿宋"/>
          <w:sz w:val="30"/>
          <w:szCs w:val="30"/>
          <w:highlight w:val="none"/>
        </w:rPr>
      </w:pPr>
    </w:p>
    <w:p w14:paraId="281FA759">
      <w:pPr>
        <w:ind w:firstLine="2240" w:firstLineChars="700"/>
        <w:rPr>
          <w:rFonts w:hint="eastAsia" w:ascii="仿宋" w:hAnsi="仿宋" w:eastAsia="仿宋" w:cs="仿宋"/>
          <w:sz w:val="32"/>
          <w:szCs w:val="32"/>
          <w:highlight w:val="none"/>
        </w:rPr>
      </w:pPr>
    </w:p>
    <w:p w14:paraId="22C967A6">
      <w:pPr>
        <w:ind w:firstLine="1920" w:firstLineChars="600"/>
        <w:rPr>
          <w:rFonts w:hint="eastAsia" w:ascii="仿宋" w:hAnsi="仿宋" w:eastAsia="仿宋" w:cs="仿宋"/>
          <w:sz w:val="32"/>
          <w:szCs w:val="32"/>
          <w:highlight w:val="none"/>
        </w:rPr>
      </w:pPr>
      <w:r>
        <w:rPr>
          <w:rFonts w:hint="eastAsia" w:ascii="仿宋" w:hAnsi="仿宋" w:eastAsia="仿宋" w:cs="仿宋"/>
          <w:sz w:val="32"/>
          <w:szCs w:val="32"/>
          <w:highlight w:val="none"/>
        </w:rPr>
        <w:t>甲  方：陕西中医药大学附属医院</w:t>
      </w:r>
    </w:p>
    <w:p w14:paraId="75E1421A">
      <w:pPr>
        <w:ind w:firstLine="1920" w:firstLineChars="600"/>
        <w:rPr>
          <w:rFonts w:hint="eastAsia" w:ascii="仿宋" w:hAnsi="仿宋" w:eastAsia="仿宋" w:cs="仿宋"/>
          <w:sz w:val="32"/>
          <w:szCs w:val="32"/>
          <w:highlight w:val="none"/>
        </w:rPr>
      </w:pPr>
      <w:r>
        <w:rPr>
          <w:rFonts w:hint="eastAsia" w:ascii="仿宋" w:hAnsi="仿宋" w:eastAsia="仿宋" w:cs="仿宋"/>
          <w:sz w:val="32"/>
          <w:szCs w:val="32"/>
          <w:highlight w:val="none"/>
        </w:rPr>
        <w:t>乙  方：</w:t>
      </w:r>
    </w:p>
    <w:p w14:paraId="5A423FCE">
      <w:pPr>
        <w:pStyle w:val="16"/>
        <w:ind w:firstLine="0" w:firstLineChars="0"/>
        <w:rPr>
          <w:rFonts w:hint="eastAsia" w:ascii="仿宋" w:hAnsi="仿宋" w:eastAsia="仿宋" w:cs="仿宋"/>
          <w:sz w:val="32"/>
          <w:szCs w:val="32"/>
          <w:highlight w:val="none"/>
        </w:rPr>
      </w:pPr>
    </w:p>
    <w:p w14:paraId="10F87EE5">
      <w:pPr>
        <w:ind w:firstLine="1920" w:firstLineChars="600"/>
        <w:rPr>
          <w:rFonts w:hint="eastAsia" w:ascii="仿宋" w:hAnsi="仿宋" w:eastAsia="仿宋" w:cs="仿宋"/>
          <w:sz w:val="32"/>
          <w:szCs w:val="32"/>
          <w:highlight w:val="none"/>
        </w:rPr>
      </w:pPr>
    </w:p>
    <w:p w14:paraId="57D24EB6">
      <w:pPr>
        <w:ind w:firstLine="1920" w:firstLineChars="600"/>
        <w:rPr>
          <w:rFonts w:hint="eastAsia" w:ascii="仿宋" w:hAnsi="仿宋" w:eastAsia="仿宋" w:cs="仿宋"/>
          <w:sz w:val="32"/>
          <w:szCs w:val="32"/>
          <w:highlight w:val="none"/>
        </w:rPr>
      </w:pPr>
    </w:p>
    <w:p w14:paraId="5B194D8E">
      <w:pPr>
        <w:ind w:firstLine="1928" w:firstLineChars="600"/>
        <w:rPr>
          <w:rFonts w:hint="eastAsia" w:ascii="仿宋" w:hAnsi="仿宋" w:eastAsia="仿宋" w:cs="仿宋"/>
          <w:b/>
          <w:sz w:val="32"/>
          <w:szCs w:val="32"/>
          <w:highlight w:val="none"/>
        </w:rPr>
      </w:pPr>
    </w:p>
    <w:p w14:paraId="7A34932E">
      <w:pPr>
        <w:rPr>
          <w:rFonts w:hint="eastAsia" w:ascii="仿宋" w:hAnsi="仿宋" w:eastAsia="仿宋" w:cs="仿宋"/>
          <w:b/>
          <w:sz w:val="32"/>
          <w:szCs w:val="32"/>
          <w:highlight w:val="none"/>
        </w:rPr>
      </w:pPr>
      <w:r>
        <w:rPr>
          <w:rFonts w:hint="eastAsia" w:ascii="仿宋" w:hAnsi="仿宋" w:eastAsia="仿宋" w:cs="仿宋"/>
          <w:b/>
          <w:sz w:val="32"/>
          <w:szCs w:val="32"/>
          <w:highlight w:val="none"/>
        </w:rPr>
        <w:t xml:space="preserve">     </w:t>
      </w:r>
      <w:r>
        <w:rPr>
          <w:rFonts w:hint="eastAsia" w:ascii="仿宋" w:hAnsi="仿宋" w:eastAsia="仿宋" w:cs="仿宋"/>
          <w:sz w:val="32"/>
          <w:szCs w:val="32"/>
          <w:highlight w:val="none"/>
        </w:rPr>
        <w:t xml:space="preserve">           </w:t>
      </w:r>
    </w:p>
    <w:p w14:paraId="2CAA88BC">
      <w:pPr>
        <w:jc w:val="center"/>
        <w:rPr>
          <w:rFonts w:hint="eastAsia" w:ascii="仿宋" w:hAnsi="仿宋" w:eastAsia="仿宋" w:cs="仿宋"/>
          <w:bCs/>
          <w:szCs w:val="24"/>
          <w:highlight w:val="none"/>
        </w:rPr>
      </w:pPr>
      <w:r>
        <w:rPr>
          <w:rFonts w:hint="eastAsia" w:ascii="仿宋" w:hAnsi="仿宋" w:eastAsia="仿宋" w:cs="仿宋"/>
          <w:bCs/>
          <w:sz w:val="24"/>
          <w:szCs w:val="24"/>
          <w:highlight w:val="none"/>
        </w:rPr>
        <w:t>合同签订地：</w:t>
      </w:r>
      <w:r>
        <w:rPr>
          <w:rFonts w:hint="eastAsia" w:ascii="仿宋" w:hAnsi="仿宋" w:eastAsia="仿宋" w:cs="仿宋"/>
          <w:bCs/>
          <w:sz w:val="24"/>
          <w:szCs w:val="24"/>
          <w:highlight w:val="none"/>
          <w:lang w:val="en-US" w:eastAsia="zh-CN"/>
        </w:rPr>
        <w:t>陕西省</w:t>
      </w:r>
      <w:r>
        <w:rPr>
          <w:rFonts w:hint="eastAsia" w:ascii="仿宋" w:hAnsi="仿宋" w:eastAsia="仿宋" w:cs="仿宋"/>
          <w:bCs/>
          <w:sz w:val="24"/>
          <w:szCs w:val="24"/>
          <w:highlight w:val="none"/>
        </w:rPr>
        <w:t>咸阳市秦都区</w:t>
      </w:r>
    </w:p>
    <w:p w14:paraId="7406A337">
      <w:pPr>
        <w:snapToGrid w:val="0"/>
        <w:spacing w:line="360" w:lineRule="auto"/>
        <w:rPr>
          <w:rFonts w:hint="eastAsia" w:ascii="仿宋" w:hAnsi="仿宋" w:eastAsia="仿宋" w:cs="仿宋"/>
          <w:sz w:val="24"/>
          <w:szCs w:val="24"/>
          <w:highlight w:val="none"/>
          <w:lang w:val="zh-CN"/>
        </w:rPr>
        <w:sectPr>
          <w:footerReference r:id="rId3" w:type="default"/>
          <w:pgSz w:w="11906" w:h="16838"/>
          <w:pgMar w:top="1440" w:right="1800" w:bottom="1440" w:left="1800" w:header="851" w:footer="992" w:gutter="0"/>
          <w:pgNumType w:fmt="decimal"/>
          <w:cols w:space="425" w:num="1"/>
          <w:docGrid w:type="lines" w:linePitch="312" w:charSpace="0"/>
        </w:sectPr>
      </w:pPr>
    </w:p>
    <w:p w14:paraId="1414304E">
      <w:pPr>
        <w:snapToGrid w:val="0"/>
        <w:spacing w:line="36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甲方（需方）：陕西中医药大学附属医院</w:t>
      </w:r>
    </w:p>
    <w:p w14:paraId="79028305">
      <w:pPr>
        <w:snapToGrid w:val="0"/>
        <w:spacing w:line="36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乙方（供方）：</w:t>
      </w:r>
    </w:p>
    <w:p w14:paraId="3B3A68C1">
      <w:pPr>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甲乙双方依照国家相关法律、法规，签订本合同并信守下列条款，双方共同遵守。</w:t>
      </w:r>
    </w:p>
    <w:p w14:paraId="3A7139A8">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一、产品名称、型号、厂家、单位、单价：             单位：人民币元</w:t>
      </w:r>
    </w:p>
    <w:tbl>
      <w:tblPr>
        <w:tblStyle w:val="10"/>
        <w:tblW w:w="8813" w:type="dxa"/>
        <w:tblInd w:w="-173" w:type="dxa"/>
        <w:tblLayout w:type="fixed"/>
        <w:tblCellMar>
          <w:top w:w="15" w:type="dxa"/>
          <w:left w:w="15" w:type="dxa"/>
          <w:bottom w:w="15" w:type="dxa"/>
          <w:right w:w="15" w:type="dxa"/>
        </w:tblCellMar>
      </w:tblPr>
      <w:tblGrid>
        <w:gridCol w:w="583"/>
        <w:gridCol w:w="1367"/>
        <w:gridCol w:w="930"/>
        <w:gridCol w:w="1890"/>
        <w:gridCol w:w="1395"/>
        <w:gridCol w:w="735"/>
        <w:gridCol w:w="1913"/>
      </w:tblGrid>
      <w:tr w14:paraId="688BED40">
        <w:tblPrEx>
          <w:tblCellMar>
            <w:top w:w="15" w:type="dxa"/>
            <w:left w:w="15" w:type="dxa"/>
            <w:bottom w:w="15" w:type="dxa"/>
            <w:right w:w="15" w:type="dxa"/>
          </w:tblCellMar>
        </w:tblPrEx>
        <w:trPr>
          <w:trHeight w:val="640" w:hRule="atLeast"/>
        </w:trPr>
        <w:tc>
          <w:tcPr>
            <w:tcW w:w="583" w:type="dxa"/>
            <w:tcBorders>
              <w:top w:val="single" w:color="000000" w:sz="4" w:space="0"/>
              <w:left w:val="single" w:color="000000" w:sz="4" w:space="0"/>
              <w:bottom w:val="single" w:color="000000" w:sz="4" w:space="0"/>
              <w:right w:val="single" w:color="000000" w:sz="4" w:space="0"/>
            </w:tcBorders>
            <w:vAlign w:val="center"/>
          </w:tcPr>
          <w:p w14:paraId="62A087C4">
            <w:pPr>
              <w:widowControl/>
              <w:spacing w:line="360" w:lineRule="auto"/>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序号</w:t>
            </w:r>
          </w:p>
        </w:tc>
        <w:tc>
          <w:tcPr>
            <w:tcW w:w="1367" w:type="dxa"/>
            <w:tcBorders>
              <w:top w:val="single" w:color="000000" w:sz="4" w:space="0"/>
              <w:left w:val="single" w:color="000000" w:sz="4" w:space="0"/>
              <w:bottom w:val="single" w:color="000000" w:sz="4" w:space="0"/>
              <w:right w:val="single" w:color="000000" w:sz="4" w:space="0"/>
            </w:tcBorders>
            <w:vAlign w:val="center"/>
          </w:tcPr>
          <w:p w14:paraId="52B705CC">
            <w:pPr>
              <w:widowControl/>
              <w:spacing w:line="360" w:lineRule="auto"/>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名称</w:t>
            </w:r>
          </w:p>
        </w:tc>
        <w:tc>
          <w:tcPr>
            <w:tcW w:w="930" w:type="dxa"/>
            <w:tcBorders>
              <w:top w:val="single" w:color="000000" w:sz="4" w:space="0"/>
              <w:left w:val="single" w:color="000000" w:sz="4" w:space="0"/>
              <w:bottom w:val="single" w:color="000000" w:sz="4" w:space="0"/>
              <w:right w:val="single" w:color="000000" w:sz="4" w:space="0"/>
            </w:tcBorders>
            <w:vAlign w:val="center"/>
          </w:tcPr>
          <w:p w14:paraId="483A5053">
            <w:pPr>
              <w:widowControl/>
              <w:spacing w:line="360" w:lineRule="auto"/>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品牌</w:t>
            </w:r>
          </w:p>
        </w:tc>
        <w:tc>
          <w:tcPr>
            <w:tcW w:w="1890" w:type="dxa"/>
            <w:tcBorders>
              <w:top w:val="single" w:color="000000" w:sz="4" w:space="0"/>
              <w:left w:val="single" w:color="000000" w:sz="4" w:space="0"/>
              <w:bottom w:val="single" w:color="000000" w:sz="4" w:space="0"/>
              <w:right w:val="single" w:color="000000" w:sz="4" w:space="0"/>
            </w:tcBorders>
            <w:vAlign w:val="center"/>
          </w:tcPr>
          <w:p w14:paraId="0ED45908">
            <w:pPr>
              <w:widowControl/>
              <w:spacing w:line="360" w:lineRule="auto"/>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规格、型号</w:t>
            </w:r>
          </w:p>
        </w:tc>
        <w:tc>
          <w:tcPr>
            <w:tcW w:w="1395" w:type="dxa"/>
            <w:tcBorders>
              <w:top w:val="single" w:color="000000" w:sz="4" w:space="0"/>
              <w:left w:val="single" w:color="000000" w:sz="4" w:space="0"/>
              <w:bottom w:val="single" w:color="000000" w:sz="4" w:space="0"/>
              <w:right w:val="single" w:color="000000" w:sz="4" w:space="0"/>
            </w:tcBorders>
            <w:vAlign w:val="center"/>
          </w:tcPr>
          <w:p w14:paraId="76AA42D4">
            <w:pPr>
              <w:widowControl/>
              <w:spacing w:line="360" w:lineRule="auto"/>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材质</w:t>
            </w:r>
          </w:p>
        </w:tc>
        <w:tc>
          <w:tcPr>
            <w:tcW w:w="735" w:type="dxa"/>
            <w:tcBorders>
              <w:top w:val="single" w:color="000000" w:sz="4" w:space="0"/>
              <w:left w:val="single" w:color="000000" w:sz="4" w:space="0"/>
              <w:bottom w:val="single" w:color="000000" w:sz="4" w:space="0"/>
              <w:right w:val="single" w:color="000000" w:sz="4" w:space="0"/>
            </w:tcBorders>
            <w:vAlign w:val="center"/>
          </w:tcPr>
          <w:p w14:paraId="3F941CB9">
            <w:pPr>
              <w:widowControl/>
              <w:spacing w:line="360" w:lineRule="auto"/>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单位</w:t>
            </w:r>
          </w:p>
        </w:tc>
        <w:tc>
          <w:tcPr>
            <w:tcW w:w="1913" w:type="dxa"/>
            <w:tcBorders>
              <w:top w:val="single" w:color="000000" w:sz="4" w:space="0"/>
              <w:left w:val="single" w:color="000000" w:sz="4" w:space="0"/>
              <w:bottom w:val="single" w:color="000000" w:sz="4" w:space="0"/>
              <w:right w:val="single" w:color="000000" w:sz="4" w:space="0"/>
            </w:tcBorders>
            <w:vAlign w:val="center"/>
          </w:tcPr>
          <w:p w14:paraId="2C63D773">
            <w:pPr>
              <w:widowControl/>
              <w:spacing w:line="360" w:lineRule="auto"/>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单价</w:t>
            </w:r>
          </w:p>
        </w:tc>
      </w:tr>
      <w:tr w14:paraId="3F73A418">
        <w:tblPrEx>
          <w:tblCellMar>
            <w:top w:w="15" w:type="dxa"/>
            <w:left w:w="15" w:type="dxa"/>
            <w:bottom w:w="15" w:type="dxa"/>
            <w:right w:w="15" w:type="dxa"/>
          </w:tblCellMar>
        </w:tblPrEx>
        <w:trPr>
          <w:trHeight w:val="376" w:hRule="atLeast"/>
        </w:trPr>
        <w:tc>
          <w:tcPr>
            <w:tcW w:w="583" w:type="dxa"/>
            <w:tcBorders>
              <w:top w:val="single" w:color="000000" w:sz="4" w:space="0"/>
              <w:left w:val="single" w:color="000000" w:sz="4" w:space="0"/>
              <w:bottom w:val="single" w:color="000000" w:sz="4" w:space="0"/>
              <w:right w:val="single" w:color="000000" w:sz="4" w:space="0"/>
            </w:tcBorders>
            <w:vAlign w:val="center"/>
          </w:tcPr>
          <w:p w14:paraId="423251B0">
            <w:pPr>
              <w:widowControl/>
              <w:spacing w:line="360" w:lineRule="auto"/>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w:t>
            </w:r>
          </w:p>
        </w:tc>
        <w:tc>
          <w:tcPr>
            <w:tcW w:w="1367" w:type="dxa"/>
            <w:tcBorders>
              <w:top w:val="single" w:color="000000" w:sz="4" w:space="0"/>
              <w:left w:val="single" w:color="000000" w:sz="4" w:space="0"/>
              <w:bottom w:val="single" w:color="000000" w:sz="4" w:space="0"/>
              <w:right w:val="single" w:color="000000" w:sz="4" w:space="0"/>
            </w:tcBorders>
            <w:vAlign w:val="center"/>
          </w:tcPr>
          <w:p w14:paraId="1D474D5C">
            <w:pPr>
              <w:widowControl/>
              <w:spacing w:line="360" w:lineRule="auto"/>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液体包装袋</w:t>
            </w:r>
          </w:p>
        </w:tc>
        <w:tc>
          <w:tcPr>
            <w:tcW w:w="930" w:type="dxa"/>
            <w:tcBorders>
              <w:top w:val="single" w:color="000000" w:sz="4" w:space="0"/>
              <w:left w:val="single" w:color="000000" w:sz="4" w:space="0"/>
              <w:bottom w:val="single" w:color="000000" w:sz="4" w:space="0"/>
              <w:right w:val="single" w:color="000000" w:sz="4" w:space="0"/>
            </w:tcBorders>
            <w:vAlign w:val="center"/>
          </w:tcPr>
          <w:p w14:paraId="6AA16614">
            <w:pPr>
              <w:widowControl/>
              <w:spacing w:line="360" w:lineRule="auto"/>
              <w:jc w:val="center"/>
              <w:textAlignment w:val="center"/>
              <w:rPr>
                <w:rFonts w:hint="eastAsia" w:ascii="仿宋" w:hAnsi="仿宋" w:eastAsia="仿宋" w:cs="仿宋"/>
                <w:color w:val="000000"/>
                <w:sz w:val="24"/>
                <w:szCs w:val="24"/>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0035060F">
            <w:pPr>
              <w:widowControl/>
              <w:spacing w:line="360" w:lineRule="auto"/>
              <w:jc w:val="left"/>
              <w:textAlignment w:val="center"/>
              <w:rPr>
                <w:rFonts w:hint="eastAsia" w:ascii="仿宋" w:hAnsi="仿宋" w:eastAsia="仿宋" w:cs="仿宋"/>
                <w:color w:val="000000"/>
                <w:sz w:val="24"/>
                <w:szCs w:val="24"/>
                <w:highlight w:val="none"/>
              </w:rPr>
            </w:pPr>
          </w:p>
        </w:tc>
        <w:tc>
          <w:tcPr>
            <w:tcW w:w="1395" w:type="dxa"/>
            <w:tcBorders>
              <w:top w:val="single" w:color="000000" w:sz="4" w:space="0"/>
              <w:left w:val="single" w:color="000000" w:sz="4" w:space="0"/>
              <w:bottom w:val="single" w:color="000000" w:sz="4" w:space="0"/>
              <w:right w:val="single" w:color="000000" w:sz="4" w:space="0"/>
            </w:tcBorders>
            <w:vAlign w:val="center"/>
          </w:tcPr>
          <w:p w14:paraId="170431E9">
            <w:pPr>
              <w:widowControl/>
              <w:spacing w:line="360" w:lineRule="auto"/>
              <w:jc w:val="center"/>
              <w:textAlignment w:val="center"/>
              <w:rPr>
                <w:rFonts w:hint="eastAsia" w:ascii="仿宋" w:hAnsi="仿宋" w:eastAsia="仿宋" w:cs="仿宋"/>
                <w:color w:val="000000"/>
                <w:sz w:val="24"/>
                <w:szCs w:val="24"/>
                <w:highlight w:val="none"/>
              </w:rPr>
            </w:pPr>
          </w:p>
        </w:tc>
        <w:tc>
          <w:tcPr>
            <w:tcW w:w="735" w:type="dxa"/>
            <w:tcBorders>
              <w:top w:val="single" w:color="000000" w:sz="4" w:space="0"/>
              <w:left w:val="single" w:color="000000" w:sz="4" w:space="0"/>
              <w:bottom w:val="single" w:color="000000" w:sz="4" w:space="0"/>
              <w:right w:val="single" w:color="000000" w:sz="4" w:space="0"/>
            </w:tcBorders>
            <w:vAlign w:val="center"/>
          </w:tcPr>
          <w:p w14:paraId="286B6B3D">
            <w:pPr>
              <w:widowControl/>
              <w:spacing w:line="360" w:lineRule="auto"/>
              <w:jc w:val="center"/>
              <w:textAlignment w:val="center"/>
              <w:rPr>
                <w:rFonts w:hint="eastAsia" w:ascii="仿宋" w:hAnsi="仿宋" w:eastAsia="仿宋" w:cs="仿宋"/>
                <w:color w:val="000000"/>
                <w:sz w:val="24"/>
                <w:szCs w:val="24"/>
                <w:highlight w:val="none"/>
              </w:rPr>
            </w:pPr>
          </w:p>
        </w:tc>
        <w:tc>
          <w:tcPr>
            <w:tcW w:w="1913" w:type="dxa"/>
            <w:tcBorders>
              <w:top w:val="single" w:color="000000" w:sz="4" w:space="0"/>
              <w:left w:val="single" w:color="000000" w:sz="4" w:space="0"/>
              <w:bottom w:val="single" w:color="000000" w:sz="4" w:space="0"/>
              <w:right w:val="single" w:color="auto" w:sz="8" w:space="0"/>
            </w:tcBorders>
            <w:vAlign w:val="center"/>
          </w:tcPr>
          <w:p w14:paraId="3064D43E">
            <w:pPr>
              <w:widowControl/>
              <w:spacing w:line="360" w:lineRule="auto"/>
              <w:jc w:val="center"/>
              <w:textAlignment w:val="center"/>
              <w:rPr>
                <w:rFonts w:hint="eastAsia" w:ascii="仿宋" w:hAnsi="仿宋" w:eastAsia="仿宋" w:cs="仿宋"/>
                <w:color w:val="000000"/>
                <w:sz w:val="24"/>
                <w:szCs w:val="24"/>
                <w:highlight w:val="none"/>
              </w:rPr>
            </w:pPr>
          </w:p>
        </w:tc>
      </w:tr>
      <w:tr w14:paraId="71054F06">
        <w:tblPrEx>
          <w:tblCellMar>
            <w:top w:w="15" w:type="dxa"/>
            <w:left w:w="15" w:type="dxa"/>
            <w:bottom w:w="15" w:type="dxa"/>
            <w:right w:w="15" w:type="dxa"/>
          </w:tblCellMar>
        </w:tblPrEx>
        <w:trPr>
          <w:trHeight w:val="376" w:hRule="atLeast"/>
        </w:trPr>
        <w:tc>
          <w:tcPr>
            <w:tcW w:w="583" w:type="dxa"/>
            <w:tcBorders>
              <w:top w:val="single" w:color="000000" w:sz="4" w:space="0"/>
              <w:left w:val="single" w:color="000000" w:sz="4" w:space="0"/>
              <w:bottom w:val="single" w:color="000000" w:sz="4" w:space="0"/>
              <w:right w:val="single" w:color="000000" w:sz="4" w:space="0"/>
            </w:tcBorders>
            <w:vAlign w:val="center"/>
          </w:tcPr>
          <w:p w14:paraId="4D82B660">
            <w:pPr>
              <w:widowControl/>
              <w:spacing w:line="360" w:lineRule="auto"/>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w:t>
            </w:r>
          </w:p>
        </w:tc>
        <w:tc>
          <w:tcPr>
            <w:tcW w:w="1367" w:type="dxa"/>
            <w:tcBorders>
              <w:top w:val="single" w:color="000000" w:sz="4" w:space="0"/>
              <w:left w:val="single" w:color="000000" w:sz="4" w:space="0"/>
              <w:bottom w:val="single" w:color="000000" w:sz="4" w:space="0"/>
              <w:right w:val="single" w:color="000000" w:sz="4" w:space="0"/>
            </w:tcBorders>
            <w:vAlign w:val="center"/>
          </w:tcPr>
          <w:p w14:paraId="5A72EF17">
            <w:pPr>
              <w:widowControl/>
              <w:spacing w:line="360" w:lineRule="auto"/>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无纺布</w:t>
            </w:r>
            <w:bookmarkStart w:id="0" w:name="_GoBack"/>
            <w:bookmarkEnd w:id="0"/>
            <w:r>
              <w:rPr>
                <w:rFonts w:hint="eastAsia" w:ascii="仿宋" w:hAnsi="仿宋" w:eastAsia="仿宋" w:cs="仿宋"/>
                <w:color w:val="000000"/>
                <w:kern w:val="0"/>
                <w:sz w:val="24"/>
                <w:szCs w:val="24"/>
                <w:highlight w:val="none"/>
              </w:rPr>
              <w:t>袋</w:t>
            </w:r>
          </w:p>
        </w:tc>
        <w:tc>
          <w:tcPr>
            <w:tcW w:w="930" w:type="dxa"/>
            <w:tcBorders>
              <w:top w:val="single" w:color="000000" w:sz="4" w:space="0"/>
              <w:left w:val="single" w:color="000000" w:sz="4" w:space="0"/>
              <w:bottom w:val="single" w:color="000000" w:sz="4" w:space="0"/>
              <w:right w:val="single" w:color="000000" w:sz="4" w:space="0"/>
            </w:tcBorders>
            <w:vAlign w:val="center"/>
          </w:tcPr>
          <w:p w14:paraId="4F489274">
            <w:pPr>
              <w:widowControl/>
              <w:spacing w:line="360" w:lineRule="auto"/>
              <w:jc w:val="center"/>
              <w:textAlignment w:val="center"/>
              <w:rPr>
                <w:rFonts w:hint="eastAsia" w:ascii="仿宋" w:hAnsi="仿宋" w:eastAsia="仿宋" w:cs="仿宋"/>
                <w:color w:val="000000"/>
                <w:sz w:val="24"/>
                <w:szCs w:val="24"/>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52B2814C">
            <w:pPr>
              <w:widowControl/>
              <w:spacing w:line="360" w:lineRule="auto"/>
              <w:jc w:val="left"/>
              <w:textAlignment w:val="center"/>
              <w:rPr>
                <w:rFonts w:hint="eastAsia" w:ascii="仿宋" w:hAnsi="仿宋" w:eastAsia="仿宋" w:cs="仿宋"/>
                <w:color w:val="000000"/>
                <w:sz w:val="24"/>
                <w:szCs w:val="24"/>
                <w:highlight w:val="none"/>
              </w:rPr>
            </w:pPr>
          </w:p>
        </w:tc>
        <w:tc>
          <w:tcPr>
            <w:tcW w:w="1395" w:type="dxa"/>
            <w:tcBorders>
              <w:top w:val="single" w:color="000000" w:sz="4" w:space="0"/>
              <w:left w:val="single" w:color="000000" w:sz="4" w:space="0"/>
              <w:bottom w:val="single" w:color="000000" w:sz="4" w:space="0"/>
              <w:right w:val="single" w:color="000000" w:sz="4" w:space="0"/>
            </w:tcBorders>
            <w:vAlign w:val="center"/>
          </w:tcPr>
          <w:p w14:paraId="2181ECDD">
            <w:pPr>
              <w:widowControl/>
              <w:spacing w:line="360" w:lineRule="auto"/>
              <w:jc w:val="center"/>
              <w:textAlignment w:val="center"/>
              <w:rPr>
                <w:rFonts w:hint="eastAsia" w:ascii="仿宋" w:hAnsi="仿宋" w:eastAsia="仿宋" w:cs="仿宋"/>
                <w:color w:val="000000"/>
                <w:sz w:val="24"/>
                <w:szCs w:val="24"/>
                <w:highlight w:val="none"/>
              </w:rPr>
            </w:pPr>
          </w:p>
        </w:tc>
        <w:tc>
          <w:tcPr>
            <w:tcW w:w="735" w:type="dxa"/>
            <w:tcBorders>
              <w:top w:val="single" w:color="000000" w:sz="4" w:space="0"/>
              <w:left w:val="single" w:color="000000" w:sz="4" w:space="0"/>
              <w:bottom w:val="single" w:color="000000" w:sz="4" w:space="0"/>
              <w:right w:val="single" w:color="000000" w:sz="4" w:space="0"/>
            </w:tcBorders>
            <w:vAlign w:val="center"/>
          </w:tcPr>
          <w:p w14:paraId="5E002855">
            <w:pPr>
              <w:widowControl/>
              <w:snapToGrid w:val="0"/>
              <w:jc w:val="center"/>
              <w:rPr>
                <w:rFonts w:hint="eastAsia" w:ascii="仿宋" w:hAnsi="仿宋" w:eastAsia="仿宋" w:cs="仿宋"/>
                <w:kern w:val="0"/>
                <w:sz w:val="24"/>
                <w:szCs w:val="24"/>
                <w:highlight w:val="none"/>
              </w:rPr>
            </w:pPr>
          </w:p>
        </w:tc>
        <w:tc>
          <w:tcPr>
            <w:tcW w:w="1913" w:type="dxa"/>
            <w:tcBorders>
              <w:top w:val="single" w:color="000000" w:sz="4" w:space="0"/>
              <w:left w:val="single" w:color="000000" w:sz="4" w:space="0"/>
              <w:bottom w:val="single" w:color="000000" w:sz="4" w:space="0"/>
              <w:right w:val="single" w:color="auto" w:sz="4" w:space="0"/>
            </w:tcBorders>
            <w:vAlign w:val="center"/>
          </w:tcPr>
          <w:p w14:paraId="57746D31">
            <w:pPr>
              <w:widowControl/>
              <w:spacing w:line="360" w:lineRule="auto"/>
              <w:jc w:val="center"/>
              <w:textAlignment w:val="center"/>
              <w:rPr>
                <w:rFonts w:hint="eastAsia" w:ascii="仿宋" w:hAnsi="仿宋" w:eastAsia="仿宋" w:cs="仿宋"/>
                <w:color w:val="000000"/>
                <w:sz w:val="24"/>
                <w:szCs w:val="24"/>
                <w:highlight w:val="none"/>
              </w:rPr>
            </w:pPr>
          </w:p>
        </w:tc>
      </w:tr>
      <w:tr w14:paraId="7EF258C9">
        <w:tblPrEx>
          <w:tblCellMar>
            <w:top w:w="15" w:type="dxa"/>
            <w:left w:w="15" w:type="dxa"/>
            <w:bottom w:w="15" w:type="dxa"/>
            <w:right w:w="15" w:type="dxa"/>
          </w:tblCellMar>
        </w:tblPrEx>
        <w:trPr>
          <w:trHeight w:val="376" w:hRule="atLeast"/>
        </w:trPr>
        <w:tc>
          <w:tcPr>
            <w:tcW w:w="583" w:type="dxa"/>
            <w:tcBorders>
              <w:top w:val="single" w:color="000000" w:sz="4" w:space="0"/>
              <w:left w:val="single" w:color="000000" w:sz="4" w:space="0"/>
              <w:bottom w:val="single" w:color="000000" w:sz="4" w:space="0"/>
              <w:right w:val="single" w:color="000000" w:sz="4" w:space="0"/>
            </w:tcBorders>
            <w:vAlign w:val="center"/>
          </w:tcPr>
          <w:p w14:paraId="5FFC0C69">
            <w:pPr>
              <w:widowControl/>
              <w:spacing w:line="360" w:lineRule="auto"/>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3</w:t>
            </w:r>
          </w:p>
        </w:tc>
        <w:tc>
          <w:tcPr>
            <w:tcW w:w="1367" w:type="dxa"/>
            <w:tcBorders>
              <w:top w:val="single" w:color="000000" w:sz="4" w:space="0"/>
              <w:left w:val="single" w:color="000000" w:sz="4" w:space="0"/>
              <w:bottom w:val="single" w:color="000000" w:sz="4" w:space="0"/>
              <w:right w:val="single" w:color="000000" w:sz="4" w:space="0"/>
            </w:tcBorders>
            <w:vAlign w:val="center"/>
          </w:tcPr>
          <w:p w14:paraId="721DB481">
            <w:pPr>
              <w:widowControl/>
              <w:spacing w:line="360" w:lineRule="auto"/>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无纺布袋</w:t>
            </w:r>
          </w:p>
        </w:tc>
        <w:tc>
          <w:tcPr>
            <w:tcW w:w="930" w:type="dxa"/>
            <w:tcBorders>
              <w:top w:val="single" w:color="000000" w:sz="4" w:space="0"/>
              <w:left w:val="single" w:color="000000" w:sz="4" w:space="0"/>
              <w:bottom w:val="single" w:color="000000" w:sz="4" w:space="0"/>
              <w:right w:val="single" w:color="000000" w:sz="4" w:space="0"/>
            </w:tcBorders>
            <w:vAlign w:val="center"/>
          </w:tcPr>
          <w:p w14:paraId="475A196B">
            <w:pPr>
              <w:widowControl/>
              <w:spacing w:line="360" w:lineRule="auto"/>
              <w:jc w:val="center"/>
              <w:textAlignment w:val="center"/>
              <w:rPr>
                <w:rFonts w:hint="eastAsia" w:ascii="仿宋" w:hAnsi="仿宋" w:eastAsia="仿宋" w:cs="仿宋"/>
                <w:color w:val="000000"/>
                <w:sz w:val="24"/>
                <w:szCs w:val="24"/>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25765BC4">
            <w:pPr>
              <w:widowControl/>
              <w:spacing w:line="360" w:lineRule="auto"/>
              <w:jc w:val="left"/>
              <w:textAlignment w:val="center"/>
              <w:rPr>
                <w:rFonts w:hint="eastAsia" w:ascii="仿宋" w:hAnsi="仿宋" w:eastAsia="仿宋" w:cs="仿宋"/>
                <w:color w:val="000000"/>
                <w:sz w:val="24"/>
                <w:szCs w:val="24"/>
                <w:highlight w:val="none"/>
              </w:rPr>
            </w:pPr>
          </w:p>
        </w:tc>
        <w:tc>
          <w:tcPr>
            <w:tcW w:w="1395" w:type="dxa"/>
            <w:tcBorders>
              <w:top w:val="single" w:color="000000" w:sz="4" w:space="0"/>
              <w:left w:val="single" w:color="000000" w:sz="4" w:space="0"/>
              <w:bottom w:val="single" w:color="000000" w:sz="4" w:space="0"/>
              <w:right w:val="single" w:color="000000" w:sz="4" w:space="0"/>
            </w:tcBorders>
            <w:vAlign w:val="center"/>
          </w:tcPr>
          <w:p w14:paraId="51923E85">
            <w:pPr>
              <w:widowControl/>
              <w:spacing w:line="360" w:lineRule="auto"/>
              <w:jc w:val="center"/>
              <w:textAlignment w:val="center"/>
              <w:rPr>
                <w:rFonts w:hint="eastAsia" w:ascii="仿宋" w:hAnsi="仿宋" w:eastAsia="仿宋" w:cs="仿宋"/>
                <w:color w:val="000000"/>
                <w:sz w:val="24"/>
                <w:szCs w:val="24"/>
                <w:highlight w:val="none"/>
              </w:rPr>
            </w:pPr>
          </w:p>
        </w:tc>
        <w:tc>
          <w:tcPr>
            <w:tcW w:w="735" w:type="dxa"/>
            <w:tcBorders>
              <w:top w:val="single" w:color="000000" w:sz="4" w:space="0"/>
              <w:left w:val="single" w:color="000000" w:sz="4" w:space="0"/>
              <w:bottom w:val="single" w:color="000000" w:sz="4" w:space="0"/>
              <w:right w:val="single" w:color="000000" w:sz="4" w:space="0"/>
            </w:tcBorders>
            <w:vAlign w:val="center"/>
          </w:tcPr>
          <w:p w14:paraId="12A7C301">
            <w:pPr>
              <w:widowControl/>
              <w:snapToGrid w:val="0"/>
              <w:jc w:val="center"/>
              <w:rPr>
                <w:rFonts w:hint="eastAsia" w:ascii="仿宋" w:hAnsi="仿宋" w:eastAsia="仿宋" w:cs="仿宋"/>
                <w:kern w:val="0"/>
                <w:sz w:val="24"/>
                <w:szCs w:val="24"/>
                <w:highlight w:val="none"/>
              </w:rPr>
            </w:pPr>
          </w:p>
        </w:tc>
        <w:tc>
          <w:tcPr>
            <w:tcW w:w="1913" w:type="dxa"/>
            <w:tcBorders>
              <w:top w:val="single" w:color="000000" w:sz="4" w:space="0"/>
              <w:left w:val="single" w:color="000000" w:sz="4" w:space="0"/>
              <w:bottom w:val="single" w:color="000000" w:sz="4" w:space="0"/>
              <w:right w:val="single" w:color="auto" w:sz="4" w:space="0"/>
            </w:tcBorders>
            <w:vAlign w:val="center"/>
          </w:tcPr>
          <w:p w14:paraId="11CB45C0">
            <w:pPr>
              <w:widowControl/>
              <w:spacing w:line="360" w:lineRule="auto"/>
              <w:jc w:val="center"/>
              <w:textAlignment w:val="center"/>
              <w:rPr>
                <w:rFonts w:hint="eastAsia" w:ascii="仿宋" w:hAnsi="仿宋" w:eastAsia="仿宋" w:cs="仿宋"/>
                <w:color w:val="000000"/>
                <w:sz w:val="24"/>
                <w:szCs w:val="24"/>
                <w:highlight w:val="none"/>
              </w:rPr>
            </w:pPr>
          </w:p>
        </w:tc>
      </w:tr>
      <w:tr w14:paraId="1DA16833">
        <w:tblPrEx>
          <w:tblCellMar>
            <w:top w:w="15" w:type="dxa"/>
            <w:left w:w="15" w:type="dxa"/>
            <w:bottom w:w="15" w:type="dxa"/>
            <w:right w:w="15" w:type="dxa"/>
          </w:tblCellMar>
        </w:tblPrEx>
        <w:trPr>
          <w:trHeight w:val="376" w:hRule="atLeast"/>
        </w:trPr>
        <w:tc>
          <w:tcPr>
            <w:tcW w:w="583" w:type="dxa"/>
            <w:tcBorders>
              <w:top w:val="single" w:color="000000" w:sz="4" w:space="0"/>
              <w:left w:val="single" w:color="000000" w:sz="4" w:space="0"/>
              <w:bottom w:val="single" w:color="000000" w:sz="4" w:space="0"/>
              <w:right w:val="single" w:color="000000" w:sz="4" w:space="0"/>
            </w:tcBorders>
            <w:vAlign w:val="center"/>
          </w:tcPr>
          <w:p w14:paraId="0E69E708">
            <w:pPr>
              <w:widowControl/>
              <w:spacing w:line="360" w:lineRule="auto"/>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4</w:t>
            </w:r>
          </w:p>
        </w:tc>
        <w:tc>
          <w:tcPr>
            <w:tcW w:w="1367" w:type="dxa"/>
            <w:tcBorders>
              <w:top w:val="single" w:color="000000" w:sz="4" w:space="0"/>
              <w:left w:val="single" w:color="000000" w:sz="4" w:space="0"/>
              <w:bottom w:val="single" w:color="000000" w:sz="4" w:space="0"/>
              <w:right w:val="single" w:color="000000" w:sz="4" w:space="0"/>
            </w:tcBorders>
            <w:vAlign w:val="center"/>
          </w:tcPr>
          <w:p w14:paraId="3E1A1F70">
            <w:pPr>
              <w:widowControl/>
              <w:spacing w:line="360" w:lineRule="auto"/>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无纺布袋</w:t>
            </w:r>
          </w:p>
        </w:tc>
        <w:tc>
          <w:tcPr>
            <w:tcW w:w="930" w:type="dxa"/>
            <w:tcBorders>
              <w:top w:val="single" w:color="000000" w:sz="4" w:space="0"/>
              <w:left w:val="single" w:color="000000" w:sz="4" w:space="0"/>
              <w:bottom w:val="single" w:color="000000" w:sz="4" w:space="0"/>
              <w:right w:val="single" w:color="000000" w:sz="4" w:space="0"/>
            </w:tcBorders>
            <w:vAlign w:val="center"/>
          </w:tcPr>
          <w:p w14:paraId="60C05362">
            <w:pPr>
              <w:widowControl/>
              <w:spacing w:line="360" w:lineRule="auto"/>
              <w:jc w:val="center"/>
              <w:textAlignment w:val="center"/>
              <w:rPr>
                <w:rFonts w:hint="eastAsia" w:ascii="仿宋" w:hAnsi="仿宋" w:eastAsia="仿宋" w:cs="仿宋"/>
                <w:color w:val="000000"/>
                <w:sz w:val="24"/>
                <w:szCs w:val="24"/>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7EBB1EB6">
            <w:pPr>
              <w:widowControl/>
              <w:spacing w:line="360" w:lineRule="auto"/>
              <w:jc w:val="left"/>
              <w:textAlignment w:val="center"/>
              <w:rPr>
                <w:rFonts w:hint="eastAsia" w:ascii="仿宋" w:hAnsi="仿宋" w:eastAsia="仿宋" w:cs="仿宋"/>
                <w:color w:val="000000"/>
                <w:sz w:val="24"/>
                <w:szCs w:val="24"/>
                <w:highlight w:val="none"/>
              </w:rPr>
            </w:pPr>
          </w:p>
        </w:tc>
        <w:tc>
          <w:tcPr>
            <w:tcW w:w="1395" w:type="dxa"/>
            <w:tcBorders>
              <w:top w:val="single" w:color="000000" w:sz="4" w:space="0"/>
              <w:left w:val="single" w:color="000000" w:sz="4" w:space="0"/>
              <w:bottom w:val="single" w:color="000000" w:sz="4" w:space="0"/>
              <w:right w:val="single" w:color="000000" w:sz="4" w:space="0"/>
            </w:tcBorders>
            <w:vAlign w:val="center"/>
          </w:tcPr>
          <w:p w14:paraId="17340707">
            <w:pPr>
              <w:widowControl/>
              <w:spacing w:line="360" w:lineRule="auto"/>
              <w:jc w:val="center"/>
              <w:textAlignment w:val="center"/>
              <w:rPr>
                <w:rFonts w:hint="eastAsia" w:ascii="仿宋" w:hAnsi="仿宋" w:eastAsia="仿宋" w:cs="仿宋"/>
                <w:color w:val="000000"/>
                <w:sz w:val="24"/>
                <w:szCs w:val="24"/>
                <w:highlight w:val="none"/>
              </w:rPr>
            </w:pPr>
          </w:p>
        </w:tc>
        <w:tc>
          <w:tcPr>
            <w:tcW w:w="735" w:type="dxa"/>
            <w:tcBorders>
              <w:top w:val="single" w:color="000000" w:sz="4" w:space="0"/>
              <w:left w:val="single" w:color="000000" w:sz="4" w:space="0"/>
              <w:bottom w:val="single" w:color="000000" w:sz="4" w:space="0"/>
              <w:right w:val="single" w:color="000000" w:sz="4" w:space="0"/>
            </w:tcBorders>
            <w:vAlign w:val="center"/>
          </w:tcPr>
          <w:p w14:paraId="698E3F5B">
            <w:pPr>
              <w:widowControl/>
              <w:snapToGrid w:val="0"/>
              <w:jc w:val="center"/>
              <w:rPr>
                <w:rFonts w:hint="eastAsia" w:ascii="仿宋" w:hAnsi="仿宋" w:eastAsia="仿宋" w:cs="仿宋"/>
                <w:kern w:val="0"/>
                <w:sz w:val="24"/>
                <w:szCs w:val="24"/>
                <w:highlight w:val="none"/>
              </w:rPr>
            </w:pPr>
          </w:p>
        </w:tc>
        <w:tc>
          <w:tcPr>
            <w:tcW w:w="1913" w:type="dxa"/>
            <w:tcBorders>
              <w:top w:val="single" w:color="000000" w:sz="4" w:space="0"/>
              <w:left w:val="single" w:color="000000" w:sz="4" w:space="0"/>
              <w:bottom w:val="single" w:color="000000" w:sz="4" w:space="0"/>
              <w:right w:val="single" w:color="auto" w:sz="4" w:space="0"/>
            </w:tcBorders>
            <w:vAlign w:val="center"/>
          </w:tcPr>
          <w:p w14:paraId="199E9A80">
            <w:pPr>
              <w:widowControl/>
              <w:jc w:val="center"/>
              <w:rPr>
                <w:rFonts w:hint="eastAsia" w:ascii="仿宋" w:hAnsi="仿宋" w:eastAsia="仿宋" w:cs="仿宋"/>
                <w:color w:val="000000"/>
                <w:sz w:val="24"/>
                <w:szCs w:val="24"/>
                <w:highlight w:val="none"/>
              </w:rPr>
            </w:pPr>
          </w:p>
        </w:tc>
      </w:tr>
      <w:tr w14:paraId="1B5DDAF1">
        <w:tblPrEx>
          <w:tblCellMar>
            <w:top w:w="15" w:type="dxa"/>
            <w:left w:w="15" w:type="dxa"/>
            <w:bottom w:w="15" w:type="dxa"/>
            <w:right w:w="15" w:type="dxa"/>
          </w:tblCellMar>
        </w:tblPrEx>
        <w:trPr>
          <w:trHeight w:val="376" w:hRule="atLeast"/>
        </w:trPr>
        <w:tc>
          <w:tcPr>
            <w:tcW w:w="8813" w:type="dxa"/>
            <w:gridSpan w:val="7"/>
            <w:tcBorders>
              <w:top w:val="single" w:color="000000" w:sz="4" w:space="0"/>
              <w:left w:val="single" w:color="000000" w:sz="4" w:space="0"/>
              <w:bottom w:val="single" w:color="000000" w:sz="4" w:space="0"/>
              <w:right w:val="single" w:color="auto" w:sz="4" w:space="0"/>
            </w:tcBorders>
            <w:vAlign w:val="center"/>
          </w:tcPr>
          <w:p w14:paraId="0BC507B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要求：1.上述辅材产品均为药用标准，并随货附产品合格检验报告单。</w:t>
            </w:r>
          </w:p>
          <w:p w14:paraId="46E41998">
            <w:pPr>
              <w:widowControl/>
              <w:spacing w:line="360" w:lineRule="auto"/>
              <w:ind w:firstLine="720" w:firstLineChars="300"/>
              <w:textAlignment w:val="center"/>
              <w:rPr>
                <w:rFonts w:hint="eastAsia" w:ascii="仿宋" w:hAnsi="仿宋" w:eastAsia="仿宋" w:cs="仿宋"/>
                <w:sz w:val="24"/>
                <w:szCs w:val="24"/>
                <w:highlight w:val="none"/>
              </w:rPr>
            </w:pPr>
            <w:r>
              <w:rPr>
                <w:rFonts w:hint="eastAsia" w:ascii="仿宋" w:hAnsi="仿宋" w:eastAsia="仿宋" w:cs="仿宋"/>
                <w:sz w:val="24"/>
                <w:szCs w:val="24"/>
                <w:highlight w:val="none"/>
              </w:rPr>
              <w:t>2.若开发新制剂需要新的辅材品种，配送商应积极配合进行配送。</w:t>
            </w:r>
          </w:p>
          <w:p w14:paraId="2AA9F85E">
            <w:pPr>
              <w:pStyle w:val="2"/>
              <w:ind w:firstLine="720" w:firstLineChars="300"/>
              <w:rPr>
                <w:rFonts w:hint="eastAsia" w:ascii="仿宋" w:hAnsi="仿宋" w:eastAsia="仿宋" w:cs="仿宋"/>
                <w:sz w:val="24"/>
                <w:highlight w:val="none"/>
              </w:rPr>
            </w:pPr>
            <w:r>
              <w:rPr>
                <w:rFonts w:hint="eastAsia" w:ascii="仿宋" w:hAnsi="仿宋" w:eastAsia="仿宋" w:cs="仿宋"/>
                <w:sz w:val="24"/>
                <w:highlight w:val="none"/>
              </w:rPr>
              <w:t>3.中标供应商需提供煎药机和液体包装机免费维修及有偿更换配件服务</w:t>
            </w:r>
            <w:r>
              <w:rPr>
                <w:rFonts w:hint="eastAsia" w:ascii="仿宋" w:hAnsi="仿宋" w:eastAsia="仿宋" w:cs="仿宋"/>
                <w:sz w:val="24"/>
                <w:highlight w:val="none"/>
                <w:lang w:eastAsia="zh-CN"/>
              </w:rPr>
              <w:t>（煎药机和液体包装机常用配件价格表见附件）</w:t>
            </w:r>
            <w:r>
              <w:rPr>
                <w:rFonts w:hint="eastAsia" w:ascii="仿宋" w:hAnsi="仿宋" w:eastAsia="仿宋" w:cs="仿宋"/>
                <w:sz w:val="24"/>
                <w:highlight w:val="none"/>
              </w:rPr>
              <w:t>。</w:t>
            </w:r>
          </w:p>
        </w:tc>
      </w:tr>
    </w:tbl>
    <w:p w14:paraId="7DA4CF37">
      <w:pPr>
        <w:numPr>
          <w:ilvl w:val="0"/>
          <w:numId w:val="1"/>
        </w:numPr>
        <w:spacing w:line="360" w:lineRule="auto"/>
        <w:ind w:firstLine="480" w:firstLineChars="200"/>
        <w:jc w:val="left"/>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乙方提供的</w:t>
      </w:r>
      <w:r>
        <w:rPr>
          <w:rFonts w:hint="eastAsia" w:ascii="仿宋" w:hAnsi="仿宋" w:eastAsia="仿宋" w:cs="仿宋"/>
          <w:sz w:val="24"/>
          <w:szCs w:val="24"/>
          <w:highlight w:val="none"/>
          <w:lang w:val="en-US" w:eastAsia="zh-CN"/>
        </w:rPr>
        <w:t>包装材料</w:t>
      </w:r>
      <w:r>
        <w:rPr>
          <w:rFonts w:hint="eastAsia" w:ascii="仿宋" w:hAnsi="仿宋" w:eastAsia="仿宋" w:cs="仿宋"/>
          <w:sz w:val="24"/>
          <w:szCs w:val="24"/>
          <w:highlight w:val="none"/>
          <w:lang w:val="zh-CN"/>
        </w:rPr>
        <w:t xml:space="preserve">必须符合国家药用质量标准，并出具生产企业及质检部门检验报告书。所有产品须有相关资质证明资料，且资质文件必须在有效范围内。  </w:t>
      </w:r>
    </w:p>
    <w:p w14:paraId="447D7EC3">
      <w:p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2、本合同价格为含税价。</w:t>
      </w:r>
    </w:p>
    <w:p w14:paraId="188393D5">
      <w:p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到货时间：接到甲方通知后</w:t>
      </w:r>
      <w:r>
        <w:rPr>
          <w:rFonts w:hint="eastAsia" w:ascii="仿宋" w:hAnsi="仿宋" w:eastAsia="仿宋" w:cs="仿宋"/>
          <w:sz w:val="24"/>
          <w:szCs w:val="24"/>
          <w:highlight w:val="none"/>
          <w:lang w:val="en-US" w:eastAsia="zh-CN"/>
        </w:rPr>
        <w:t>7个日历日内</w:t>
      </w:r>
      <w:r>
        <w:rPr>
          <w:rFonts w:hint="eastAsia" w:ascii="仿宋" w:hAnsi="仿宋" w:eastAsia="仿宋" w:cs="仿宋"/>
          <w:sz w:val="24"/>
          <w:szCs w:val="24"/>
          <w:highlight w:val="none"/>
          <w:lang w:val="zh-CN"/>
        </w:rPr>
        <w:t>。</w:t>
      </w:r>
    </w:p>
    <w:p w14:paraId="5260A2AD">
      <w:p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质保期：</w:t>
      </w:r>
      <w:r>
        <w:rPr>
          <w:rFonts w:hint="eastAsia" w:ascii="仿宋" w:hAnsi="仿宋" w:eastAsia="仿宋" w:cs="仿宋"/>
          <w:sz w:val="24"/>
          <w:szCs w:val="24"/>
          <w:highlight w:val="none"/>
          <w:lang w:val="en-US" w:eastAsia="zh-CN"/>
        </w:rPr>
        <w:t>自交付验收合格之日起，不得少于有效期时间</w:t>
      </w:r>
      <w:r>
        <w:rPr>
          <w:rFonts w:hint="eastAsia" w:ascii="仿宋" w:hAnsi="仿宋" w:eastAsia="仿宋" w:cs="仿宋"/>
          <w:sz w:val="24"/>
          <w:szCs w:val="24"/>
          <w:highlight w:val="none"/>
          <w:lang w:val="zh-CN"/>
        </w:rPr>
        <w:t>。</w:t>
      </w:r>
    </w:p>
    <w:p w14:paraId="77A1CCBB">
      <w:p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售后：电话随时响应，4小时到位。</w:t>
      </w:r>
    </w:p>
    <w:p w14:paraId="71E08ED9">
      <w:pPr>
        <w:numPr>
          <w:ilvl w:val="0"/>
          <w:numId w:val="2"/>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协议签订后，乙方负责将货品在约定时间运至甲方指定的地点，甲方验收合格后方可收货。运输过程中所产生的费用由乙方承担。</w:t>
      </w:r>
    </w:p>
    <w:p w14:paraId="44C2702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合同期内价格原则不予调整。根据市场价格变化，甲方需每半年进行一次市场调研，如价格涨幅±</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%之内，执行原合同单价价格。如遇国家政策变化，价格上浮</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%以上，需由乙方以书面形式上报甲方，在未取得甲方同意时执行原中标价格；价格下浮超过</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%以上，执行下浮价格，如乙方不同意执行下浮价格，甲方有权无条件单方终止合同，重新选择采购方式进行货物采购。</w:t>
      </w:r>
    </w:p>
    <w:p w14:paraId="40B1E4E2">
      <w:pPr>
        <w:numPr>
          <w:ilvl w:val="255"/>
          <w:numId w:val="0"/>
        </w:num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zh-CN"/>
        </w:rPr>
        <w:t>二、本合同期限为</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val="zh-CN"/>
        </w:rPr>
        <w:t>年，</w:t>
      </w:r>
      <w:r>
        <w:rPr>
          <w:rFonts w:hint="eastAsia" w:ascii="仿宋" w:hAnsi="仿宋" w:eastAsia="仿宋" w:cs="仿宋"/>
          <w:sz w:val="24"/>
          <w:szCs w:val="24"/>
          <w:highlight w:val="none"/>
          <w:lang w:val="en-US" w:eastAsia="zh-CN"/>
        </w:rPr>
        <w:t>自合同签署之日起正式生效，</w:t>
      </w:r>
      <w:r>
        <w:rPr>
          <w:rFonts w:hint="eastAsia" w:ascii="仿宋" w:hAnsi="仿宋" w:eastAsia="仿宋" w:cs="仿宋"/>
          <w:sz w:val="24"/>
          <w:szCs w:val="24"/>
          <w:highlight w:val="none"/>
          <w:lang w:val="zh-CN"/>
        </w:rPr>
        <w:t>从202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val="zh-CN"/>
        </w:rPr>
        <w:t xml:space="preserve">年  月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val="zh-CN"/>
        </w:rPr>
        <w:t>日至 202</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lang w:val="zh-CN"/>
        </w:rPr>
        <w:t>年  月</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val="zh-CN"/>
        </w:rPr>
        <w:t>日。</w:t>
      </w:r>
    </w:p>
    <w:p w14:paraId="2ECC6935">
      <w:pPr>
        <w:numPr>
          <w:ilvl w:val="255"/>
          <w:numId w:val="0"/>
        </w:numPr>
        <w:snapToGrid w:val="0"/>
        <w:spacing w:line="360" w:lineRule="auto"/>
        <w:ind w:firstLine="56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三、乙方义务</w:t>
      </w:r>
    </w:p>
    <w:p w14:paraId="4AA96B02">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1、乙方提供的中标产品品牌不得变更，且在公司之间不得自行转让，一经发现，甲方有权解除协议，乙方应向甲方支付货款20%的违约金，并承担由此给甲方造成的一切损失。</w:t>
      </w:r>
    </w:p>
    <w:p w14:paraId="19B2CA41">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2、乙方应按照合同约定提供货物，乙方提供的</w:t>
      </w:r>
      <w:r>
        <w:rPr>
          <w:rFonts w:hint="eastAsia" w:ascii="仿宋" w:hAnsi="仿宋" w:eastAsia="仿宋" w:cs="仿宋"/>
          <w:sz w:val="24"/>
          <w:szCs w:val="24"/>
          <w:highlight w:val="none"/>
          <w:lang w:val="en-US" w:eastAsia="zh-CN"/>
        </w:rPr>
        <w:t>包装材料</w:t>
      </w:r>
      <w:r>
        <w:rPr>
          <w:rFonts w:hint="eastAsia" w:ascii="仿宋" w:hAnsi="仿宋" w:eastAsia="仿宋" w:cs="仿宋"/>
          <w:sz w:val="24"/>
          <w:szCs w:val="24"/>
          <w:highlight w:val="none"/>
          <w:lang w:val="zh-CN"/>
        </w:rPr>
        <w:t>厂家、品种、规格、数量不符合合同约定的标准，甲方有权拒绝收货。</w:t>
      </w:r>
    </w:p>
    <w:p w14:paraId="74406936">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3、乙方应按照甲方的要求及时交货。乙方迟延交货的，每迟延一天承担200元的违约金。迟延交货超过7日的或连续超过两次中途断货不能按时交货的，视同不能供货，应向甲方支付货款10</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zh-CN"/>
        </w:rPr>
        <w:t>的违约金，并赔偿由此给甲方造成的经济损失，同时甲方有权解除合同。</w:t>
      </w:r>
    </w:p>
    <w:p w14:paraId="50AF33E3">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四、结算与支付</w:t>
      </w:r>
    </w:p>
    <w:p w14:paraId="2C37E9C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1、</w:t>
      </w:r>
      <w:r>
        <w:rPr>
          <w:rFonts w:hint="eastAsia" w:ascii="仿宋" w:hAnsi="仿宋" w:eastAsia="仿宋" w:cs="仿宋"/>
          <w:sz w:val="24"/>
          <w:szCs w:val="24"/>
          <w:highlight w:val="none"/>
        </w:rPr>
        <w:t>本次招标为货物带量单价招标，最终合同价款按货物实际供给量据实结算。按照三个月滚动付款，第四个月支付第一个月货款，以此类推。</w:t>
      </w:r>
    </w:p>
    <w:p w14:paraId="788D207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2、付款方式：乙方凭借合同、结算单、验收清单、标准的增值税全额发票申请付款。医院进行银行转账方式付款。</w:t>
      </w:r>
    </w:p>
    <w:p w14:paraId="524247DE">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五、质量纠纷解决</w:t>
      </w:r>
    </w:p>
    <w:p w14:paraId="365ED3CA">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甲方在收货时</w:t>
      </w:r>
      <w:r>
        <w:rPr>
          <w:rFonts w:hint="eastAsia" w:ascii="仿宋" w:hAnsi="仿宋" w:eastAsia="仿宋" w:cs="仿宋"/>
          <w:sz w:val="24"/>
          <w:szCs w:val="24"/>
          <w:highlight w:val="none"/>
        </w:rPr>
        <w:t>组织人员</w:t>
      </w:r>
      <w:r>
        <w:rPr>
          <w:rFonts w:hint="eastAsia" w:ascii="仿宋" w:hAnsi="仿宋" w:eastAsia="仿宋" w:cs="仿宋"/>
          <w:sz w:val="24"/>
          <w:szCs w:val="24"/>
          <w:highlight w:val="none"/>
          <w:lang w:val="zh-CN"/>
        </w:rPr>
        <w:t>验收，</w:t>
      </w:r>
      <w:r>
        <w:rPr>
          <w:rFonts w:hint="eastAsia" w:ascii="仿宋" w:hAnsi="仿宋" w:eastAsia="仿宋" w:cs="仿宋"/>
          <w:sz w:val="24"/>
          <w:szCs w:val="24"/>
          <w:highlight w:val="none"/>
        </w:rPr>
        <w:t>乙方应在甲方在场的情况下当面开箱，共同清点、检查外观，</w:t>
      </w:r>
      <w:r>
        <w:rPr>
          <w:rFonts w:hint="eastAsia" w:ascii="仿宋" w:hAnsi="仿宋" w:eastAsia="仿宋" w:cs="仿宋"/>
          <w:sz w:val="24"/>
          <w:szCs w:val="24"/>
          <w:highlight w:val="none"/>
          <w:lang w:eastAsia="zh-CN"/>
        </w:rPr>
        <w:t>做出</w:t>
      </w:r>
      <w:r>
        <w:rPr>
          <w:rFonts w:hint="eastAsia" w:ascii="仿宋" w:hAnsi="仿宋" w:eastAsia="仿宋" w:cs="仿宋"/>
          <w:sz w:val="24"/>
          <w:szCs w:val="24"/>
          <w:highlight w:val="none"/>
        </w:rPr>
        <w:t>开箱记录，双方签字确认。乙方应保证货物到达甲方指定地点完好无损，如有缺损坏，由乙方负责调换、补齐或赔偿。</w:t>
      </w:r>
    </w:p>
    <w:p w14:paraId="63F880F8">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如因产品质量问题而引起的纠纷，乙方应积极协助甲方处理善后事宜，并承担由此给甲方造成的一切损失。因产品质量引起的赔偿，由乙方承担全部责任。</w:t>
      </w:r>
    </w:p>
    <w:p w14:paraId="1AA06C4C">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六、合同的变更和解除</w:t>
      </w:r>
    </w:p>
    <w:p w14:paraId="3BD6869E">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在合同履行过程中出现未尽事宜，双方协商解决，可签订补充协议。</w:t>
      </w:r>
    </w:p>
    <w:p w14:paraId="5A57D3C9">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若遇不可抗力因素，比如：战争、严重火灾、洪水、台风、地震、政府政策变化等影响合同履行的，遭受不可抗力的乙方应在5日之日以书面形式将不可抗力的情况和原因通知另一方。但不可抗力事件消除后，遭受不可抗力的一方应在合理时间内恢复履行合同责任。</w:t>
      </w:r>
    </w:p>
    <w:p w14:paraId="4125D219">
      <w:pPr>
        <w:numPr>
          <w:ilvl w:val="255"/>
          <w:numId w:val="0"/>
        </w:num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因不可抗力导致合同目的不能实现的，则双方均有权解除合同，未履行的部分终止履行，已经履行的部分按照法律规定进行清算结算。</w:t>
      </w:r>
    </w:p>
    <w:p w14:paraId="071B6C20">
      <w:pPr>
        <w:numPr>
          <w:ilvl w:val="255"/>
          <w:numId w:val="0"/>
        </w:numPr>
        <w:shd w:val="clear" w:color="auto" w:fill="FFFFFF"/>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七、本合同签字盖章栏所列明的双方地址、电话、委托代理人为双方在合同履行及争议解决期间的有效联系方式，如有变更，变更一方应当在变更后三日内书面通知另一方。本合同履行过程中需要书面通知另一方的，一方应将书面通知送达本协议列明的地址及委托代理人，只要该书面通知按照以上地址寄送、发送的，寄送、发送之日起第2日，应视为另一方已经知晓该通知内容。任何一方变更联系方式而未书面通知对方的，均视为未变更，由此产生的一切不利后果均由变更方自行承担。</w:t>
      </w:r>
    </w:p>
    <w:p w14:paraId="7ADABC56">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八、本合同引起的与本合同有关的任何争议，合同当事人应协商解决，如不能协商解决，任何一方可向甲方所在地人民法院诉讼解决。</w:t>
      </w:r>
    </w:p>
    <w:p w14:paraId="3661C2B9">
      <w:pPr>
        <w:numPr>
          <w:ilvl w:val="255"/>
          <w:numId w:val="0"/>
        </w:numPr>
        <w:snapToGrid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九、本合同一式肆份，甲方叁份，乙方壹份，自甲乙双方签章之日起生效，均具有同等法律效力。</w:t>
      </w:r>
    </w:p>
    <w:p w14:paraId="06CAE916">
      <w:pPr>
        <w:spacing w:line="360" w:lineRule="auto"/>
        <w:rPr>
          <w:rFonts w:hint="eastAsia" w:ascii="仿宋" w:hAnsi="仿宋" w:eastAsia="仿宋" w:cs="仿宋"/>
          <w:sz w:val="24"/>
          <w:szCs w:val="24"/>
          <w:highlight w:val="none"/>
          <w:lang w:val="zh-CN"/>
        </w:rPr>
      </w:pPr>
    </w:p>
    <w:p w14:paraId="5DDB4E84">
      <w:pPr>
        <w:keepNext w:val="0"/>
        <w:keepLines w:val="0"/>
        <w:pageBreakBefore w:val="0"/>
        <w:widowControl w:val="0"/>
        <w:kinsoku/>
        <w:wordWrap/>
        <w:overflowPunct/>
        <w:topLinePunct w:val="0"/>
        <w:autoSpaceDE/>
        <w:autoSpaceDN/>
        <w:bidi w:val="0"/>
        <w:adjustRightInd/>
        <w:snapToGrid/>
        <w:spacing w:line="400" w:lineRule="exact"/>
        <w:ind w:left="4800" w:hanging="4800" w:hangingChars="20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甲方：陕西中医药大学附属医院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乙方： </w:t>
      </w:r>
    </w:p>
    <w:p w14:paraId="060E3530">
      <w:pPr>
        <w:keepNext w:val="0"/>
        <w:keepLines w:val="0"/>
        <w:pageBreakBefore w:val="0"/>
        <w:widowControl w:val="0"/>
        <w:kinsoku/>
        <w:wordWrap/>
        <w:overflowPunct/>
        <w:topLinePunct w:val="0"/>
        <w:autoSpaceDE/>
        <w:autoSpaceDN/>
        <w:bidi w:val="0"/>
        <w:adjustRightInd/>
        <w:snapToGrid/>
        <w:spacing w:line="400" w:lineRule="exact"/>
        <w:ind w:left="5280" w:hanging="5280" w:hangingChars="2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地址：咸阳市渭阳西路副2号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地址：</w:t>
      </w:r>
    </w:p>
    <w:p w14:paraId="6BBD92B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委托代理人：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法人代表：</w:t>
      </w:r>
    </w:p>
    <w:p w14:paraId="2CBC2E8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委托代理人：</w:t>
      </w:r>
    </w:p>
    <w:p w14:paraId="01B78ED1">
      <w:pPr>
        <w:keepNext w:val="0"/>
        <w:keepLines w:val="0"/>
        <w:pageBreakBefore w:val="0"/>
        <w:widowControl w:val="0"/>
        <w:kinsoku/>
        <w:wordWrap/>
        <w:overflowPunct/>
        <w:topLinePunct w:val="0"/>
        <w:autoSpaceDE/>
        <w:autoSpaceDN/>
        <w:bidi w:val="0"/>
        <w:adjustRightInd/>
        <w:snapToGrid/>
        <w:spacing w:line="400" w:lineRule="exact"/>
        <w:ind w:left="5359" w:leftChars="266" w:hanging="4800" w:hangingChars="20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开户银行：</w:t>
      </w:r>
    </w:p>
    <w:p w14:paraId="45C466B8">
      <w:pPr>
        <w:keepNext w:val="0"/>
        <w:keepLines w:val="0"/>
        <w:pageBreakBefore w:val="0"/>
        <w:widowControl w:val="0"/>
        <w:kinsoku/>
        <w:wordWrap/>
        <w:overflowPunct/>
        <w:topLinePunct w:val="0"/>
        <w:autoSpaceDE/>
        <w:autoSpaceDN/>
        <w:bidi w:val="0"/>
        <w:adjustRightInd/>
        <w:snapToGrid/>
        <w:spacing w:line="400" w:lineRule="exact"/>
        <w:ind w:left="4159" w:leftChars="266" w:hanging="3600" w:hangingChars="15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银行账号：</w:t>
      </w:r>
    </w:p>
    <w:p w14:paraId="24EE7FD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电话：029-32075610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电话：</w:t>
      </w:r>
    </w:p>
    <w:p w14:paraId="70F34E0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日期：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 年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月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 日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日期：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年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 月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 日</w:t>
      </w:r>
    </w:p>
    <w:p w14:paraId="3D2844D1">
      <w:pP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br w:type="page"/>
      </w:r>
    </w:p>
    <w:p w14:paraId="334639B6">
      <w:pPr>
        <w:jc w:val="both"/>
        <w:rPr>
          <w:rFonts w:hint="eastAsia" w:ascii="仿宋" w:hAnsi="仿宋" w:eastAsia="仿宋" w:cs="仿宋"/>
          <w:b/>
          <w:bCs/>
          <w:i w:val="0"/>
          <w:iCs w:val="0"/>
          <w:color w:val="000000"/>
          <w:kern w:val="0"/>
          <w:sz w:val="28"/>
          <w:szCs w:val="28"/>
          <w:highlight w:val="none"/>
          <w:u w:val="none"/>
          <w:lang w:val="en-US" w:eastAsia="zh-CN" w:bidi="ar"/>
        </w:rPr>
      </w:pPr>
      <w:r>
        <w:rPr>
          <w:rFonts w:hint="eastAsia" w:ascii="仿宋" w:hAnsi="仿宋" w:eastAsia="仿宋" w:cs="仿宋"/>
          <w:b/>
          <w:bCs/>
          <w:i w:val="0"/>
          <w:iCs w:val="0"/>
          <w:color w:val="000000"/>
          <w:kern w:val="0"/>
          <w:sz w:val="28"/>
          <w:szCs w:val="28"/>
          <w:highlight w:val="none"/>
          <w:u w:val="none"/>
          <w:lang w:val="en-US" w:eastAsia="zh-CN" w:bidi="ar"/>
        </w:rPr>
        <w:t>附件：</w:t>
      </w:r>
    </w:p>
    <w:p w14:paraId="10743F28">
      <w:pPr>
        <w:jc w:val="center"/>
        <w:rPr>
          <w:rFonts w:hint="eastAsia" w:ascii="仿宋" w:hAnsi="仿宋" w:eastAsia="仿宋" w:cs="仿宋"/>
          <w:szCs w:val="24"/>
          <w:highlight w:val="none"/>
        </w:rPr>
      </w:pPr>
      <w:r>
        <w:rPr>
          <w:rFonts w:hint="eastAsia" w:ascii="仿宋" w:hAnsi="仿宋" w:eastAsia="仿宋" w:cs="仿宋"/>
          <w:b/>
          <w:bCs/>
          <w:i w:val="0"/>
          <w:iCs w:val="0"/>
          <w:color w:val="000000"/>
          <w:kern w:val="0"/>
          <w:sz w:val="28"/>
          <w:szCs w:val="28"/>
          <w:highlight w:val="none"/>
          <w:u w:val="none"/>
          <w:lang w:val="en-US" w:eastAsia="zh-CN" w:bidi="ar"/>
        </w:rPr>
        <w:t>煎药机和液体包装机常用配件价格表</w:t>
      </w:r>
    </w:p>
    <w:tbl>
      <w:tblPr>
        <w:tblStyle w:val="10"/>
        <w:tblW w:w="8860" w:type="dxa"/>
        <w:tblInd w:w="-18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3"/>
        <w:gridCol w:w="1459"/>
        <w:gridCol w:w="3449"/>
        <w:gridCol w:w="1252"/>
        <w:gridCol w:w="1917"/>
      </w:tblGrid>
      <w:tr w14:paraId="539B8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4F260D5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1459"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68577C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产品</w:t>
            </w:r>
          </w:p>
        </w:tc>
        <w:tc>
          <w:tcPr>
            <w:tcW w:w="3449"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CB89A4D">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设备名称及规格</w:t>
            </w:r>
          </w:p>
        </w:tc>
        <w:tc>
          <w:tcPr>
            <w:tcW w:w="1252"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00F1D8E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数量</w:t>
            </w:r>
          </w:p>
        </w:tc>
        <w:tc>
          <w:tcPr>
            <w:tcW w:w="191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904963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单价（元）</w:t>
            </w:r>
          </w:p>
        </w:tc>
      </w:tr>
      <w:tr w14:paraId="0E102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FC49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1693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D933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4538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BAD5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582B4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251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439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75CA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7B82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F42A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6E68C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4069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D018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BA07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9570D">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9D128">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BDA7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A7DC8">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2DE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431B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4E15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8399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30B12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D9D08">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62656">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03FC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DE04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833A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671CA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9A06">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25C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8640">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67B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8E01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75E6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A2F2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79A8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7E0F1">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6056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256C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63D9A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A906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1C6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634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304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EC3A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3E286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EF13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84C5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6D7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1FC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42DE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1C5B8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129D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FCA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589ED">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EFA0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8D888">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7CBC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B26B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AF17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4AE4B">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2CCA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D325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AF97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D358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90306">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88D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30EE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8A78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5EBCF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1143E">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9D5E7">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EB261">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8DF5E">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C671C">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48C81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7F5A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45F52">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86045">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E490">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E7C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0FBA1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6BFBE">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351B0">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F6A9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0F71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23368">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r w14:paraId="1475F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523F">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D4619">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3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C198A">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23E4">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E54E3">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r>
    </w:tbl>
    <w:p w14:paraId="66ECD407">
      <w:pPr>
        <w:pStyle w:val="8"/>
        <w:rPr>
          <w:rFonts w:hint="eastAsia" w:ascii="仿宋" w:hAnsi="仿宋" w:eastAsia="仿宋" w:cs="仿宋"/>
          <w:highlight w:val="none"/>
        </w:rPr>
      </w:pPr>
    </w:p>
    <w:p w14:paraId="0A61B618">
      <w:pPr>
        <w:pStyle w:val="8"/>
        <w:rPr>
          <w:rFonts w:hint="eastAsia" w:ascii="仿宋" w:hAnsi="仿宋" w:eastAsia="仿宋" w:cs="仿宋"/>
          <w:highlight w:val="none"/>
        </w:rPr>
      </w:pPr>
    </w:p>
    <w:p w14:paraId="219F5085">
      <w:pPr>
        <w:pStyle w:val="8"/>
        <w:rPr>
          <w:rFonts w:hint="eastAsia" w:ascii="仿宋" w:hAnsi="仿宋" w:eastAsia="仿宋" w:cs="仿宋"/>
          <w:highlight w:val="none"/>
        </w:rPr>
      </w:pPr>
    </w:p>
    <w:p w14:paraId="11E0F0D7">
      <w:pPr>
        <w:pStyle w:val="8"/>
        <w:rPr>
          <w:rFonts w:hint="eastAsia" w:ascii="仿宋" w:hAnsi="仿宋" w:eastAsia="仿宋" w:cs="仿宋"/>
          <w:highlight w:val="none"/>
        </w:rPr>
      </w:pPr>
    </w:p>
    <w:p w14:paraId="6A9F344E">
      <w:pPr>
        <w:pStyle w:val="8"/>
        <w:rPr>
          <w:rFonts w:hint="eastAsia" w:ascii="仿宋" w:hAnsi="仿宋" w:eastAsia="仿宋" w:cs="仿宋"/>
          <w:highlight w:val="none"/>
        </w:rPr>
      </w:pPr>
    </w:p>
    <w:p w14:paraId="33EAB318">
      <w:pPr>
        <w:pStyle w:val="8"/>
        <w:rPr>
          <w:rFonts w:hint="eastAsia" w:ascii="仿宋" w:hAnsi="仿宋" w:eastAsia="仿宋" w:cs="仿宋"/>
          <w:highlight w:val="none"/>
        </w:rPr>
      </w:pPr>
    </w:p>
    <w:p w14:paraId="7FCEA255">
      <w:pPr>
        <w:pStyle w:val="8"/>
        <w:rPr>
          <w:rFonts w:hint="eastAsia" w:ascii="仿宋" w:hAnsi="仿宋" w:eastAsia="仿宋" w:cs="仿宋"/>
          <w:highlight w:val="none"/>
        </w:rPr>
      </w:pPr>
    </w:p>
    <w:p w14:paraId="4B4FC9F4">
      <w:pPr>
        <w:pStyle w:val="8"/>
        <w:rPr>
          <w:rFonts w:hint="eastAsia" w:ascii="仿宋" w:hAnsi="仿宋" w:eastAsia="仿宋" w:cs="仿宋"/>
          <w:highlight w:val="none"/>
        </w:rPr>
      </w:pPr>
    </w:p>
    <w:p w14:paraId="17243B3F">
      <w:pPr>
        <w:pStyle w:val="8"/>
        <w:rPr>
          <w:rFonts w:hint="eastAsia" w:ascii="仿宋" w:hAnsi="仿宋" w:eastAsia="仿宋" w:cs="仿宋"/>
          <w:highlight w:val="none"/>
          <w:lang w:val="en-US" w:eastAsia="zh-Hans"/>
        </w:rPr>
      </w:pPr>
    </w:p>
    <w:p w14:paraId="183FCAA3"/>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5610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B99938">
                          <w:pPr>
                            <w:pStyle w:val="8"/>
                          </w:pPr>
                          <w:r>
                            <w:t xml:space="preserve">第 </w:t>
                          </w:r>
                          <w:r>
                            <w:fldChar w:fldCharType="begin"/>
                          </w:r>
                          <w:r>
                            <w:instrText xml:space="preserve"> PAGE  \* MERGEFORMAT </w:instrText>
                          </w:r>
                          <w:r>
                            <w:fldChar w:fldCharType="separate"/>
                          </w:r>
                          <w:r>
                            <w:t>63</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B99938">
                    <w:pPr>
                      <w:pStyle w:val="8"/>
                    </w:pPr>
                    <w:r>
                      <w:t xml:space="preserve">第 </w:t>
                    </w:r>
                    <w:r>
                      <w:fldChar w:fldCharType="begin"/>
                    </w:r>
                    <w:r>
                      <w:instrText xml:space="preserve"> PAGE  \* MERGEFORMAT </w:instrText>
                    </w:r>
                    <w:r>
                      <w:fldChar w:fldCharType="separate"/>
                    </w:r>
                    <w:r>
                      <w:t>63</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8FBBA3"/>
    <w:multiLevelType w:val="singleLevel"/>
    <w:tmpl w:val="268FBBA3"/>
    <w:lvl w:ilvl="0" w:tentative="0">
      <w:start w:val="1"/>
      <w:numFmt w:val="decimal"/>
      <w:suff w:val="nothing"/>
      <w:lvlText w:val="%1、"/>
      <w:lvlJc w:val="left"/>
    </w:lvl>
  </w:abstractNum>
  <w:abstractNum w:abstractNumId="1">
    <w:nsid w:val="76B30C30"/>
    <w:multiLevelType w:val="singleLevel"/>
    <w:tmpl w:val="76B30C30"/>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F4BCD"/>
    <w:rsid w:val="0C2A1D08"/>
    <w:rsid w:val="3DB003FD"/>
    <w:rsid w:val="48E90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unhideWhenUsed/>
    <w:qFormat/>
    <w:uiPriority w:val="9"/>
    <w:pPr>
      <w:spacing w:line="360" w:lineRule="auto"/>
      <w:outlineLvl w:val="1"/>
    </w:pPr>
    <w:rPr>
      <w:rFonts w:ascii="仿宋" w:hAnsi="仿宋" w:eastAsia="仿宋" w:cs="仿宋"/>
      <w:b/>
      <w:kern w:val="2"/>
      <w:sz w:val="28"/>
      <w:szCs w:val="28"/>
      <w:highlight w:val="none"/>
      <w:lang w:val="zh-CN"/>
    </w:rPr>
  </w:style>
  <w:style w:type="paragraph" w:styleId="6">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envelope return"/>
    <w:basedOn w:val="1"/>
    <w:qFormat/>
    <w:uiPriority w:val="99"/>
    <w:pPr>
      <w:snapToGrid w:val="0"/>
    </w:pPr>
    <w:rPr>
      <w:rFonts w:ascii="Arial" w:hAnsi="Arial" w:cs="Arial"/>
    </w:rPr>
  </w:style>
  <w:style w:type="paragraph" w:styleId="7">
    <w:name w:val="Body Text"/>
    <w:basedOn w:val="1"/>
    <w:next w:val="1"/>
    <w:semiHidden/>
    <w:qFormat/>
    <w:uiPriority w:val="0"/>
    <w:rPr>
      <w:rFonts w:ascii="微软雅黑" w:hAnsi="微软雅黑" w:eastAsia="微软雅黑" w:cs="微软雅黑"/>
      <w:sz w:val="19"/>
      <w:szCs w:val="19"/>
      <w:lang w:val="en-US" w:eastAsia="en-US" w:bidi="ar-SA"/>
    </w:rPr>
  </w:style>
  <w:style w:type="paragraph" w:styleId="8">
    <w:name w:val="footer"/>
    <w:basedOn w:val="1"/>
    <w:unhideWhenUsed/>
    <w:qFormat/>
    <w:uiPriority w:val="99"/>
    <w:pPr>
      <w:tabs>
        <w:tab w:val="center" w:pos="4153"/>
        <w:tab w:val="right" w:pos="8306"/>
      </w:tabs>
      <w:snapToGrid w:val="0"/>
      <w:spacing w:line="240" w:lineRule="atLeast"/>
    </w:pPr>
    <w:rPr>
      <w:sz w:val="18"/>
      <w:szCs w:val="18"/>
    </w:rPr>
  </w:style>
  <w:style w:type="paragraph" w:styleId="9">
    <w:name w:val="Body Text First Indent"/>
    <w:basedOn w:val="7"/>
    <w:next w:val="2"/>
    <w:unhideWhenUsed/>
    <w:qFormat/>
    <w:uiPriority w:val="99"/>
    <w:pPr>
      <w:ind w:firstLine="420" w:firstLineChars="1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Normal Indent1"/>
    <w:basedOn w:val="1"/>
    <w:autoRedefine/>
    <w:qFormat/>
    <w:uiPriority w:val="99"/>
    <w:pPr>
      <w:ind w:firstLine="880" w:firstLineChars="200"/>
    </w:pPr>
  </w:style>
  <w:style w:type="paragraph" w:customStyle="1" w:styleId="16">
    <w:name w:val="_Style 1"/>
    <w:qFormat/>
    <w:uiPriority w:val="34"/>
    <w:pPr>
      <w:widowControl w:val="0"/>
      <w:ind w:firstLine="42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1940</Words>
  <Characters>2008</Characters>
  <Lines>0</Lines>
  <Paragraphs>0</Paragraphs>
  <TotalTime>0</TotalTime>
  <ScaleCrop>false</ScaleCrop>
  <LinksUpToDate>false</LinksUpToDate>
  <CharactersWithSpaces>2252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2026-07-24T02:27:00Z</dcterms:created>
  <dc:creator>Administrator</dc:creator>
  <cp:lastModifiedBy>陕西笃信招标有限公司</cp:lastModifiedBy>
  <dcterms:modified xsi:type="dcterms:W3CDTF">2026-07-24T03:17:51Z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744CEC33391444FDB897C6025C8E9BEE_13</vt:lpwstr>
  </property>
</Properties>
</file>