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50C51">
      <w:pPr>
        <w:numPr>
          <w:ilvl w:val="0"/>
          <w:numId w:val="0"/>
        </w:numPr>
        <w:autoSpaceDE w:val="0"/>
        <w:autoSpaceDN w:val="0"/>
        <w:adjustRightInd w:val="0"/>
        <w:snapToGrid w:val="0"/>
        <w:spacing w:line="360" w:lineRule="auto"/>
        <w:ind w:leftChars="0"/>
        <w:jc w:val="center"/>
        <w:outlineLvl w:val="0"/>
        <w:rPr>
          <w:rFonts w:hint="eastAsia" w:ascii="宋体" w:hAnsi="宋体" w:eastAsia="宋体" w:cs="宋体"/>
          <w:b/>
          <w:bCs/>
          <w:color w:val="auto"/>
          <w:sz w:val="44"/>
          <w:szCs w:val="44"/>
          <w:highlight w:val="none"/>
          <w:lang w:val="zh-CN"/>
        </w:rPr>
      </w:pPr>
      <w:bookmarkStart w:id="0" w:name="_Toc11038"/>
      <w:bookmarkStart w:id="1" w:name="_Toc24172_WPSOffice_Level1"/>
      <w:bookmarkStart w:id="2" w:name="_Toc26471"/>
      <w:bookmarkStart w:id="3" w:name="_Toc32743_WPSOffice_Level1"/>
      <w:bookmarkStart w:id="4" w:name="_Toc18798"/>
      <w:r>
        <w:rPr>
          <w:rFonts w:hint="eastAsia" w:ascii="宋体" w:hAnsi="宋体" w:eastAsia="宋体" w:cs="宋体"/>
          <w:b/>
          <w:bCs/>
          <w:color w:val="auto"/>
          <w:sz w:val="44"/>
          <w:szCs w:val="44"/>
          <w:highlight w:val="none"/>
          <w:lang w:val="zh-CN"/>
        </w:rPr>
        <w:t>拟签订的合同文本</w:t>
      </w:r>
      <w:bookmarkEnd w:id="0"/>
      <w:bookmarkEnd w:id="1"/>
      <w:bookmarkEnd w:id="2"/>
      <w:bookmarkEnd w:id="3"/>
      <w:bookmarkEnd w:id="4"/>
    </w:p>
    <w:p w14:paraId="091EB2CD">
      <w:pPr>
        <w:pStyle w:val="4"/>
        <w:numPr>
          <w:ilvl w:val="0"/>
          <w:numId w:val="0"/>
        </w:numPr>
        <w:ind w:leftChars="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（参考格式，</w:t>
      </w:r>
      <w:r>
        <w:rPr>
          <w:rFonts w:hint="eastAsia" w:ascii="宋体" w:hAnsi="宋体" w:eastAsia="宋体" w:cs="宋体"/>
          <w:color w:val="auto"/>
          <w:sz w:val="24"/>
          <w:szCs w:val="24"/>
          <w:highlight w:val="none"/>
          <w:lang w:val="en-US" w:eastAsia="zh-CN"/>
        </w:rPr>
        <w:t>以双方最终签订合同为准</w:t>
      </w:r>
      <w:r>
        <w:rPr>
          <w:rFonts w:hint="eastAsia" w:ascii="宋体" w:hAnsi="宋体" w:eastAsia="宋体" w:cs="宋体"/>
          <w:color w:val="auto"/>
          <w:sz w:val="24"/>
          <w:szCs w:val="24"/>
          <w:highlight w:val="none"/>
          <w:lang w:val="zh-CN"/>
        </w:rPr>
        <w:t>）</w:t>
      </w:r>
    </w:p>
    <w:p w14:paraId="31B3D50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rPr>
        <w:t>甲方（采购人）：</w:t>
      </w:r>
      <w:r>
        <w:rPr>
          <w:rFonts w:hint="eastAsia" w:ascii="宋体" w:hAnsi="宋体" w:cs="宋体"/>
          <w:bCs/>
          <w:color w:val="auto"/>
          <w:sz w:val="24"/>
          <w:szCs w:val="24"/>
          <w:highlight w:val="none"/>
          <w:u w:val="single"/>
          <w:lang w:eastAsia="zh-CN"/>
        </w:rPr>
        <w:t>省地质环境监测总站</w:t>
      </w:r>
    </w:p>
    <w:p w14:paraId="3EBCD1D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乙方（成交供应商）：</w:t>
      </w:r>
      <w:r>
        <w:rPr>
          <w:rFonts w:hint="eastAsia" w:ascii="宋体" w:hAnsi="宋体" w:cs="宋体"/>
          <w:bCs/>
          <w:color w:val="auto"/>
          <w:sz w:val="24"/>
          <w:szCs w:val="24"/>
          <w:highlight w:val="none"/>
          <w:u w:val="single"/>
          <w:lang w:val="en-US" w:eastAsia="zh-CN"/>
        </w:rPr>
        <w:t xml:space="preserve">   (单位名称）   </w:t>
      </w:r>
    </w:p>
    <w:p w14:paraId="7E3103E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u w:val="single"/>
          <w:lang w:eastAsia="zh-CN"/>
        </w:rPr>
        <w:t>陕西省地质环境监测总站（陕西省地质灾害中心）地下水地表水样品测试采购项目</w:t>
      </w:r>
      <w:r>
        <w:rPr>
          <w:rFonts w:hint="eastAsia" w:ascii="宋体" w:hAnsi="宋体" w:eastAsia="宋体" w:cs="宋体"/>
          <w:bCs/>
          <w:color w:val="auto"/>
          <w:sz w:val="24"/>
          <w:szCs w:val="24"/>
          <w:highlight w:val="none"/>
          <w:u w:val="single"/>
        </w:rPr>
        <w:t>(项目编号：ZTC202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u w:val="single"/>
        </w:rPr>
        <w:t>FW01</w:t>
      </w:r>
      <w:r>
        <w:rPr>
          <w:rFonts w:hint="eastAsia" w:ascii="宋体" w:hAnsi="宋体" w:cs="宋体"/>
          <w:bCs/>
          <w:color w:val="auto"/>
          <w:sz w:val="24"/>
          <w:szCs w:val="24"/>
          <w:highlight w:val="none"/>
          <w:u w:val="single"/>
          <w:lang w:val="en-US" w:eastAsia="zh-CN"/>
        </w:rPr>
        <w:t>0</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，由陕西</w:t>
      </w:r>
      <w:r>
        <w:rPr>
          <w:rFonts w:hint="eastAsia" w:ascii="宋体" w:hAnsi="宋体" w:eastAsia="宋体" w:cs="宋体"/>
          <w:bCs/>
          <w:color w:val="auto"/>
          <w:sz w:val="24"/>
          <w:szCs w:val="24"/>
          <w:highlight w:val="none"/>
          <w:lang w:eastAsia="zh-CN"/>
        </w:rPr>
        <w:t>中金</w:t>
      </w:r>
      <w:r>
        <w:rPr>
          <w:rFonts w:hint="eastAsia" w:ascii="宋体" w:hAnsi="宋体" w:eastAsia="宋体" w:cs="宋体"/>
          <w:bCs/>
          <w:color w:val="auto"/>
          <w:sz w:val="24"/>
          <w:szCs w:val="24"/>
          <w:highlight w:val="none"/>
        </w:rPr>
        <w:t>招标有限公司组织竞争性磋商，(</w:t>
      </w:r>
      <w:r>
        <w:rPr>
          <w:rFonts w:hint="eastAsia" w:ascii="宋体" w:hAnsi="宋体" w:cs="宋体"/>
          <w:bCs/>
          <w:color w:val="auto"/>
          <w:sz w:val="24"/>
          <w:szCs w:val="24"/>
          <w:highlight w:val="none"/>
          <w:u w:val="single"/>
          <w:lang w:val="en-US" w:eastAsia="zh-CN"/>
        </w:rPr>
        <w:t>省地质环境监测总站</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lang w:val="en-US" w:eastAsia="zh-CN"/>
        </w:rPr>
        <w:t>成交供应商</w:t>
      </w:r>
      <w:r>
        <w:rPr>
          <w:rFonts w:hint="eastAsia" w:ascii="宋体" w:hAnsi="宋体" w:eastAsia="宋体" w:cs="宋体"/>
          <w:bCs/>
          <w:color w:val="auto"/>
          <w:sz w:val="24"/>
          <w:szCs w:val="24"/>
          <w:highlight w:val="none"/>
        </w:rPr>
        <w:t>以下简称“乙方”）为该项目的成交供应商。</w:t>
      </w:r>
    </w:p>
    <w:p w14:paraId="6E05601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依据《中华人民共和国民法典》和《中华人民共和国政府采购法》之规定，经双方在平等、自愿、互利的基础上，签订本合同，共同信守。</w:t>
      </w:r>
    </w:p>
    <w:p w14:paraId="188D49D2">
      <w:pPr>
        <w:numPr>
          <w:ilvl w:val="0"/>
          <w:numId w:val="0"/>
        </w:numPr>
        <w:autoSpaceDE w:val="0"/>
        <w:autoSpaceDN w:val="0"/>
        <w:adjustRightInd w:val="0"/>
        <w:snapToGrid w:val="0"/>
        <w:spacing w:line="360" w:lineRule="auto"/>
        <w:ind w:firstLine="480" w:firstLineChars="200"/>
        <w:outlineLvl w:val="1"/>
        <w:rPr>
          <w:rFonts w:hint="eastAsia" w:ascii="宋体" w:hAnsi="宋体" w:eastAsia="宋体" w:cs="宋体"/>
          <w:bCs/>
          <w:color w:val="auto"/>
          <w:kern w:val="2"/>
          <w:sz w:val="22"/>
          <w:szCs w:val="22"/>
          <w:highlight w:val="none"/>
          <w:u w:val="none"/>
          <w:lang w:val="zh-CN" w:eastAsia="zh-CN" w:bidi="ar-SA"/>
        </w:rPr>
      </w:pPr>
      <w:bookmarkStart w:id="5" w:name="_Toc12435"/>
      <w:r>
        <w:rPr>
          <w:rFonts w:hint="eastAsia" w:ascii="宋体" w:hAnsi="宋体" w:eastAsia="宋体" w:cs="宋体"/>
          <w:bCs/>
          <w:color w:val="auto"/>
          <w:kern w:val="2"/>
          <w:sz w:val="24"/>
          <w:szCs w:val="24"/>
          <w:lang w:val="en-US" w:eastAsia="zh-CN" w:bidi="ar-SA"/>
        </w:rPr>
        <w:t>一、</w:t>
      </w:r>
      <w:r>
        <w:rPr>
          <w:rFonts w:hint="eastAsia" w:ascii="宋体" w:hAnsi="宋体" w:eastAsia="宋体" w:cs="宋体"/>
          <w:b/>
          <w:bCs/>
          <w:color w:val="auto"/>
          <w:sz w:val="24"/>
          <w:szCs w:val="24"/>
          <w:highlight w:val="none"/>
          <w:lang w:val="en-US" w:eastAsia="zh-CN"/>
        </w:rPr>
        <w:t>服务内容：</w:t>
      </w:r>
      <w:r>
        <w:rPr>
          <w:rFonts w:hint="eastAsia" w:ascii="宋体" w:hAnsi="宋体" w:eastAsia="宋体" w:cs="宋体"/>
          <w:bCs/>
          <w:color w:val="auto"/>
          <w:kern w:val="2"/>
          <w:sz w:val="24"/>
          <w:szCs w:val="24"/>
          <w:highlight w:val="none"/>
          <w:u w:val="none"/>
          <w:lang w:val="en-US" w:eastAsia="zh-CN" w:bidi="ar-SA"/>
        </w:rPr>
        <w:t>乙方为甲方提供</w:t>
      </w:r>
      <w:r>
        <w:rPr>
          <w:rFonts w:hint="eastAsia" w:ascii="宋体" w:hAnsi="宋体" w:cs="宋体"/>
          <w:bCs/>
          <w:color w:val="auto"/>
          <w:sz w:val="24"/>
          <w:szCs w:val="24"/>
          <w:highlight w:val="none"/>
          <w:u w:val="single"/>
          <w:lang w:eastAsia="zh-CN"/>
        </w:rPr>
        <w:t>陕西省地质环境监测总站（陕西省地质灾害中心）地下水地表水样</w:t>
      </w:r>
      <w:r>
        <w:rPr>
          <w:rFonts w:hint="eastAsia" w:ascii="宋体" w:hAnsi="宋体" w:cs="宋体"/>
          <w:bCs/>
          <w:color w:val="auto"/>
          <w:sz w:val="22"/>
          <w:szCs w:val="22"/>
          <w:highlight w:val="none"/>
          <w:u w:val="single"/>
          <w:lang w:eastAsia="zh-CN"/>
        </w:rPr>
        <w:t>品测试采购项目</w:t>
      </w:r>
      <w:r>
        <w:rPr>
          <w:rFonts w:hint="eastAsia" w:ascii="宋体" w:hAnsi="宋体" w:cs="宋体"/>
          <w:bCs/>
          <w:color w:val="auto"/>
          <w:sz w:val="22"/>
          <w:szCs w:val="22"/>
          <w:highlight w:val="none"/>
          <w:u w:val="single"/>
          <w:lang w:val="en-US" w:eastAsia="zh-CN"/>
        </w:rPr>
        <w:t>的相关服务</w:t>
      </w:r>
      <w:r>
        <w:rPr>
          <w:rFonts w:hint="eastAsia" w:ascii="宋体" w:hAnsi="宋体" w:cs="宋体"/>
          <w:bCs/>
          <w:color w:val="auto"/>
          <w:sz w:val="22"/>
          <w:szCs w:val="22"/>
          <w:highlight w:val="none"/>
          <w:u w:val="single"/>
          <w:lang w:eastAsia="zh-CN"/>
        </w:rPr>
        <w:t>，</w:t>
      </w:r>
      <w:r>
        <w:rPr>
          <w:rFonts w:hint="eastAsia" w:ascii="宋体" w:hAnsi="宋体" w:cs="宋体"/>
          <w:bCs/>
          <w:color w:val="auto"/>
          <w:sz w:val="22"/>
          <w:szCs w:val="22"/>
          <w:highlight w:val="none"/>
          <w:u w:val="single"/>
          <w:lang w:val="en-US" w:eastAsia="zh-CN"/>
        </w:rPr>
        <w:t>主要包括xxxxxx</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w:t>
      </w:r>
      <w:r>
        <w:rPr>
          <w:rFonts w:hint="eastAsia" w:ascii="宋体" w:hAnsi="宋体" w:cs="宋体"/>
          <w:bCs/>
          <w:color w:val="auto"/>
          <w:kern w:val="2"/>
          <w:sz w:val="22"/>
          <w:szCs w:val="22"/>
          <w:highlight w:val="none"/>
          <w:u w:val="none"/>
          <w:lang w:val="zh-CN" w:eastAsia="zh-CN" w:bidi="ar-SA"/>
        </w:rPr>
        <w:t>乙方服务</w:t>
      </w:r>
      <w:r>
        <w:rPr>
          <w:rFonts w:hint="eastAsia" w:ascii="宋体" w:hAnsi="宋体" w:eastAsia="宋体" w:cs="宋体"/>
          <w:bCs/>
          <w:color w:val="auto"/>
          <w:kern w:val="2"/>
          <w:sz w:val="22"/>
          <w:szCs w:val="22"/>
          <w:highlight w:val="none"/>
          <w:u w:val="none"/>
          <w:lang w:val="zh-CN" w:eastAsia="zh-CN" w:bidi="ar-SA"/>
        </w:rPr>
        <w:t>投入人员详细名单及</w:t>
      </w:r>
      <w:r>
        <w:rPr>
          <w:rFonts w:hint="eastAsia" w:ascii="宋体" w:hAnsi="宋体" w:cs="宋体"/>
          <w:bCs/>
          <w:color w:val="auto"/>
          <w:kern w:val="2"/>
          <w:sz w:val="22"/>
          <w:szCs w:val="22"/>
          <w:highlight w:val="none"/>
          <w:u w:val="none"/>
          <w:lang w:val="zh-CN" w:eastAsia="zh-CN" w:bidi="ar-SA"/>
        </w:rPr>
        <w:t>具体服务内容及要求等</w:t>
      </w:r>
      <w:r>
        <w:rPr>
          <w:rFonts w:hint="eastAsia" w:ascii="宋体" w:hAnsi="宋体" w:eastAsia="宋体" w:cs="宋体"/>
          <w:bCs/>
          <w:color w:val="auto"/>
          <w:kern w:val="2"/>
          <w:sz w:val="22"/>
          <w:szCs w:val="22"/>
          <w:highlight w:val="none"/>
          <w:u w:val="none"/>
          <w:lang w:val="zh-CN" w:eastAsia="zh-CN" w:bidi="ar-SA"/>
        </w:rPr>
        <w:t>信息后附）</w:t>
      </w:r>
      <w:bookmarkEnd w:id="5"/>
    </w:p>
    <w:p w14:paraId="073DD737">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6" w:name="_Toc16170_WPSOffice_Level2"/>
      <w:bookmarkStart w:id="7" w:name="_Toc27143_WPSOffice_Level2"/>
      <w:bookmarkStart w:id="8" w:name="_Toc5353"/>
      <w:bookmarkStart w:id="9" w:name="_Toc15412"/>
      <w:bookmarkStart w:id="10" w:name="_Toc19489_WPSOffice_Level2"/>
      <w:r>
        <w:rPr>
          <w:rFonts w:hint="eastAsia" w:ascii="宋体" w:hAnsi="宋体" w:eastAsia="宋体" w:cs="宋体"/>
          <w:b/>
          <w:bCs/>
          <w:color w:val="auto"/>
          <w:sz w:val="24"/>
          <w:szCs w:val="24"/>
          <w:highlight w:val="none"/>
        </w:rPr>
        <w:t>二、合同价款</w:t>
      </w:r>
      <w:bookmarkEnd w:id="6"/>
      <w:bookmarkEnd w:id="7"/>
      <w:bookmarkEnd w:id="8"/>
      <w:bookmarkEnd w:id="9"/>
      <w:bookmarkEnd w:id="10"/>
    </w:p>
    <w:p w14:paraId="6A0502F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（一）合同价款（最终磋商报价）为人民币</w:t>
      </w:r>
      <w:r>
        <w:rPr>
          <w:rFonts w:hint="eastAsia" w:ascii="宋体" w:hAnsi="宋体" w:eastAsia="宋体" w:cs="宋体"/>
          <w:bCs/>
          <w:color w:val="auto"/>
          <w:sz w:val="24"/>
          <w:szCs w:val="24"/>
          <w:highlight w:val="none"/>
          <w:lang w:eastAsia="zh-CN"/>
        </w:rPr>
        <w:t>：</w:t>
      </w:r>
      <w:bookmarkStart w:id="56" w:name="_GoBack"/>
      <w:bookmarkEnd w:id="56"/>
    </w:p>
    <w:p w14:paraId="48651D83">
      <w:pPr>
        <w:autoSpaceDE w:val="0"/>
        <w:autoSpaceDN w:val="0"/>
        <w:adjustRightInd w:val="0"/>
        <w:snapToGrid w:val="0"/>
        <w:spacing w:line="360" w:lineRule="auto"/>
        <w:ind w:firstLine="1680" w:firstLineChars="7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673E591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二</w:t>
      </w:r>
      <w:r>
        <w:rPr>
          <w:rFonts w:hint="eastAsia" w:ascii="宋体" w:hAnsi="宋体" w:eastAsia="宋体" w:cs="宋体"/>
          <w:bCs/>
          <w:color w:val="auto"/>
          <w:sz w:val="24"/>
          <w:szCs w:val="24"/>
          <w:highlight w:val="none"/>
        </w:rPr>
        <w:t>）合同价款一次性包死，不受市场价格变化因素的影响。</w:t>
      </w:r>
    </w:p>
    <w:p w14:paraId="425AB414">
      <w:pPr>
        <w:autoSpaceDE w:val="0"/>
        <w:autoSpaceDN w:val="0"/>
        <w:adjustRightInd w:val="0"/>
        <w:snapToGrid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合同总价包括完成本项目</w:t>
      </w:r>
      <w:r>
        <w:rPr>
          <w:rFonts w:hint="eastAsia" w:ascii="宋体" w:hAnsi="宋体" w:eastAsia="宋体" w:cs="宋体"/>
          <w:bCs/>
          <w:color w:val="auto"/>
          <w:sz w:val="24"/>
          <w:szCs w:val="24"/>
          <w:highlight w:val="none"/>
          <w:lang w:eastAsia="zh-CN"/>
        </w:rPr>
        <w:t>服务内容</w:t>
      </w:r>
      <w:r>
        <w:rPr>
          <w:rFonts w:hint="eastAsia" w:ascii="宋体" w:hAnsi="宋体" w:eastAsia="宋体" w:cs="宋体"/>
          <w:bCs/>
          <w:color w:val="auto"/>
          <w:sz w:val="24"/>
          <w:szCs w:val="24"/>
          <w:highlight w:val="none"/>
        </w:rPr>
        <w:t>所需的全部费用</w:t>
      </w:r>
      <w:r>
        <w:rPr>
          <w:rFonts w:hint="eastAsia" w:ascii="宋体" w:hAnsi="宋体" w:eastAsia="宋体" w:cs="宋体"/>
          <w:bCs/>
          <w:color w:val="auto"/>
          <w:sz w:val="24"/>
          <w:szCs w:val="24"/>
          <w:highlight w:val="none"/>
          <w:lang w:eastAsia="zh-CN"/>
        </w:rPr>
        <w:t>。</w:t>
      </w:r>
    </w:p>
    <w:p w14:paraId="3638D6CF">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11" w:name="_Toc25737"/>
      <w:bookmarkStart w:id="12" w:name="_Toc10840_WPSOffice_Level2"/>
      <w:bookmarkStart w:id="13" w:name="_Toc16469_WPSOffice_Level2"/>
      <w:bookmarkStart w:id="14" w:name="_Toc14058_WPSOffice_Level2"/>
      <w:bookmarkStart w:id="15" w:name="_Toc32374"/>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、款项结算</w:t>
      </w:r>
      <w:bookmarkEnd w:id="11"/>
      <w:bookmarkEnd w:id="12"/>
      <w:bookmarkEnd w:id="13"/>
      <w:bookmarkEnd w:id="14"/>
      <w:bookmarkEnd w:id="15"/>
    </w:p>
    <w:p w14:paraId="7C30E774">
      <w:pPr>
        <w:autoSpaceDE w:val="0"/>
        <w:autoSpaceDN w:val="0"/>
        <w:adjustRightInd w:val="0"/>
        <w:snapToGrid w:val="0"/>
        <w:spacing w:line="360" w:lineRule="auto"/>
        <w:rPr>
          <w:rFonts w:hint="eastAsia" w:ascii="宋体" w:hAnsi="宋体" w:eastAsia="宋体" w:cs="宋体"/>
          <w:bCs/>
          <w:color w:val="auto"/>
          <w:sz w:val="24"/>
          <w:szCs w:val="24"/>
          <w:highlight w:val="none"/>
        </w:rPr>
      </w:pPr>
      <w:bookmarkStart w:id="16" w:name="_Toc18416"/>
      <w:bookmarkStart w:id="17" w:name="_Toc29104_WPSOffice_Level2"/>
      <w:bookmarkStart w:id="18" w:name="_Toc12025_WPSOffice_Level2"/>
      <w:bookmarkStart w:id="19" w:name="_Toc11184_WPSOffice_Level2"/>
      <w:r>
        <w:rPr>
          <w:rFonts w:hint="eastAsia" w:ascii="宋体" w:hAnsi="宋体" w:eastAsia="宋体" w:cs="宋体"/>
          <w:bCs/>
          <w:color w:val="auto"/>
          <w:sz w:val="24"/>
          <w:szCs w:val="24"/>
          <w:highlight w:val="none"/>
        </w:rPr>
        <w:t>（1）支付方式：</w:t>
      </w:r>
      <w:r>
        <w:rPr>
          <w:rFonts w:hint="eastAsia" w:ascii="宋体" w:hAnsi="宋体" w:eastAsia="宋体" w:cs="宋体"/>
          <w:bCs/>
          <w:color w:val="auto"/>
          <w:sz w:val="24"/>
          <w:szCs w:val="24"/>
          <w:highlight w:val="none"/>
          <w:lang w:eastAsia="zh-CN"/>
        </w:rPr>
        <w:t>银行转账，</w:t>
      </w:r>
      <w:r>
        <w:rPr>
          <w:rFonts w:hint="eastAsia" w:ascii="宋体" w:hAnsi="宋体" w:eastAsia="宋体" w:cs="宋体"/>
          <w:bCs/>
          <w:color w:val="auto"/>
          <w:sz w:val="24"/>
          <w:szCs w:val="24"/>
          <w:highlight w:val="none"/>
          <w:lang w:val="en-US" w:eastAsia="zh-CN"/>
        </w:rPr>
        <w:t>乙方向甲方</w:t>
      </w:r>
      <w:r>
        <w:rPr>
          <w:rFonts w:hint="eastAsia" w:ascii="宋体" w:hAnsi="宋体" w:eastAsia="宋体" w:cs="宋体"/>
          <w:bCs/>
          <w:color w:val="auto"/>
          <w:sz w:val="24"/>
          <w:szCs w:val="24"/>
          <w:highlight w:val="none"/>
        </w:rPr>
        <w:t>提供相应额度的正规发票。</w:t>
      </w:r>
    </w:p>
    <w:p w14:paraId="601F86E8">
      <w:pPr>
        <w:numPr>
          <w:ilvl w:val="0"/>
          <w:numId w:val="0"/>
        </w:numPr>
        <w:autoSpaceDE w:val="0"/>
        <w:autoSpaceDN w:val="0"/>
        <w:adjustRightInd w:val="0"/>
        <w:snapToGrid w:val="0"/>
        <w:spacing w:line="360" w:lineRule="auto"/>
        <w:outlineLvl w:val="1"/>
        <w:rPr>
          <w:rFonts w:hint="eastAsia" w:ascii="宋体" w:hAnsi="宋体" w:eastAsia="宋体" w:cs="宋体"/>
          <w:bCs/>
          <w:color w:val="auto"/>
          <w:kern w:val="2"/>
          <w:sz w:val="24"/>
          <w:szCs w:val="24"/>
          <w:highlight w:val="none"/>
          <w:u w:val="none"/>
          <w:lang w:val="zh-CN" w:eastAsia="zh-CN" w:bidi="ar-SA"/>
        </w:rPr>
      </w:pPr>
      <w:r>
        <w:rPr>
          <w:rFonts w:hint="eastAsia" w:ascii="宋体" w:hAnsi="宋体" w:eastAsia="宋体" w:cs="宋体"/>
          <w:bCs/>
          <w:color w:val="auto"/>
          <w:kern w:val="2"/>
          <w:sz w:val="24"/>
          <w:szCs w:val="24"/>
          <w:highlight w:val="none"/>
          <w:u w:val="none"/>
          <w:lang w:val="zh-CN" w:eastAsia="zh-CN" w:bidi="ar-SA"/>
        </w:rPr>
        <w:t>（2）</w:t>
      </w:r>
      <w:r>
        <w:rPr>
          <w:rFonts w:hint="eastAsia" w:ascii="宋体" w:hAnsi="宋体" w:cs="宋体"/>
          <w:bCs/>
          <w:color w:val="auto"/>
          <w:kern w:val="2"/>
          <w:sz w:val="24"/>
          <w:szCs w:val="24"/>
          <w:highlight w:val="none"/>
          <w:u w:val="none"/>
          <w:lang w:val="zh-CN" w:eastAsia="zh-CN" w:bidi="ar-SA"/>
        </w:rPr>
        <w:t>付款条件说明</w:t>
      </w:r>
      <w:r>
        <w:rPr>
          <w:rFonts w:hint="eastAsia" w:ascii="宋体" w:hAnsi="宋体" w:eastAsia="宋体" w:cs="宋体"/>
          <w:bCs/>
          <w:color w:val="auto"/>
          <w:kern w:val="2"/>
          <w:sz w:val="24"/>
          <w:szCs w:val="24"/>
          <w:highlight w:val="none"/>
          <w:u w:val="none"/>
          <w:lang w:val="zh-CN" w:eastAsia="zh-CN" w:bidi="ar-SA"/>
        </w:rPr>
        <w:t>：</w:t>
      </w:r>
      <w:bookmarkStart w:id="20" w:name="_Toc24594"/>
    </w:p>
    <w:p w14:paraId="45E0F82B">
      <w:pPr>
        <w:numPr>
          <w:ilvl w:val="0"/>
          <w:numId w:val="0"/>
        </w:numPr>
        <w:autoSpaceDE w:val="0"/>
        <w:autoSpaceDN w:val="0"/>
        <w:adjustRightInd w:val="0"/>
        <w:snapToGrid w:val="0"/>
        <w:spacing w:line="360" w:lineRule="auto"/>
        <w:outlineLvl w:val="1"/>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(一)</w:t>
      </w:r>
      <w:r>
        <w:rPr>
          <w:rFonts w:hint="eastAsia" w:ascii="宋体" w:hAnsi="宋体" w:eastAsia="宋体" w:cs="宋体"/>
          <w:bCs/>
          <w:color w:val="auto"/>
          <w:sz w:val="24"/>
          <w:szCs w:val="24"/>
          <w:highlight w:val="none"/>
          <w:lang w:eastAsia="zh-CN"/>
        </w:rPr>
        <w:t>合同签订后，达到付款条件起 30 日内，支付合同总金额的</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lang w:eastAsia="zh-CN"/>
        </w:rPr>
        <w:t>0.00%。</w:t>
      </w:r>
    </w:p>
    <w:p w14:paraId="48C18E82">
      <w:pPr>
        <w:numPr>
          <w:ilvl w:val="0"/>
          <w:numId w:val="0"/>
        </w:numPr>
        <w:autoSpaceDE w:val="0"/>
        <w:autoSpaceDN w:val="0"/>
        <w:adjustRightInd w:val="0"/>
        <w:snapToGrid w:val="0"/>
        <w:spacing w:line="360" w:lineRule="auto"/>
        <w:outlineLvl w:val="1"/>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（二）项目实施完成并验收合格</w:t>
      </w:r>
      <w:r>
        <w:rPr>
          <w:rFonts w:hint="eastAsia" w:ascii="宋体" w:hAnsi="宋体" w:eastAsia="宋体" w:cs="宋体"/>
          <w:bCs/>
          <w:color w:val="auto"/>
          <w:sz w:val="24"/>
          <w:szCs w:val="24"/>
          <w:highlight w:val="none"/>
          <w:lang w:eastAsia="zh-CN"/>
        </w:rPr>
        <w:t>后，达到付款条件起 30 日内，支付合同总金额的30.00%。</w:t>
      </w:r>
    </w:p>
    <w:p w14:paraId="00F98060">
      <w:pPr>
        <w:autoSpaceDE w:val="0"/>
        <w:autoSpaceDN w:val="0"/>
        <w:adjustRightInd w:val="0"/>
        <w:snapToGrid w:val="0"/>
        <w:spacing w:line="360" w:lineRule="auto"/>
        <w:outlineLvl w:val="1"/>
        <w:rPr>
          <w:rFonts w:hint="default" w:ascii="宋体" w:hAnsi="宋体" w:eastAsia="宋体" w:cs="宋体"/>
          <w:bCs/>
          <w:color w:val="auto"/>
          <w:kern w:val="2"/>
          <w:sz w:val="24"/>
          <w:szCs w:val="24"/>
          <w:highlight w:val="none"/>
          <w:lang w:val="en-US" w:eastAsia="zh-CN" w:bidi="ar-SA"/>
        </w:rPr>
      </w:pPr>
    </w:p>
    <w:p w14:paraId="037B1EB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四、双方的权利和义务</w:t>
      </w:r>
      <w:bookmarkEnd w:id="16"/>
      <w:bookmarkEnd w:id="17"/>
      <w:bookmarkEnd w:id="18"/>
      <w:bookmarkEnd w:id="19"/>
      <w:bookmarkEnd w:id="20"/>
    </w:p>
    <w:p w14:paraId="23FB2B8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bookmarkStart w:id="21" w:name="_Toc19175_WPSOffice_Level2"/>
      <w:bookmarkStart w:id="22" w:name="_Toc1648_WPSOffice_Level2"/>
      <w:bookmarkStart w:id="23" w:name="_Toc11000"/>
      <w:bookmarkStart w:id="24" w:name="_Toc1998_WPSOffice_Level2"/>
      <w:r>
        <w:rPr>
          <w:rFonts w:hint="eastAsia" w:ascii="宋体" w:hAnsi="宋体" w:eastAsia="宋体" w:cs="宋体"/>
          <w:bCs/>
          <w:color w:val="auto"/>
          <w:sz w:val="24"/>
          <w:szCs w:val="24"/>
          <w:highlight w:val="none"/>
          <w:lang w:val="en-US" w:eastAsia="zh-CN"/>
        </w:rPr>
        <w:t>（一）甲方的权利与义务</w:t>
      </w:r>
    </w:p>
    <w:p w14:paraId="3F94BAD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1、甲方有权要求乙方</w:t>
      </w:r>
      <w:r>
        <w:rPr>
          <w:rFonts w:hint="eastAsia" w:ascii="宋体" w:hAnsi="宋体" w:cs="宋体"/>
          <w:bCs/>
          <w:color w:val="auto"/>
          <w:sz w:val="24"/>
          <w:szCs w:val="24"/>
          <w:highlight w:val="none"/>
          <w:lang w:val="en-US" w:eastAsia="zh-CN"/>
        </w:rPr>
        <w:t>提供的</w:t>
      </w:r>
      <w:r>
        <w:rPr>
          <w:rFonts w:hint="eastAsia" w:ascii="宋体" w:hAnsi="宋体" w:eastAsia="宋体" w:cs="宋体"/>
          <w:bCs/>
          <w:color w:val="auto"/>
          <w:sz w:val="24"/>
          <w:szCs w:val="24"/>
          <w:highlight w:val="none"/>
          <w:lang w:val="en-US" w:eastAsia="zh-CN"/>
        </w:rPr>
        <w:t>服务内容符合行业验收标准</w:t>
      </w:r>
      <w:r>
        <w:rPr>
          <w:rFonts w:hint="eastAsia" w:ascii="宋体" w:hAnsi="宋体" w:cs="宋体"/>
          <w:bCs/>
          <w:color w:val="auto"/>
          <w:sz w:val="24"/>
          <w:szCs w:val="24"/>
          <w:highlight w:val="none"/>
          <w:lang w:val="en-US" w:eastAsia="zh-CN"/>
        </w:rPr>
        <w:t>或规范</w:t>
      </w:r>
      <w:r>
        <w:rPr>
          <w:rFonts w:hint="eastAsia" w:ascii="宋体" w:hAnsi="宋体" w:eastAsia="宋体" w:cs="宋体"/>
          <w:bCs/>
          <w:color w:val="auto"/>
          <w:sz w:val="24"/>
          <w:szCs w:val="24"/>
          <w:highlight w:val="none"/>
          <w:lang w:val="en-US" w:eastAsia="zh-CN"/>
        </w:rPr>
        <w:t>，能够通过项目验收。</w:t>
      </w:r>
    </w:p>
    <w:p w14:paraId="62931572">
      <w:pPr>
        <w:autoSpaceDE w:val="0"/>
        <w:autoSpaceDN w:val="0"/>
        <w:adjustRightInd w:val="0"/>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lang w:val="en-US" w:eastAsia="zh-CN"/>
        </w:rPr>
        <w:t>甲方有权要求乙方提供的</w:t>
      </w:r>
      <w:r>
        <w:rPr>
          <w:rFonts w:hint="eastAsia" w:ascii="宋体" w:hAnsi="宋体" w:cs="宋体"/>
          <w:bCs/>
          <w:color w:val="auto"/>
          <w:sz w:val="24"/>
          <w:szCs w:val="24"/>
          <w:highlight w:val="none"/>
          <w:lang w:val="en-US" w:eastAsia="zh-CN"/>
        </w:rPr>
        <w:t>服务</w:t>
      </w:r>
      <w:r>
        <w:rPr>
          <w:rFonts w:hint="eastAsia" w:ascii="宋体" w:hAnsi="宋体" w:eastAsia="宋体" w:cs="宋体"/>
          <w:bCs/>
          <w:color w:val="auto"/>
          <w:sz w:val="24"/>
          <w:szCs w:val="24"/>
          <w:highlight w:val="none"/>
          <w:lang w:val="en-US" w:eastAsia="zh-CN"/>
        </w:rPr>
        <w:t>质量</w:t>
      </w:r>
      <w:r>
        <w:rPr>
          <w:rFonts w:hint="eastAsia" w:ascii="宋体" w:hAnsi="宋体" w:cs="宋体"/>
          <w:bCs/>
          <w:color w:val="auto"/>
          <w:sz w:val="24"/>
          <w:szCs w:val="24"/>
          <w:highlight w:val="none"/>
          <w:lang w:val="en-US" w:eastAsia="zh-CN"/>
        </w:rPr>
        <w:t>符合国家和地方的有关法律法规和相关政策要求，同时遵循科学、合理、可行的原则。</w:t>
      </w:r>
    </w:p>
    <w:p w14:paraId="6E2C153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、甲方有权要求乙方对提供的服务所涉及的第三方权利进行免责。</w:t>
      </w:r>
    </w:p>
    <w:p w14:paraId="3088512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lang w:val="en-US" w:eastAsia="zh-CN"/>
        </w:rPr>
        <w:t>、甲方有义务保证按合同所规定的内容及时间支付乙方相关费用。</w:t>
      </w:r>
    </w:p>
    <w:p w14:paraId="428F824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lang w:val="en-US" w:eastAsia="zh-CN"/>
        </w:rPr>
        <w:t>、甲方有权依据服务合同对乙方的工作进行督促和检查。</w:t>
      </w:r>
    </w:p>
    <w:p w14:paraId="25C702C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lang w:val="en-US" w:eastAsia="zh-CN"/>
        </w:rPr>
        <w:t>、甲方若认为乙方履行合同不力严重影响项目服务质量，甲方有权要求更换乙方主要人员，直至终止合同。</w:t>
      </w:r>
    </w:p>
    <w:p w14:paraId="6EE68A9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7</w:t>
      </w:r>
      <w:r>
        <w:rPr>
          <w:rFonts w:hint="eastAsia" w:ascii="宋体" w:hAnsi="宋体" w:eastAsia="宋体" w:cs="宋体"/>
          <w:bCs/>
          <w:color w:val="auto"/>
          <w:sz w:val="24"/>
          <w:szCs w:val="24"/>
          <w:highlight w:val="none"/>
          <w:lang w:val="en-US" w:eastAsia="zh-CN"/>
        </w:rPr>
        <w:t>、甲方支持乙方的工作，按合同保证乙方责任和权力的统一。</w:t>
      </w:r>
    </w:p>
    <w:p w14:paraId="0D227824">
      <w:pPr>
        <w:autoSpaceDE w:val="0"/>
        <w:autoSpaceDN w:val="0"/>
        <w:adjustRightInd w:val="0"/>
        <w:snapToGrid w:val="0"/>
        <w:spacing w:line="360" w:lineRule="auto"/>
        <w:ind w:firstLine="482" w:firstLineChars="200"/>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......（若有）</w:t>
      </w:r>
    </w:p>
    <w:p w14:paraId="48BBCF0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（二）乙方的权利与义务</w:t>
      </w:r>
    </w:p>
    <w:p w14:paraId="7116076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1、乙方应按合同的规定完成服务</w:t>
      </w:r>
      <w:r>
        <w:rPr>
          <w:rFonts w:hint="eastAsia" w:ascii="宋体" w:hAnsi="宋体" w:cs="宋体"/>
          <w:bCs/>
          <w:color w:val="auto"/>
          <w:sz w:val="24"/>
          <w:szCs w:val="24"/>
          <w:highlight w:val="none"/>
          <w:lang w:val="en-US" w:eastAsia="zh-CN"/>
        </w:rPr>
        <w:t>内容</w:t>
      </w:r>
      <w:r>
        <w:rPr>
          <w:rFonts w:hint="eastAsia" w:ascii="宋体" w:hAnsi="宋体" w:eastAsia="宋体" w:cs="宋体"/>
          <w:bCs/>
          <w:color w:val="auto"/>
          <w:sz w:val="24"/>
          <w:szCs w:val="24"/>
          <w:highlight w:val="none"/>
          <w:lang w:val="en-US" w:eastAsia="zh-CN"/>
        </w:rPr>
        <w:t>，并保证甲方工作正常进行。</w:t>
      </w:r>
    </w:p>
    <w:p w14:paraId="54CA51D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2、乙方有权要求甲方按照具体情况提供必要的服务条件。</w:t>
      </w:r>
    </w:p>
    <w:p w14:paraId="7066268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3、乙方有义务配合甲方参与项目的验收工作，并确保所服务项目内容符合本项目需求</w:t>
      </w:r>
      <w:r>
        <w:rPr>
          <w:rFonts w:hint="eastAsia" w:ascii="宋体" w:hAnsi="宋体" w:eastAsia="宋体" w:cs="宋体"/>
          <w:sz w:val="24"/>
          <w:szCs w:val="24"/>
          <w:lang w:eastAsia="zh-CN"/>
        </w:rPr>
        <w:t>。</w:t>
      </w:r>
    </w:p>
    <w:p w14:paraId="5350DB3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4.在服务过程中乙方如需另聘专家咨询或协助，在服务责任以内发生的费用，由乙方承担；</w:t>
      </w:r>
    </w:p>
    <w:p w14:paraId="2FE330E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5.乙方提供的服务应按本合同规定的人员在规定期限内进行。为保证项目的有效实施，项目负责人及其他服务人员必须与磋商响应文件一致，一般不得调整，确需调整的，必须征得甲方同意。    </w:t>
      </w:r>
    </w:p>
    <w:p w14:paraId="26C2CEDA">
      <w:pPr>
        <w:numPr>
          <w:ilvl w:val="0"/>
          <w:numId w:val="0"/>
        </w:numPr>
        <w:autoSpaceDE w:val="0"/>
        <w:autoSpaceDN w:val="0"/>
        <w:adjustRightInd w:val="0"/>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6、乙方</w:t>
      </w:r>
      <w:r>
        <w:rPr>
          <w:rFonts w:hint="eastAsia" w:ascii="宋体" w:hAnsi="宋体" w:cs="宋体"/>
          <w:bCs/>
          <w:color w:val="auto"/>
          <w:sz w:val="24"/>
          <w:szCs w:val="24"/>
          <w:highlight w:val="none"/>
          <w:lang w:val="en-US" w:eastAsia="zh-CN"/>
        </w:rPr>
        <w:t>的服务成果</w:t>
      </w:r>
      <w:r>
        <w:rPr>
          <w:rFonts w:hint="eastAsia" w:ascii="宋体" w:hAnsi="宋体" w:eastAsia="宋体" w:cs="宋体"/>
          <w:bCs/>
          <w:color w:val="auto"/>
          <w:kern w:val="2"/>
          <w:sz w:val="24"/>
          <w:szCs w:val="24"/>
          <w:highlight w:val="none"/>
          <w:lang w:val="en-US" w:eastAsia="zh-CN" w:bidi="ar-SA"/>
        </w:rPr>
        <w:t xml:space="preserve">与甲方要求有矛盾或未达到项目需求时，乙方需根据意见进行修改，直至符合要求。 </w:t>
      </w:r>
    </w:p>
    <w:p w14:paraId="6261440E">
      <w:pPr>
        <w:numPr>
          <w:ilvl w:val="0"/>
          <w:numId w:val="0"/>
        </w:numPr>
        <w:autoSpaceDE w:val="0"/>
        <w:autoSpaceDN w:val="0"/>
        <w:adjustRightInd w:val="0"/>
        <w:spacing w:line="360" w:lineRule="auto"/>
        <w:ind w:firstLine="480" w:firstLineChars="20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7</w:t>
      </w:r>
      <w:r>
        <w:rPr>
          <w:rFonts w:hint="eastAsia" w:ascii="宋体" w:hAnsi="宋体" w:cs="宋体"/>
          <w:bCs/>
          <w:color w:val="auto"/>
          <w:kern w:val="2"/>
          <w:sz w:val="24"/>
          <w:szCs w:val="24"/>
          <w:highlight w:val="none"/>
          <w:lang w:val="en-US" w:eastAsia="zh-CN" w:bidi="ar-SA"/>
        </w:rPr>
        <w:t>、</w:t>
      </w:r>
      <w:r>
        <w:rPr>
          <w:rFonts w:hint="eastAsia" w:ascii="宋体" w:hAnsi="宋体" w:eastAsia="宋体" w:cs="宋体"/>
          <w:bCs/>
          <w:color w:val="auto"/>
          <w:kern w:val="2"/>
          <w:sz w:val="24"/>
          <w:szCs w:val="24"/>
          <w:highlight w:val="none"/>
          <w:lang w:val="en-US" w:eastAsia="zh-CN" w:bidi="ar-SA"/>
        </w:rPr>
        <w:t>乙方</w:t>
      </w:r>
      <w:r>
        <w:rPr>
          <w:rFonts w:hint="eastAsia" w:ascii="宋体" w:hAnsi="宋体" w:cs="宋体"/>
          <w:bCs/>
          <w:color w:val="auto"/>
          <w:kern w:val="2"/>
          <w:sz w:val="24"/>
          <w:szCs w:val="24"/>
          <w:highlight w:val="none"/>
          <w:lang w:val="en-US" w:eastAsia="zh-CN" w:bidi="ar-SA"/>
        </w:rPr>
        <w:t>有义务对在服务过程中</w:t>
      </w:r>
      <w:r>
        <w:rPr>
          <w:rFonts w:hint="eastAsia" w:ascii="宋体" w:hAnsi="宋体" w:eastAsia="宋体" w:cs="宋体"/>
          <w:bCs/>
          <w:color w:val="auto"/>
          <w:kern w:val="2"/>
          <w:sz w:val="24"/>
          <w:szCs w:val="24"/>
          <w:highlight w:val="none"/>
          <w:lang w:val="en-US" w:eastAsia="zh-CN" w:bidi="ar-SA"/>
        </w:rPr>
        <w:t>涉及的</w:t>
      </w:r>
      <w:r>
        <w:rPr>
          <w:rFonts w:hint="eastAsia" w:ascii="宋体" w:hAnsi="宋体" w:cs="宋体"/>
          <w:bCs/>
          <w:color w:val="auto"/>
          <w:kern w:val="2"/>
          <w:sz w:val="24"/>
          <w:szCs w:val="24"/>
          <w:highlight w:val="none"/>
          <w:lang w:val="en-US" w:eastAsia="zh-CN" w:bidi="ar-SA"/>
        </w:rPr>
        <w:t>涉密</w:t>
      </w:r>
      <w:r>
        <w:rPr>
          <w:rFonts w:hint="eastAsia" w:ascii="宋体" w:hAnsi="宋体" w:eastAsia="宋体" w:cs="宋体"/>
          <w:bCs/>
          <w:color w:val="auto"/>
          <w:kern w:val="2"/>
          <w:sz w:val="24"/>
          <w:szCs w:val="24"/>
          <w:highlight w:val="none"/>
          <w:lang w:val="en-US" w:eastAsia="zh-CN" w:bidi="ar-SA"/>
        </w:rPr>
        <w:t>信息予以保密</w:t>
      </w:r>
      <w:r>
        <w:rPr>
          <w:rFonts w:hint="eastAsia" w:ascii="宋体" w:hAnsi="宋体" w:eastAsia="宋体" w:cs="宋体"/>
          <w:bCs/>
          <w:color w:val="auto"/>
          <w:kern w:val="2"/>
          <w:sz w:val="24"/>
          <w:szCs w:val="24"/>
          <w:highlight w:val="none"/>
          <w:lang w:val="zh-CN" w:eastAsia="zh-CN" w:bidi="ar-SA"/>
        </w:rPr>
        <w:t>。</w:t>
      </w:r>
    </w:p>
    <w:p w14:paraId="1ECE6A87">
      <w:pPr>
        <w:autoSpaceDE w:val="0"/>
        <w:autoSpaceDN w:val="0"/>
        <w:adjustRightInd w:val="0"/>
        <w:snapToGrid w:val="0"/>
        <w:spacing w:line="360" w:lineRule="auto"/>
        <w:ind w:firstLine="482" w:firstLineChars="200"/>
        <w:outlineLvl w:val="1"/>
        <w:rPr>
          <w:rFonts w:hint="default" w:ascii="宋体" w:hAnsi="宋体" w:eastAsia="宋体" w:cs="宋体"/>
          <w:b/>
          <w:bCs/>
          <w:color w:val="auto"/>
          <w:sz w:val="24"/>
          <w:szCs w:val="24"/>
          <w:highlight w:val="none"/>
          <w:lang w:val="en-US" w:eastAsia="zh-CN"/>
        </w:rPr>
      </w:pPr>
      <w:bookmarkStart w:id="25" w:name="_Toc31402"/>
      <w:r>
        <w:rPr>
          <w:rFonts w:hint="eastAsia" w:ascii="宋体" w:hAnsi="宋体" w:eastAsia="宋体" w:cs="宋体"/>
          <w:b/>
          <w:bCs/>
          <w:color w:val="auto"/>
          <w:sz w:val="24"/>
          <w:szCs w:val="24"/>
          <w:highlight w:val="none"/>
          <w:lang w:val="en-US" w:eastAsia="zh-CN"/>
        </w:rPr>
        <w:t>......（若有）</w:t>
      </w:r>
      <w:bookmarkEnd w:id="25"/>
    </w:p>
    <w:p w14:paraId="0DD15069">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26" w:name="_Toc24072"/>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bookmarkEnd w:id="21"/>
      <w:bookmarkEnd w:id="22"/>
      <w:bookmarkEnd w:id="23"/>
      <w:bookmarkEnd w:id="24"/>
      <w:r>
        <w:rPr>
          <w:rFonts w:hint="eastAsia" w:ascii="宋体" w:hAnsi="宋体" w:eastAsia="宋体" w:cs="宋体"/>
          <w:b/>
          <w:bCs/>
          <w:color w:val="auto"/>
          <w:sz w:val="24"/>
          <w:szCs w:val="24"/>
          <w:highlight w:val="none"/>
        </w:rPr>
        <w:t>服务地点、</w:t>
      </w:r>
      <w:r>
        <w:rPr>
          <w:rFonts w:hint="eastAsia" w:ascii="宋体" w:hAnsi="宋体" w:eastAsia="宋体" w:cs="宋体"/>
          <w:b/>
          <w:bCs/>
          <w:color w:val="auto"/>
          <w:sz w:val="24"/>
          <w:szCs w:val="24"/>
          <w:highlight w:val="none"/>
          <w:lang w:eastAsia="zh-CN"/>
        </w:rPr>
        <w:t>服务期</w:t>
      </w:r>
      <w:r>
        <w:rPr>
          <w:rFonts w:hint="eastAsia" w:ascii="宋体" w:hAnsi="宋体" w:cs="宋体"/>
          <w:b/>
          <w:bCs/>
          <w:color w:val="auto"/>
          <w:sz w:val="24"/>
          <w:szCs w:val="24"/>
          <w:highlight w:val="none"/>
          <w:lang w:eastAsia="zh-CN"/>
        </w:rPr>
        <w:t>限</w:t>
      </w:r>
      <w:r>
        <w:rPr>
          <w:rFonts w:hint="eastAsia" w:ascii="宋体" w:hAnsi="宋体" w:eastAsia="宋体" w:cs="宋体"/>
          <w:b/>
          <w:bCs/>
          <w:color w:val="auto"/>
          <w:sz w:val="24"/>
          <w:szCs w:val="24"/>
          <w:highlight w:val="none"/>
        </w:rPr>
        <w:t>：</w:t>
      </w:r>
      <w:bookmarkEnd w:id="26"/>
    </w:p>
    <w:p w14:paraId="490B6795">
      <w:pPr>
        <w:autoSpaceDE w:val="0"/>
        <w:autoSpaceDN w:val="0"/>
        <w:adjustRightInd w:val="0"/>
        <w:snapToGrid w:val="0"/>
        <w:spacing w:line="360" w:lineRule="auto"/>
        <w:rPr>
          <w:rFonts w:hint="eastAsia" w:ascii="宋体" w:hAnsi="宋体" w:eastAsia="宋体" w:cs="宋体"/>
          <w:bCs/>
          <w:color w:val="auto"/>
          <w:sz w:val="24"/>
          <w:szCs w:val="24"/>
          <w:highlight w:val="yellow"/>
          <w:lang w:val="en-US" w:eastAsia="zh-CN"/>
        </w:rPr>
      </w:pPr>
      <w:bookmarkStart w:id="27" w:name="_Toc25276_WPSOffice_Level2"/>
      <w:bookmarkStart w:id="28" w:name="_Toc24024_WPSOffice_Level2"/>
      <w:bookmarkStart w:id="29" w:name="_Toc13013"/>
      <w:bookmarkStart w:id="30" w:name="_Toc14214_WPSOffice_Level2"/>
      <w:r>
        <w:rPr>
          <w:rFonts w:hint="eastAsia" w:ascii="宋体" w:hAnsi="宋体" w:eastAsia="宋体" w:cs="宋体"/>
          <w:bCs/>
          <w:color w:val="auto"/>
          <w:sz w:val="24"/>
          <w:szCs w:val="24"/>
          <w:highlight w:val="none"/>
          <w:lang w:val="en-US" w:eastAsia="zh-CN"/>
        </w:rPr>
        <w:t>1、服务地点：</w:t>
      </w:r>
      <w:r>
        <w:rPr>
          <w:rFonts w:hint="eastAsia" w:ascii="宋体" w:hAnsi="宋体" w:cs="宋体"/>
          <w:bCs/>
          <w:color w:val="auto"/>
          <w:sz w:val="24"/>
          <w:szCs w:val="24"/>
          <w:highlight w:val="none"/>
          <w:lang w:val="en-US" w:eastAsia="zh-CN"/>
        </w:rPr>
        <w:t>甲方指定</w:t>
      </w:r>
      <w:r>
        <w:rPr>
          <w:rFonts w:hint="eastAsia" w:ascii="宋体" w:hAnsi="宋体" w:eastAsia="宋体" w:cs="宋体"/>
          <w:bCs/>
          <w:color w:val="auto"/>
          <w:sz w:val="24"/>
          <w:szCs w:val="24"/>
          <w:highlight w:val="none"/>
          <w:lang w:val="en-US" w:eastAsia="zh-CN"/>
        </w:rPr>
        <w:t>地点。</w:t>
      </w:r>
    </w:p>
    <w:p w14:paraId="5B8DAA70">
      <w:pPr>
        <w:autoSpaceDE w:val="0"/>
        <w:autoSpaceDN w:val="0"/>
        <w:adjustRightInd w:val="0"/>
        <w:spacing w:line="360" w:lineRule="auto"/>
        <w:outlineLvl w:val="1"/>
        <w:rPr>
          <w:rFonts w:hint="eastAsia" w:ascii="宋体" w:hAnsi="宋体" w:cs="宋体"/>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2、服务期</w:t>
      </w:r>
      <w:r>
        <w:rPr>
          <w:rFonts w:hint="eastAsia" w:ascii="宋体" w:hAnsi="宋体" w:cs="宋体"/>
          <w:b w:val="0"/>
          <w:bCs/>
          <w:color w:val="auto"/>
          <w:sz w:val="24"/>
          <w:szCs w:val="24"/>
          <w:highlight w:val="none"/>
          <w:lang w:val="en-US" w:eastAsia="zh-CN"/>
        </w:rPr>
        <w:t>限</w:t>
      </w:r>
      <w:r>
        <w:rPr>
          <w:rFonts w:hint="eastAsia" w:ascii="宋体" w:hAnsi="宋体" w:eastAsia="宋体" w:cs="宋体"/>
          <w:b w:val="0"/>
          <w:bCs/>
          <w:color w:val="auto"/>
          <w:sz w:val="24"/>
          <w:szCs w:val="24"/>
          <w:highlight w:val="none"/>
          <w:lang w:val="en-US" w:eastAsia="zh-CN"/>
        </w:rPr>
        <w:t>：</w:t>
      </w:r>
      <w:bookmarkEnd w:id="27"/>
      <w:bookmarkEnd w:id="28"/>
      <w:bookmarkEnd w:id="29"/>
      <w:bookmarkEnd w:id="30"/>
      <w:bookmarkStart w:id="31" w:name="_Toc21871_WPSOffice_Level2"/>
      <w:bookmarkStart w:id="32" w:name="_Toc28495"/>
      <w:bookmarkStart w:id="33" w:name="_Toc27247_WPSOffice_Level2"/>
      <w:bookmarkStart w:id="34" w:name="_Toc1872_WPSOffice_Level2"/>
      <w:bookmarkStart w:id="35" w:name="_Toc1577"/>
      <w:r>
        <w:rPr>
          <w:rFonts w:hint="eastAsia" w:ascii="宋体" w:hAnsi="宋体" w:eastAsia="宋体" w:cs="宋体"/>
          <w:b w:val="0"/>
          <w:bCs/>
          <w:color w:val="auto"/>
          <w:sz w:val="24"/>
          <w:szCs w:val="24"/>
          <w:highlight w:val="none"/>
          <w:lang w:val="en-US" w:eastAsia="zh-CN"/>
        </w:rPr>
        <w:t>自合同签订之日起4个月内提交最终成果。</w:t>
      </w:r>
    </w:p>
    <w:p w14:paraId="180B8433">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bookmarkEnd w:id="31"/>
      <w:bookmarkEnd w:id="32"/>
      <w:bookmarkEnd w:id="33"/>
      <w:bookmarkEnd w:id="34"/>
      <w:r>
        <w:rPr>
          <w:rFonts w:hint="eastAsia" w:ascii="宋体" w:hAnsi="宋体" w:eastAsia="宋体" w:cs="宋体"/>
          <w:b/>
          <w:bCs/>
          <w:color w:val="auto"/>
          <w:sz w:val="24"/>
          <w:szCs w:val="24"/>
          <w:highlight w:val="none"/>
        </w:rPr>
        <w:t>服</w:t>
      </w:r>
      <w:r>
        <w:rPr>
          <w:rFonts w:hint="eastAsia" w:ascii="宋体" w:hAnsi="宋体" w:eastAsia="宋体" w:cs="宋体"/>
          <w:b/>
          <w:bCs/>
          <w:color w:val="auto"/>
          <w:sz w:val="24"/>
          <w:szCs w:val="24"/>
          <w:highlight w:val="none"/>
          <w:lang w:val="en-US" w:eastAsia="zh-CN"/>
        </w:rPr>
        <w:t>务质量保证</w:t>
      </w:r>
      <w:bookmarkEnd w:id="35"/>
    </w:p>
    <w:p w14:paraId="3EE294F7">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1、乙方必须建立</w:t>
      </w:r>
      <w:r>
        <w:rPr>
          <w:rFonts w:hint="eastAsia" w:ascii="宋体" w:hAnsi="宋体" w:eastAsia="宋体" w:cs="宋体"/>
          <w:bCs/>
          <w:color w:val="auto"/>
          <w:kern w:val="2"/>
          <w:sz w:val="24"/>
          <w:szCs w:val="24"/>
          <w:highlight w:val="none"/>
          <w:lang w:val="zh-CN" w:eastAsia="zh-CN" w:bidi="ar-SA"/>
        </w:rPr>
        <w:t>质量保证体系，对每道工序均须落实到人，专人负责，保证服务实施质量。</w:t>
      </w:r>
    </w:p>
    <w:p w14:paraId="2909C867">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2、服务期间应确保人员稳定，响应及时。</w:t>
      </w:r>
    </w:p>
    <w:p w14:paraId="71A68459">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eastAsia="zh-CN"/>
        </w:rPr>
      </w:pPr>
      <w:bookmarkStart w:id="36" w:name="_Toc5128"/>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、验收</w:t>
      </w:r>
      <w:bookmarkEnd w:id="36"/>
    </w:p>
    <w:p w14:paraId="380B0FF9">
      <w:pPr>
        <w:autoSpaceDE w:val="0"/>
        <w:autoSpaceDN w:val="0"/>
        <w:adjustRightInd w:val="0"/>
        <w:spacing w:line="360" w:lineRule="auto"/>
        <w:ind w:firstLine="480" w:firstLineChars="200"/>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1.质量验收标准或规范：按国家、行业性标准或专家评审验收。</w:t>
      </w:r>
    </w:p>
    <w:p w14:paraId="1871D848">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项目完成后，甲方根据竞争性磋商文件、乙方磋商响应文件及相关验收标准或规范，进行考核验收，确认乙方提供的服务达到采购要求。</w:t>
      </w:r>
    </w:p>
    <w:p w14:paraId="61E92097">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eastAsia="zh-CN"/>
        </w:rPr>
      </w:pPr>
      <w:bookmarkStart w:id="37" w:name="_Toc8410"/>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eastAsia="zh-CN"/>
        </w:rPr>
        <w:t>保密条款</w:t>
      </w:r>
      <w:bookmarkEnd w:id="37"/>
    </w:p>
    <w:p w14:paraId="5CC1043D">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w:t>
      </w:r>
      <w:r>
        <w:rPr>
          <w:rFonts w:hint="eastAsia" w:ascii="宋体" w:hAnsi="宋体" w:eastAsia="宋体" w:cs="宋体"/>
          <w:bCs/>
          <w:color w:val="auto"/>
          <w:kern w:val="2"/>
          <w:sz w:val="24"/>
          <w:szCs w:val="24"/>
          <w:highlight w:val="none"/>
          <w:lang w:val="en-US" w:eastAsia="zh-CN" w:bidi="ar-SA"/>
        </w:rPr>
        <w:t>甲乙双方除非法律另有规定或双方一致同意，任何一方不得将本合同的内容向第三方透露，否则，应向对方承担相应的违约责任。</w:t>
      </w:r>
    </w:p>
    <w:p w14:paraId="3EF6F3AD">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bookmarkStart w:id="38" w:name="_Toc7407"/>
      <w:bookmarkStart w:id="39" w:name="_Toc15039"/>
      <w:bookmarkStart w:id="40" w:name="_Toc23752_WPSOffice_Level2"/>
      <w:bookmarkStart w:id="41" w:name="_Toc22440_WPSOffice_Level2"/>
      <w:bookmarkStart w:id="42" w:name="_Toc9185_WPSOffice_Level2"/>
      <w:r>
        <w:rPr>
          <w:rFonts w:hint="eastAsia" w:ascii="宋体" w:hAnsi="宋体" w:eastAsia="宋体" w:cs="宋体"/>
          <w:bCs/>
          <w:color w:val="auto"/>
          <w:kern w:val="2"/>
          <w:sz w:val="24"/>
          <w:szCs w:val="24"/>
          <w:highlight w:val="none"/>
          <w:lang w:val="en-US" w:eastAsia="zh-CN" w:bidi="ar-SA"/>
        </w:rPr>
        <w:t>（2）获取对方保密信息的一方仅可将该信息用于履行其在本合同项下的义务，且只能由相关人员使用。获取对方保密信息的一方应当采取适当有效的方式保护所获取的信息，未经授权不得使用、传播或者公开。此保密义务不因合同的终止而免除。</w:t>
      </w:r>
    </w:p>
    <w:p w14:paraId="0105419A">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（3）乙方应当与员工签订保密协议，并对员工进行保密教育。</w:t>
      </w:r>
    </w:p>
    <w:p w14:paraId="359E3023">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、违约责任</w:t>
      </w:r>
      <w:bookmarkEnd w:id="38"/>
      <w:bookmarkEnd w:id="39"/>
      <w:bookmarkEnd w:id="40"/>
      <w:bookmarkEnd w:id="41"/>
      <w:bookmarkEnd w:id="42"/>
    </w:p>
    <w:p w14:paraId="62B6966F">
      <w:pPr>
        <w:autoSpaceDE w:val="0"/>
        <w:autoSpaceDN w:val="0"/>
        <w:adjustRightInd w:val="0"/>
        <w:snapToGrid w:val="0"/>
        <w:spacing w:line="360" w:lineRule="auto"/>
        <w:outlineLvl w:val="1"/>
        <w:rPr>
          <w:rFonts w:hint="eastAsia" w:ascii="宋体" w:hAnsi="宋体" w:eastAsia="宋体" w:cs="宋体"/>
          <w:bCs/>
          <w:color w:val="auto"/>
          <w:kern w:val="2"/>
          <w:sz w:val="24"/>
          <w:szCs w:val="24"/>
          <w:highlight w:val="none"/>
          <w:lang w:val="zh-CN" w:eastAsia="zh-CN" w:bidi="ar-SA"/>
        </w:rPr>
      </w:pPr>
      <w:bookmarkStart w:id="43" w:name="_Toc22342"/>
      <w:bookmarkStart w:id="44" w:name="_Toc3097"/>
      <w:bookmarkStart w:id="45" w:name="_Toc6151_WPSOffice_Level2"/>
      <w:bookmarkStart w:id="46" w:name="_Toc22962_WPSOffice_Level2"/>
      <w:bookmarkStart w:id="47" w:name="_Toc24321_WPSOffice_Level2"/>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1</w:t>
      </w:r>
      <w:r>
        <w:rPr>
          <w:rFonts w:hint="eastAsia" w:ascii="宋体" w:hAnsi="宋体" w:eastAsia="宋体" w:cs="宋体"/>
          <w:bCs/>
          <w:color w:val="auto"/>
          <w:kern w:val="2"/>
          <w:sz w:val="24"/>
          <w:szCs w:val="24"/>
          <w:highlight w:val="none"/>
          <w:lang w:val="zh-CN" w:eastAsia="zh-CN" w:bidi="ar-SA"/>
        </w:rPr>
        <w:t>）按《中华人民共和国民法典》中的相关条款执行。</w:t>
      </w:r>
      <w:bookmarkEnd w:id="43"/>
    </w:p>
    <w:p w14:paraId="58D24C50">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乙方工作人员在履行职务过程中出现遗漏或错误</w:t>
      </w:r>
      <w:r>
        <w:rPr>
          <w:rFonts w:hint="eastAsia" w:ascii="宋体" w:hAnsi="宋体" w:cs="宋体"/>
          <w:bCs/>
          <w:color w:val="auto"/>
          <w:kern w:val="2"/>
          <w:sz w:val="24"/>
          <w:szCs w:val="24"/>
          <w:highlight w:val="none"/>
          <w:lang w:val="en-US" w:eastAsia="zh-CN" w:bidi="ar-SA"/>
        </w:rPr>
        <w:t>或提供的服务质量不能满足采购要求</w:t>
      </w:r>
      <w:r>
        <w:rPr>
          <w:rFonts w:hint="eastAsia" w:ascii="宋体" w:hAnsi="宋体" w:eastAsia="宋体" w:cs="宋体"/>
          <w:bCs/>
          <w:color w:val="auto"/>
          <w:kern w:val="2"/>
          <w:sz w:val="24"/>
          <w:szCs w:val="24"/>
          <w:highlight w:val="none"/>
          <w:lang w:val="en-US" w:eastAsia="zh-CN" w:bidi="ar-SA"/>
        </w:rPr>
        <w:t>的，乙方应当在甲方确定的期限内无偿采取补救措施，直到达到要求。若乙方拒绝补救或补救后仍不能达到要求的，甲方有权</w:t>
      </w:r>
      <w:r>
        <w:rPr>
          <w:rFonts w:hint="eastAsia" w:ascii="宋体" w:hAnsi="宋体" w:cs="宋体"/>
          <w:bCs/>
          <w:color w:val="auto"/>
          <w:kern w:val="2"/>
          <w:sz w:val="24"/>
          <w:szCs w:val="24"/>
          <w:highlight w:val="none"/>
          <w:lang w:val="en-US" w:eastAsia="zh-CN" w:bidi="ar-SA"/>
        </w:rPr>
        <w:t>会同相关单位终止</w:t>
      </w:r>
      <w:r>
        <w:rPr>
          <w:rFonts w:hint="eastAsia" w:ascii="宋体" w:hAnsi="宋体" w:eastAsia="宋体" w:cs="宋体"/>
          <w:bCs/>
          <w:color w:val="auto"/>
          <w:kern w:val="2"/>
          <w:sz w:val="24"/>
          <w:szCs w:val="24"/>
          <w:highlight w:val="none"/>
          <w:lang w:val="en-US" w:eastAsia="zh-CN" w:bidi="ar-SA"/>
        </w:rPr>
        <w:t>合同</w:t>
      </w:r>
      <w:r>
        <w:rPr>
          <w:rFonts w:hint="eastAsia" w:ascii="宋体" w:hAnsi="宋体" w:cs="宋体"/>
          <w:bCs/>
          <w:color w:val="auto"/>
          <w:kern w:val="2"/>
          <w:sz w:val="24"/>
          <w:szCs w:val="24"/>
          <w:highlight w:val="none"/>
          <w:lang w:val="en-US" w:eastAsia="zh-CN" w:bidi="ar-SA"/>
        </w:rPr>
        <w:t>并对乙方违约行为进行追究</w:t>
      </w:r>
      <w:r>
        <w:rPr>
          <w:rFonts w:hint="eastAsia" w:ascii="宋体" w:hAnsi="宋体" w:eastAsia="宋体" w:cs="宋体"/>
          <w:bCs/>
          <w:color w:val="auto"/>
          <w:kern w:val="2"/>
          <w:sz w:val="24"/>
          <w:szCs w:val="24"/>
          <w:highlight w:val="none"/>
          <w:lang w:val="en-US" w:eastAsia="zh-CN" w:bidi="ar-SA"/>
        </w:rPr>
        <w:t>。</w:t>
      </w:r>
    </w:p>
    <w:p w14:paraId="7923BD75">
      <w:pPr>
        <w:autoSpaceDE w:val="0"/>
        <w:autoSpaceDN w:val="0"/>
        <w:adjustRightInd w:val="0"/>
        <w:snapToGrid w:val="0"/>
        <w:spacing w:line="360" w:lineRule="auto"/>
        <w:outlineLvl w:val="1"/>
        <w:rPr>
          <w:rFonts w:hint="eastAsia" w:ascii="宋体" w:hAnsi="宋体" w:eastAsia="宋体" w:cs="宋体"/>
          <w:b/>
          <w:bCs/>
          <w:color w:val="auto"/>
          <w:sz w:val="24"/>
          <w:szCs w:val="24"/>
          <w:highlight w:val="none"/>
          <w:lang w:eastAsia="zh-CN"/>
        </w:rPr>
      </w:pPr>
      <w:bookmarkStart w:id="48" w:name="_Toc23388"/>
      <w:r>
        <w:rPr>
          <w:rFonts w:hint="eastAsia" w:ascii="宋体" w:hAnsi="宋体" w:cs="宋体"/>
          <w:bCs/>
          <w:sz w:val="24"/>
          <w:szCs w:val="24"/>
        </w:rPr>
        <w:t>（</w:t>
      </w:r>
      <w:r>
        <w:rPr>
          <w:rFonts w:hint="eastAsia" w:ascii="宋体" w:hAnsi="宋体" w:cs="宋体"/>
          <w:bCs/>
          <w:sz w:val="24"/>
          <w:szCs w:val="24"/>
          <w:lang w:val="en-US" w:eastAsia="zh-CN"/>
        </w:rPr>
        <w:t>3</w:t>
      </w:r>
      <w:r>
        <w:rPr>
          <w:rFonts w:hint="eastAsia" w:ascii="宋体" w:hAnsi="宋体" w:cs="宋体"/>
          <w:bCs/>
          <w:sz w:val="24"/>
          <w:szCs w:val="24"/>
        </w:rPr>
        <w:t>）任何一方因不可抗力原因不能履行协议时，应尽快通知对方，双方均设法补偿。如仍无法履约协议，可协商延缓或撤销协议，双方责任免除。</w:t>
      </w:r>
      <w:bookmarkEnd w:id="48"/>
    </w:p>
    <w:p w14:paraId="6E24ECB5">
      <w:pPr>
        <w:autoSpaceDE w:val="0"/>
        <w:autoSpaceDN w:val="0"/>
        <w:adjustRightInd w:val="0"/>
        <w:snapToGrid w:val="0"/>
        <w:spacing w:line="360" w:lineRule="auto"/>
        <w:ind w:firstLine="482" w:firstLineChars="200"/>
        <w:outlineLvl w:val="1"/>
        <w:rPr>
          <w:rFonts w:hint="eastAsia" w:ascii="宋体" w:hAnsi="宋体" w:eastAsia="宋体" w:cs="宋体"/>
          <w:bCs/>
          <w:color w:val="auto"/>
          <w:sz w:val="24"/>
          <w:szCs w:val="24"/>
          <w:highlight w:val="none"/>
        </w:rPr>
      </w:pPr>
      <w:bookmarkStart w:id="49" w:name="_Toc2439"/>
      <w:r>
        <w:rPr>
          <w:rFonts w:hint="eastAsia" w:ascii="宋体" w:hAnsi="宋体" w:eastAsia="宋体" w:cs="宋体"/>
          <w:b/>
          <w:bCs/>
          <w:color w:val="auto"/>
          <w:sz w:val="24"/>
          <w:szCs w:val="24"/>
          <w:highlight w:val="none"/>
          <w:lang w:eastAsia="zh-CN"/>
        </w:rPr>
        <w:t>十</w:t>
      </w:r>
      <w:r>
        <w:rPr>
          <w:rFonts w:hint="eastAsia" w:ascii="宋体" w:hAnsi="宋体" w:eastAsia="宋体" w:cs="宋体"/>
          <w:b/>
          <w:bCs/>
          <w:color w:val="auto"/>
          <w:sz w:val="24"/>
          <w:szCs w:val="24"/>
          <w:highlight w:val="none"/>
        </w:rPr>
        <w:t>、合同争议解决的方式</w:t>
      </w:r>
      <w:bookmarkEnd w:id="44"/>
      <w:bookmarkEnd w:id="45"/>
      <w:bookmarkEnd w:id="46"/>
      <w:bookmarkEnd w:id="47"/>
      <w:bookmarkEnd w:id="49"/>
    </w:p>
    <w:p w14:paraId="15F50BD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（一）本合同在履行过程中发生的争议，由甲、乙双方当事人协商解决，协商不成的按下列第</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种方式解决：</w:t>
      </w:r>
    </w:p>
    <w:p w14:paraId="6FF7087F">
      <w:pPr>
        <w:autoSpaceDE w:val="0"/>
        <w:autoSpaceDN w:val="0"/>
        <w:adjustRightInd w:val="0"/>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1、提交甲方所在地仲裁委员会仲裁；</w:t>
      </w:r>
      <w:r>
        <w:rPr>
          <w:rFonts w:hint="eastAsia" w:ascii="宋体" w:hAnsi="宋体" w:eastAsia="宋体" w:cs="宋体"/>
          <w:bCs/>
          <w:color w:val="auto"/>
          <w:sz w:val="24"/>
          <w:szCs w:val="24"/>
          <w:highlight w:val="none"/>
          <w:lang w:val="en-US" w:eastAsia="zh-CN"/>
        </w:rPr>
        <w:t xml:space="preserve">   </w:t>
      </w:r>
    </w:p>
    <w:p w14:paraId="4334A39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2、依法向甲方所在地人民法院起诉。</w:t>
      </w:r>
    </w:p>
    <w:p w14:paraId="2ADAFE0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（二）因质量问题发生的争议，由国家权威技术单位进行质量鉴定，该鉴定结论为最终结果，甲乙双方应当接受。</w:t>
      </w:r>
    </w:p>
    <w:p w14:paraId="5586283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50" w:name="_Toc14699"/>
      <w:bookmarkStart w:id="51" w:name="_Toc18082_WPSOffice_Level2"/>
      <w:bookmarkStart w:id="52" w:name="_Toc28393"/>
      <w:bookmarkStart w:id="53" w:name="_Toc17387_WPSOffice_Level2"/>
      <w:bookmarkStart w:id="54" w:name="_Toc32648_WPSOffice_Level2"/>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、组成本合同的文件</w:t>
      </w:r>
      <w:bookmarkEnd w:id="50"/>
    </w:p>
    <w:p w14:paraId="453E9C2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1.协议书；</w:t>
      </w:r>
    </w:p>
    <w:p w14:paraId="19083FF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2.成交通知书、</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磋商响应文件、竞争性磋商文件、澄清、磋商补充文件（或委托书）；</w:t>
      </w:r>
    </w:p>
    <w:p w14:paraId="61EA568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附录，即：附表内相关服务的范围和内容；</w:t>
      </w:r>
    </w:p>
    <w:p w14:paraId="734E4B6E">
      <w:pPr>
        <w:autoSpaceDE w:val="0"/>
        <w:autoSpaceDN w:val="0"/>
        <w:adjustRightInd w:val="0"/>
        <w:snapToGrid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rPr>
        <w:t>本合同签订后，双方</w:t>
      </w:r>
      <w:r>
        <w:rPr>
          <w:rFonts w:hint="eastAsia" w:ascii="宋体" w:hAnsi="宋体" w:cs="宋体"/>
          <w:bCs/>
          <w:color w:val="auto"/>
          <w:sz w:val="24"/>
          <w:szCs w:val="24"/>
          <w:highlight w:val="none"/>
          <w:lang w:eastAsia="zh-CN"/>
        </w:rPr>
        <w:t>根据服务需要对未尽事宜</w:t>
      </w:r>
      <w:r>
        <w:rPr>
          <w:rFonts w:hint="eastAsia" w:ascii="宋体" w:hAnsi="宋体" w:eastAsia="宋体" w:cs="宋体"/>
          <w:bCs/>
          <w:color w:val="auto"/>
          <w:sz w:val="24"/>
          <w:szCs w:val="24"/>
          <w:highlight w:val="none"/>
        </w:rPr>
        <w:t>依法签订的补充协议也是本合同文件的组成部分。</w:t>
      </w:r>
      <w:r>
        <w:rPr>
          <w:rFonts w:hint="eastAsia" w:ascii="宋体" w:hAnsi="宋体" w:cs="宋体"/>
          <w:bCs/>
          <w:color w:val="auto"/>
          <w:sz w:val="24"/>
          <w:szCs w:val="24"/>
          <w:highlight w:val="none"/>
          <w:lang w:eastAsia="zh-CN"/>
        </w:rPr>
        <w:t>（合同的服务承诺则长期有效）</w:t>
      </w:r>
    </w:p>
    <w:p w14:paraId="1CF6F81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55" w:name="_Toc32133"/>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、合同生效</w:t>
      </w:r>
      <w:bookmarkEnd w:id="51"/>
      <w:bookmarkEnd w:id="52"/>
      <w:bookmarkEnd w:id="53"/>
      <w:bookmarkEnd w:id="54"/>
      <w:bookmarkEnd w:id="55"/>
    </w:p>
    <w:p w14:paraId="05F00EF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r>
        <w:rPr>
          <w:rFonts w:hint="eastAsia" w:ascii="宋体" w:hAnsi="宋体" w:cs="宋体"/>
          <w:bCs/>
          <w:color w:val="auto"/>
          <w:sz w:val="24"/>
          <w:szCs w:val="24"/>
          <w:highlight w:val="none"/>
          <w:lang w:eastAsia="zh-CN"/>
        </w:rPr>
        <w:t>，合同规定的全部事宜和程序结束后终止。（除保密相关义务要求外）</w:t>
      </w:r>
    </w:p>
    <w:p w14:paraId="3B3025D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甲、乙双方</w:t>
      </w:r>
      <w:r>
        <w:rPr>
          <w:rFonts w:hint="eastAsia" w:ascii="宋体" w:hAnsi="宋体" w:cs="宋体"/>
          <w:bCs/>
          <w:color w:val="auto"/>
          <w:sz w:val="24"/>
          <w:szCs w:val="24"/>
          <w:highlight w:val="none"/>
          <w:lang w:eastAsia="zh-CN"/>
        </w:rPr>
        <w:t>不得擅自变更、中止或者终止合同。对确需变更、调整或者中止、终止合同的，应按规定履行相应的手续。</w:t>
      </w:r>
    </w:p>
    <w:p w14:paraId="7AE7619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份，甲乙双方各执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591A0CE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（四）本合同如有未尽事宜，甲、乙双方协商解决。</w:t>
      </w:r>
    </w:p>
    <w:p w14:paraId="5BF522BD">
      <w:pPr>
        <w:pStyle w:val="2"/>
        <w:rPr>
          <w:rFonts w:hint="eastAsia" w:ascii="宋体" w:hAnsi="宋体" w:eastAsia="宋体" w:cs="宋体"/>
          <w:bCs/>
          <w:color w:val="auto"/>
          <w:sz w:val="32"/>
          <w:szCs w:val="32"/>
          <w:highlight w:val="none"/>
        </w:rPr>
      </w:pPr>
    </w:p>
    <w:p w14:paraId="3FF51047">
      <w:pPr>
        <w:rPr>
          <w:rFonts w:hint="eastAsia"/>
          <w:color w:val="auto"/>
          <w:highlight w:val="none"/>
        </w:rPr>
      </w:pPr>
    </w:p>
    <w:p w14:paraId="5F51CD10">
      <w:pPr>
        <w:rPr>
          <w:rFonts w:hint="eastAsia"/>
          <w:color w:val="auto"/>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064A62BE">
        <w:tblPrEx>
          <w:tblCellMar>
            <w:top w:w="0" w:type="dxa"/>
            <w:left w:w="108" w:type="dxa"/>
            <w:bottom w:w="0" w:type="dxa"/>
            <w:right w:w="108" w:type="dxa"/>
          </w:tblCellMar>
        </w:tblPrEx>
        <w:trPr>
          <w:trHeight w:val="380" w:hRule="exact"/>
          <w:jc w:val="center"/>
        </w:trPr>
        <w:tc>
          <w:tcPr>
            <w:tcW w:w="4201" w:type="dxa"/>
            <w:noWrap w:val="0"/>
            <w:vAlign w:val="center"/>
          </w:tcPr>
          <w:p w14:paraId="66B5C103">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方（盖章）</w:t>
            </w:r>
          </w:p>
        </w:tc>
        <w:tc>
          <w:tcPr>
            <w:tcW w:w="4202" w:type="dxa"/>
            <w:noWrap w:val="0"/>
            <w:vAlign w:val="center"/>
          </w:tcPr>
          <w:p w14:paraId="1041ACB0">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方（盖章）</w:t>
            </w:r>
          </w:p>
        </w:tc>
      </w:tr>
      <w:tr w14:paraId="31FDF46C">
        <w:tblPrEx>
          <w:tblCellMar>
            <w:top w:w="0" w:type="dxa"/>
            <w:left w:w="108" w:type="dxa"/>
            <w:bottom w:w="0" w:type="dxa"/>
            <w:right w:w="108" w:type="dxa"/>
          </w:tblCellMar>
        </w:tblPrEx>
        <w:trPr>
          <w:trHeight w:val="408" w:hRule="exact"/>
          <w:jc w:val="center"/>
        </w:trPr>
        <w:tc>
          <w:tcPr>
            <w:tcW w:w="4201" w:type="dxa"/>
            <w:noWrap w:val="0"/>
            <w:vAlign w:val="center"/>
          </w:tcPr>
          <w:p w14:paraId="1FBBCD11">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0"/>
            <w:vAlign w:val="center"/>
          </w:tcPr>
          <w:p w14:paraId="0860FFC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4BEDCD58">
        <w:tblPrEx>
          <w:tblCellMar>
            <w:top w:w="0" w:type="dxa"/>
            <w:left w:w="108" w:type="dxa"/>
            <w:bottom w:w="0" w:type="dxa"/>
            <w:right w:w="108" w:type="dxa"/>
          </w:tblCellMar>
        </w:tblPrEx>
        <w:trPr>
          <w:trHeight w:val="473" w:hRule="exact"/>
          <w:jc w:val="center"/>
        </w:trPr>
        <w:tc>
          <w:tcPr>
            <w:tcW w:w="4201" w:type="dxa"/>
            <w:noWrap w:val="0"/>
            <w:vAlign w:val="center"/>
          </w:tcPr>
          <w:p w14:paraId="037CB701">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0"/>
            <w:vAlign w:val="center"/>
          </w:tcPr>
          <w:p w14:paraId="7CCCA29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773ED9F3">
        <w:tblPrEx>
          <w:tblCellMar>
            <w:top w:w="0" w:type="dxa"/>
            <w:left w:w="108" w:type="dxa"/>
            <w:bottom w:w="0" w:type="dxa"/>
            <w:right w:w="108" w:type="dxa"/>
          </w:tblCellMar>
        </w:tblPrEx>
        <w:trPr>
          <w:trHeight w:val="436" w:hRule="exact"/>
          <w:jc w:val="center"/>
        </w:trPr>
        <w:tc>
          <w:tcPr>
            <w:tcW w:w="4201" w:type="dxa"/>
            <w:noWrap w:val="0"/>
            <w:vAlign w:val="center"/>
          </w:tcPr>
          <w:p w14:paraId="612988D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0"/>
            <w:vAlign w:val="center"/>
          </w:tcPr>
          <w:p w14:paraId="46FFACC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7D258116">
        <w:tblPrEx>
          <w:tblCellMar>
            <w:top w:w="0" w:type="dxa"/>
            <w:left w:w="108" w:type="dxa"/>
            <w:bottom w:w="0" w:type="dxa"/>
            <w:right w:w="108" w:type="dxa"/>
          </w:tblCellMar>
        </w:tblPrEx>
        <w:trPr>
          <w:trHeight w:val="389" w:hRule="exact"/>
          <w:jc w:val="center"/>
        </w:trPr>
        <w:tc>
          <w:tcPr>
            <w:tcW w:w="4201" w:type="dxa"/>
            <w:noWrap w:val="0"/>
            <w:vAlign w:val="center"/>
          </w:tcPr>
          <w:p w14:paraId="1027EA29">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0"/>
            <w:vAlign w:val="center"/>
          </w:tcPr>
          <w:p w14:paraId="0125B5E5">
            <w:pPr>
              <w:autoSpaceDE w:val="0"/>
              <w:autoSpaceDN w:val="0"/>
              <w:adjustRightInd w:val="0"/>
              <w:spacing w:line="360" w:lineRule="auto"/>
              <w:ind w:left="84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18025777">
        <w:tblPrEx>
          <w:tblCellMar>
            <w:top w:w="0" w:type="dxa"/>
            <w:left w:w="108" w:type="dxa"/>
            <w:bottom w:w="0" w:type="dxa"/>
            <w:right w:w="108" w:type="dxa"/>
          </w:tblCellMar>
        </w:tblPrEx>
        <w:trPr>
          <w:trHeight w:val="379" w:hRule="exact"/>
          <w:jc w:val="center"/>
        </w:trPr>
        <w:tc>
          <w:tcPr>
            <w:tcW w:w="4201" w:type="dxa"/>
            <w:noWrap w:val="0"/>
            <w:vAlign w:val="center"/>
          </w:tcPr>
          <w:p w14:paraId="6F53C2D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0"/>
            <w:vAlign w:val="center"/>
          </w:tcPr>
          <w:p w14:paraId="040B4EB3">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F9462BE">
        <w:tblPrEx>
          <w:tblCellMar>
            <w:top w:w="0" w:type="dxa"/>
            <w:left w:w="108" w:type="dxa"/>
            <w:bottom w:w="0" w:type="dxa"/>
            <w:right w:w="108" w:type="dxa"/>
          </w:tblCellMar>
        </w:tblPrEx>
        <w:trPr>
          <w:trHeight w:val="343" w:hRule="exact"/>
          <w:jc w:val="center"/>
        </w:trPr>
        <w:tc>
          <w:tcPr>
            <w:tcW w:w="4201" w:type="dxa"/>
            <w:noWrap w:val="0"/>
            <w:vAlign w:val="center"/>
          </w:tcPr>
          <w:p w14:paraId="04C112A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0"/>
            <w:vAlign w:val="center"/>
          </w:tcPr>
          <w:p w14:paraId="496315E4">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43C5DBF4">
        <w:tblPrEx>
          <w:tblCellMar>
            <w:top w:w="0" w:type="dxa"/>
            <w:left w:w="108" w:type="dxa"/>
            <w:bottom w:w="0" w:type="dxa"/>
            <w:right w:w="108" w:type="dxa"/>
          </w:tblCellMar>
        </w:tblPrEx>
        <w:trPr>
          <w:trHeight w:val="492" w:hRule="exact"/>
          <w:jc w:val="center"/>
        </w:trPr>
        <w:tc>
          <w:tcPr>
            <w:tcW w:w="4201" w:type="dxa"/>
            <w:noWrap w:val="0"/>
            <w:vAlign w:val="center"/>
          </w:tcPr>
          <w:p w14:paraId="74981B4F">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c>
          <w:tcPr>
            <w:tcW w:w="4202" w:type="dxa"/>
            <w:noWrap w:val="0"/>
            <w:vAlign w:val="center"/>
          </w:tcPr>
          <w:p w14:paraId="4659002C">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0832A35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696D7951"/>
    <w:rsid w:val="027178AA"/>
    <w:rsid w:val="0C601048"/>
    <w:rsid w:val="0D9F2B19"/>
    <w:rsid w:val="128C3C89"/>
    <w:rsid w:val="134F15F1"/>
    <w:rsid w:val="180E282A"/>
    <w:rsid w:val="1F0F0559"/>
    <w:rsid w:val="21A06EBB"/>
    <w:rsid w:val="23021A02"/>
    <w:rsid w:val="26252EAF"/>
    <w:rsid w:val="2E2179D9"/>
    <w:rsid w:val="3BD525D5"/>
    <w:rsid w:val="3F6D721C"/>
    <w:rsid w:val="40D03987"/>
    <w:rsid w:val="4AB16E68"/>
    <w:rsid w:val="510048DF"/>
    <w:rsid w:val="53A93D7E"/>
    <w:rsid w:val="666E12B7"/>
    <w:rsid w:val="696D7951"/>
    <w:rsid w:val="74C214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_Style 2"/>
    <w:next w:val="1"/>
    <w:qFormat/>
    <w:uiPriority w:val="0"/>
    <w:pPr>
      <w:keepNext/>
      <w:adjustRightInd w:val="0"/>
      <w:snapToGrid w:val="0"/>
      <w:spacing w:before="480" w:line="276" w:lineRule="auto"/>
    </w:pPr>
    <w:rPr>
      <w:rFonts w:ascii="Cambria" w:hAnsi="Cambria" w:eastAsia="宋体" w:cs="Times New Roman"/>
      <w:b/>
      <w:color w:val="365F91"/>
      <w:sz w:val="28"/>
      <w:szCs w:val="28"/>
      <w:lang w:val="en-US" w:eastAsia="zh-CN" w:bidi="ar-SA"/>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2298</Words>
  <Characters>2344</Characters>
  <Lines>0</Lines>
  <Paragraphs>0</Paragraphs>
  <TotalTime>4</TotalTime>
  <ScaleCrop>false</ScaleCrop>
  <LinksUpToDate>false</LinksUpToDate>
  <CharactersWithSpaces>2389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2023-10-23T08:09:00Z</dcterms:created>
  <dc:creator>端阳同學</dc:creator>
  <cp:lastModifiedBy>M. ICARDI</cp:lastModifiedBy>
  <dcterms:modified xsi:type="dcterms:W3CDTF">2026-08-03T09:45:50Z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39EB41A753FE4DF7B7A6318024930B10_13</vt:lpwstr>
  </property>
  <property fmtid="{D5CDD505-2E9C-101B-9397-08002B2CF9AE}" pid="4" name="KSOTemplateDocerSaveRecord">
    <vt:lpwstr>eyJoZGlkIjoiZDY0OTc5ZDcwNjI2YTYyMmRkZTI4NTAwM2ExZWI3YzUiLCJ1c2VySWQiOiIzNDkyMDI2MDgifQ==</vt:lpwstr>
  </property>
</Properties>
</file>