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FF973">
      <w:pPr>
        <w:snapToGrid w:val="0"/>
        <w:spacing w:line="360" w:lineRule="auto"/>
        <w:jc w:val="center"/>
        <w:rPr>
          <w:rStyle w:val="7"/>
          <w:rFonts w:hint="default"/>
          <w:color w:val="auto"/>
          <w:sz w:val="44"/>
          <w:szCs w:val="44"/>
          <w:highlight w:val="none"/>
          <w:lang w:eastAsia="zh-CN"/>
        </w:rPr>
      </w:pPr>
    </w:p>
    <w:p w14:paraId="168B5161">
      <w:pPr>
        <w:snapToGrid w:val="0"/>
        <w:spacing w:line="360" w:lineRule="auto"/>
        <w:jc w:val="both"/>
        <w:rPr>
          <w:rStyle w:val="7"/>
          <w:rFonts w:hint="default"/>
          <w:color w:val="auto"/>
          <w:sz w:val="44"/>
          <w:szCs w:val="44"/>
          <w:highlight w:val="none"/>
          <w:lang w:eastAsia="zh-CN"/>
        </w:rPr>
      </w:pPr>
    </w:p>
    <w:p w14:paraId="52A3B59C">
      <w:pPr>
        <w:snapToGrid w:val="0"/>
        <w:spacing w:line="360" w:lineRule="auto"/>
        <w:jc w:val="center"/>
        <w:rPr>
          <w:rStyle w:val="7"/>
          <w:rFonts w:hint="default"/>
          <w:color w:val="auto"/>
          <w:sz w:val="44"/>
          <w:szCs w:val="44"/>
          <w:highlight w:val="none"/>
          <w:lang w:eastAsia="zh-CN"/>
        </w:rPr>
      </w:pPr>
      <w:bookmarkStart w:id="2" w:name="_GoBack"/>
      <w:bookmarkEnd w:id="2"/>
      <w:r>
        <w:rPr>
          <w:rStyle w:val="7"/>
          <w:rFonts w:hint="default"/>
          <w:color w:val="auto"/>
          <w:sz w:val="44"/>
          <w:szCs w:val="44"/>
          <w:highlight w:val="none"/>
          <w:lang w:eastAsia="zh-CN"/>
        </w:rPr>
        <w:t>西安戏剧学院</w:t>
      </w:r>
    </w:p>
    <w:p w14:paraId="5EA3E583">
      <w:pPr>
        <w:jc w:val="center"/>
        <w:rPr>
          <w:rFonts w:ascii="宋体" w:hAnsi="宋体" w:cs="宋体"/>
          <w:b/>
          <w:color w:val="auto"/>
          <w:sz w:val="72"/>
          <w:szCs w:val="72"/>
          <w:highlight w:val="none"/>
        </w:rPr>
      </w:pPr>
      <w:r>
        <w:rPr>
          <w:rStyle w:val="7"/>
          <w:rFonts w:hint="eastAsia"/>
          <w:color w:val="auto"/>
          <w:sz w:val="44"/>
          <w:szCs w:val="44"/>
          <w:highlight w:val="none"/>
          <w:lang w:eastAsia="zh-CN"/>
        </w:rPr>
        <w:t>科研管理信息系统采购项目</w:t>
      </w:r>
    </w:p>
    <w:p w14:paraId="65C138CC">
      <w:pPr>
        <w:jc w:val="center"/>
        <w:rPr>
          <w:rFonts w:ascii="宋体" w:hAnsi="宋体" w:cs="宋体"/>
          <w:b/>
          <w:color w:val="auto"/>
          <w:sz w:val="72"/>
          <w:szCs w:val="72"/>
          <w:highlight w:val="none"/>
        </w:rPr>
      </w:pPr>
    </w:p>
    <w:p w14:paraId="30F399BD">
      <w:pPr>
        <w:jc w:val="center"/>
        <w:rPr>
          <w:rFonts w:ascii="宋体" w:hAnsi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cs="宋体"/>
          <w:b/>
          <w:color w:val="auto"/>
          <w:sz w:val="72"/>
          <w:szCs w:val="72"/>
          <w:highlight w:val="none"/>
        </w:rPr>
        <w:t>采 购 供 货 合 同</w:t>
      </w:r>
    </w:p>
    <w:p w14:paraId="07DC2F46">
      <w:pPr>
        <w:jc w:val="center"/>
        <w:rPr>
          <w:rFonts w:ascii="黑体" w:eastAsia="黑体"/>
          <w:color w:val="auto"/>
          <w:sz w:val="30"/>
          <w:szCs w:val="30"/>
          <w:highlight w:val="none"/>
        </w:rPr>
      </w:pPr>
    </w:p>
    <w:p w14:paraId="1D3A5155">
      <w:pPr>
        <w:jc w:val="center"/>
        <w:rPr>
          <w:rFonts w:ascii="黑体" w:eastAsia="黑体"/>
          <w:color w:val="auto"/>
          <w:sz w:val="30"/>
          <w:szCs w:val="30"/>
          <w:highlight w:val="none"/>
        </w:rPr>
      </w:pPr>
    </w:p>
    <w:p w14:paraId="5A4AB45A">
      <w:pPr>
        <w:pStyle w:val="3"/>
        <w:rPr>
          <w:color w:val="auto"/>
          <w:highlight w:val="none"/>
        </w:rPr>
      </w:pPr>
    </w:p>
    <w:p w14:paraId="3E67197A">
      <w:pPr>
        <w:ind w:firstLine="2570" w:firstLineChars="800"/>
        <w:rPr>
          <w:rFonts w:ascii="宋体" w:hAnsi="宋体" w:cs="宋体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甲  方：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u w:val="single"/>
          <w:lang w:eastAsia="zh-CN"/>
        </w:rPr>
        <w:t>西安戏剧学院</w:t>
      </w:r>
    </w:p>
    <w:p w14:paraId="257C02EC">
      <w:pPr>
        <w:ind w:firstLine="2570" w:firstLineChars="800"/>
        <w:rPr>
          <w:rFonts w:ascii="宋体" w:hAnsi="宋体" w:cs="宋体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乙  方：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u w:val="single"/>
        </w:rPr>
        <w:t xml:space="preserve">            </w:t>
      </w:r>
    </w:p>
    <w:p w14:paraId="5611EACD">
      <w:pPr>
        <w:ind w:firstLine="1928" w:firstLineChars="600"/>
        <w:rPr>
          <w:rFonts w:ascii="黑体" w:eastAsia="黑体"/>
          <w:b/>
          <w:bCs/>
          <w:color w:val="auto"/>
          <w:sz w:val="32"/>
          <w:szCs w:val="32"/>
          <w:highlight w:val="none"/>
        </w:rPr>
      </w:pPr>
    </w:p>
    <w:p w14:paraId="5D4F3E97">
      <w:pPr>
        <w:ind w:firstLine="1928" w:firstLineChars="600"/>
        <w:rPr>
          <w:rFonts w:ascii="黑体" w:eastAsia="黑体"/>
          <w:b/>
          <w:bCs/>
          <w:color w:val="auto"/>
          <w:sz w:val="32"/>
          <w:szCs w:val="32"/>
          <w:highlight w:val="none"/>
        </w:rPr>
      </w:pPr>
    </w:p>
    <w:p w14:paraId="38B42B3A">
      <w:pPr>
        <w:pStyle w:val="9"/>
        <w:rPr>
          <w:b/>
          <w:bCs/>
          <w:color w:val="auto"/>
          <w:highlight w:val="none"/>
        </w:rPr>
      </w:pPr>
    </w:p>
    <w:p w14:paraId="08630567">
      <w:pPr>
        <w:jc w:val="center"/>
        <w:rPr>
          <w:b/>
          <w:bCs/>
          <w:color w:val="auto"/>
          <w:sz w:val="24"/>
          <w:highlight w:val="none"/>
        </w:rPr>
      </w:pPr>
    </w:p>
    <w:p w14:paraId="195B008D">
      <w:pPr>
        <w:jc w:val="center"/>
        <w:rPr>
          <w:b/>
          <w:bCs/>
          <w:color w:val="auto"/>
          <w:sz w:val="24"/>
          <w:highlight w:val="none"/>
        </w:rPr>
      </w:pPr>
    </w:p>
    <w:p w14:paraId="68DEBD7F">
      <w:pPr>
        <w:jc w:val="center"/>
        <w:rPr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sz w:val="24"/>
          <w:highlight w:val="none"/>
        </w:rPr>
        <w:t>合同签订地：西安市</w:t>
      </w:r>
    </w:p>
    <w:p w14:paraId="69CDCBA6">
      <w:pPr>
        <w:snapToGrid w:val="0"/>
        <w:spacing w:line="360" w:lineRule="auto"/>
        <w:jc w:val="center"/>
        <w:rPr>
          <w:rFonts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hAnsi="宋体"/>
          <w:b/>
          <w:bCs/>
          <w:color w:val="auto"/>
          <w:sz w:val="36"/>
          <w:szCs w:val="36"/>
          <w:highlight w:val="none"/>
        </w:rPr>
        <w:br w:type="page"/>
      </w:r>
    </w:p>
    <w:p w14:paraId="6B60D43B">
      <w:pPr>
        <w:kinsoku w:val="0"/>
        <w:spacing w:line="360" w:lineRule="auto"/>
        <w:jc w:val="center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采购供货合同</w:t>
      </w:r>
    </w:p>
    <w:p w14:paraId="0FC0A81D">
      <w:pPr>
        <w:kinsoku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甲方：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西安戏剧学院</w:t>
      </w:r>
    </w:p>
    <w:p w14:paraId="21C4BCFC">
      <w:pPr>
        <w:kinsoku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乙方：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</w:t>
      </w:r>
    </w:p>
    <w:p w14:paraId="5469153B">
      <w:pPr>
        <w:kinsoku w:val="0"/>
        <w:spacing w:line="40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根据《中华人民共和国政府采购法》、《中华人民共和国民法典》等法律法规，甲方通过公开招标，选定乙方为中标单位。甲、乙双方在平等基础上协商一致，达成如下合同条款：</w:t>
      </w:r>
    </w:p>
    <w:p w14:paraId="4A41700C">
      <w:pPr>
        <w:kinsoku w:val="0"/>
        <w:spacing w:line="360" w:lineRule="auto"/>
        <w:ind w:left="251" w:leftChars="114" w:hanging="12" w:hangingChars="5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.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合同内容                        包号：         单位：元</w:t>
      </w:r>
    </w:p>
    <w:tbl>
      <w:tblPr>
        <w:tblStyle w:val="5"/>
        <w:tblW w:w="91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821"/>
        <w:gridCol w:w="1416"/>
        <w:gridCol w:w="1241"/>
        <w:gridCol w:w="782"/>
        <w:gridCol w:w="1013"/>
        <w:gridCol w:w="1004"/>
        <w:gridCol w:w="949"/>
      </w:tblGrid>
      <w:tr w14:paraId="0E848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881" w:type="dxa"/>
            <w:vAlign w:val="center"/>
          </w:tcPr>
          <w:p w14:paraId="6FB11E07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21" w:type="dxa"/>
            <w:vAlign w:val="center"/>
          </w:tcPr>
          <w:p w14:paraId="235A64D9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  <w:lang w:val="en-US" w:eastAsia="zh-CN"/>
              </w:rPr>
              <w:t>模块名称</w:t>
            </w:r>
          </w:p>
        </w:tc>
        <w:tc>
          <w:tcPr>
            <w:tcW w:w="1416" w:type="dxa"/>
            <w:vAlign w:val="center"/>
          </w:tcPr>
          <w:p w14:paraId="5E99F80D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241" w:type="dxa"/>
            <w:vAlign w:val="center"/>
          </w:tcPr>
          <w:p w14:paraId="342FFBBA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782" w:type="dxa"/>
            <w:vAlign w:val="center"/>
          </w:tcPr>
          <w:p w14:paraId="371435A4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013" w:type="dxa"/>
            <w:vAlign w:val="center"/>
          </w:tcPr>
          <w:p w14:paraId="75A06672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004" w:type="dxa"/>
            <w:vAlign w:val="center"/>
          </w:tcPr>
          <w:p w14:paraId="013B6416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总价</w:t>
            </w:r>
          </w:p>
        </w:tc>
        <w:tc>
          <w:tcPr>
            <w:tcW w:w="949" w:type="dxa"/>
            <w:vAlign w:val="center"/>
          </w:tcPr>
          <w:p w14:paraId="2EDDE3CC">
            <w:pPr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4392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  <w:jc w:val="center"/>
        </w:trPr>
        <w:tc>
          <w:tcPr>
            <w:tcW w:w="881" w:type="dxa"/>
            <w:vAlign w:val="center"/>
          </w:tcPr>
          <w:p w14:paraId="02CFE7EA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val="en-US" w:eastAsia="zh-CN"/>
              </w:rPr>
              <w:t>1.</w:t>
            </w:r>
          </w:p>
        </w:tc>
        <w:tc>
          <w:tcPr>
            <w:tcW w:w="1821" w:type="dxa"/>
            <w:vAlign w:val="center"/>
          </w:tcPr>
          <w:p w14:paraId="73674E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科研管理信息系统采购项目</w:t>
            </w:r>
          </w:p>
        </w:tc>
        <w:tc>
          <w:tcPr>
            <w:tcW w:w="1416" w:type="dxa"/>
            <w:vAlign w:val="center"/>
          </w:tcPr>
          <w:p w14:paraId="1E1DC2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0B94376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82" w:type="dxa"/>
            <w:vAlign w:val="center"/>
          </w:tcPr>
          <w:p w14:paraId="51F43EB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3" w:type="dxa"/>
            <w:vAlign w:val="center"/>
          </w:tcPr>
          <w:p w14:paraId="636929D0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4" w:type="dxa"/>
            <w:vAlign w:val="center"/>
          </w:tcPr>
          <w:p w14:paraId="2FD88A02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9" w:type="dxa"/>
            <w:vAlign w:val="center"/>
          </w:tcPr>
          <w:p w14:paraId="72000B51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6F6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2702" w:type="dxa"/>
            <w:gridSpan w:val="2"/>
            <w:vAlign w:val="center"/>
          </w:tcPr>
          <w:p w14:paraId="1E551E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总计（人民币/元）</w:t>
            </w:r>
          </w:p>
        </w:tc>
        <w:tc>
          <w:tcPr>
            <w:tcW w:w="6405" w:type="dxa"/>
            <w:gridSpan w:val="6"/>
            <w:vAlign w:val="center"/>
          </w:tcPr>
          <w:p w14:paraId="0845AF0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￥：       （大写）</w:t>
            </w:r>
          </w:p>
        </w:tc>
      </w:tr>
    </w:tbl>
    <w:p w14:paraId="01EFAA3D">
      <w:pPr>
        <w:kinsoku w:val="0"/>
        <w:spacing w:line="360" w:lineRule="auto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（参数附件说明）</w:t>
      </w:r>
    </w:p>
    <w:p w14:paraId="0FE6D43D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乙方负责按以上确定的设备规格、型号及配套内容进行供货，及时运到甲方指定交货地点安装调试，确保所有设备达到最佳运行状态，负责对甲方操作、维护人员进行培训，指导操作、使用和维修保养，做好售后服务工作。</w:t>
      </w:r>
    </w:p>
    <w:p w14:paraId="72387207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二、合同价格</w:t>
      </w:r>
    </w:p>
    <w:p w14:paraId="7D269A6C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合同总价：人民币大写：</w:t>
      </w:r>
      <w:r>
        <w:rPr>
          <w:rFonts w:hint="eastAsia" w:ascii="宋体" w:hAnsi="宋体" w:cs="宋体"/>
          <w:b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元整；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￥ </w:t>
      </w:r>
      <w:r>
        <w:rPr>
          <w:rFonts w:hint="eastAsia" w:ascii="宋体" w:hAnsi="宋体" w:cs="宋体"/>
          <w:b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highlight w:val="none"/>
        </w:rPr>
        <w:t>元。</w:t>
      </w:r>
    </w:p>
    <w:p w14:paraId="38BCF60E">
      <w:pPr>
        <w:kinsoku w:val="0"/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3B2B80A"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482" w:firstLineChars="200"/>
        <w:rPr>
          <w:rFonts w:hint="eastAsia"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款项支付</w:t>
      </w:r>
    </w:p>
    <w:p w14:paraId="591FEC2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 w:val="0"/>
          <w:bCs/>
          <w:color w:val="auto"/>
          <w:sz w:val="24"/>
          <w:highlight w:val="none"/>
          <w:lang w:val="en-US" w:eastAsia="zh-CN"/>
        </w:rPr>
        <w:t>合同签订后，待所有货物到达指定地点、安装调试完成并由学校验收合格后，凭中标人开具的全额增值税专用发票，30日内一次性付清合同款项或中标人向学校提供银行、保险公司等金融机构出具的预付款保函或其他担保措施，招标人可向中标人支付合同总价的40%作为预付款；待所有货物到达指定地点、安装调试完成并验收合格后，凭中标人开具的全额增值税专用发票，30日内付清剩余合同款项，达到付款条件起30日内，支付合同总金额的100.00%。</w:t>
      </w:r>
    </w:p>
    <w:p w14:paraId="4D1AC6C7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四、交货条件</w:t>
      </w:r>
    </w:p>
    <w:p w14:paraId="3E11870D">
      <w:pPr>
        <w:kinsoku w:val="0"/>
        <w:adjustRightInd w:val="0"/>
        <w:snapToGrid w:val="0"/>
        <w:spacing w:line="360" w:lineRule="auto"/>
        <w:ind w:firstLine="600" w:firstLineChars="2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1.交货地点：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甲方</w:t>
      </w:r>
      <w:r>
        <w:rPr>
          <w:rFonts w:hint="eastAsia" w:ascii="宋体" w:hAnsi="宋体" w:cs="宋体"/>
          <w:color w:val="auto"/>
          <w:sz w:val="24"/>
          <w:highlight w:val="none"/>
        </w:rPr>
        <w:t>指定地点。</w:t>
      </w:r>
    </w:p>
    <w:p w14:paraId="55B35D7A">
      <w:pPr>
        <w:kinsoku w:val="0"/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2.交货日期：</w:t>
      </w:r>
      <w:r>
        <w:rPr>
          <w:rFonts w:hint="eastAsia" w:ascii="宋体" w:hAnsi="宋体" w:cs="宋体"/>
          <w:color w:val="auto"/>
          <w:sz w:val="24"/>
          <w:highlight w:val="none"/>
          <w:shd w:val="clear"/>
        </w:rPr>
        <w:t>自合同签订之日起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shd w:val="clear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highlight w:val="none"/>
          <w:shd w:val="clear"/>
        </w:rPr>
        <w:t>个日历日内到货、安装调试并交付使用</w:t>
      </w:r>
    </w:p>
    <w:p w14:paraId="755AA501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五、运输方式</w:t>
      </w:r>
    </w:p>
    <w:p w14:paraId="3E20A4CE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307198AA">
      <w:pPr>
        <w:adjustRightInd w:val="0"/>
        <w:snapToGrid w:val="0"/>
        <w:spacing w:line="360" w:lineRule="auto"/>
        <w:ind w:firstLine="480"/>
        <w:rPr>
          <w:rFonts w:hint="eastAsia" w:ascii="宋体" w:hAnsi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  <w:shd w:val="clear"/>
        </w:rPr>
        <w:t>涉及的商品包装和快递包装，均应符合《商品包装政府采购需求标准（试行）》《快递包装政府采购需求标准（试行）》等要求，包装应适应于远距离运输、防潮、防震、防锈和防野蛮装卸，以确保货物安全无损运抵指定地点。</w:t>
      </w:r>
    </w:p>
    <w:p w14:paraId="2C32E581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六、质量保证</w:t>
      </w:r>
    </w:p>
    <w:p w14:paraId="18DD327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1.乙方提供的产品必须满足招标文件及合同的技术参数要求。</w:t>
      </w:r>
    </w:p>
    <w:p w14:paraId="66F219C8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2.乙方保证货物应是全新、未曾使用过的、优质工艺及材料制造的产品，并保证所供设备的完整性（包括满足设备完整运行的附件、备件、配套件、技术手册等）。</w:t>
      </w:r>
    </w:p>
    <w:p w14:paraId="57F8017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3.乙方保证所提供的设备质量可靠、进货渠道正规、配置合理、技术性能完全满足招标文件要求。</w:t>
      </w:r>
    </w:p>
    <w:p w14:paraId="57112E1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4.乙方应随产品提供检验报告等相关材料。</w:t>
      </w:r>
    </w:p>
    <w:p w14:paraId="461322B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5.设备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48E17959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七、质保期与承诺</w:t>
      </w:r>
    </w:p>
    <w:p w14:paraId="66211B1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自验收合格之日起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年。</w:t>
      </w:r>
    </w:p>
    <w:p w14:paraId="2483BCE8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2.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质量保证期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内，若发生产品质量问题，乙方应免费解决；否则，甲方将乙方列入“政府采购联合惩戒黑名单”，并追究法律责任。</w:t>
      </w:r>
    </w:p>
    <w:p w14:paraId="29E27700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八、安装、调试及技术服务</w:t>
      </w:r>
    </w:p>
    <w:p w14:paraId="20936045">
      <w:pPr>
        <w:adjustRightInd w:val="0"/>
        <w:snapToGrid w:val="0"/>
        <w:spacing w:line="360" w:lineRule="auto"/>
        <w:ind w:firstLine="496" w:firstLineChars="207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1.技术资料包括：出厂检测报告、产品使用说明书、合格证等其它相关资料。</w:t>
      </w:r>
    </w:p>
    <w:p w14:paraId="18286CF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5122BC1B">
      <w:pPr>
        <w:adjustRightInd w:val="0"/>
        <w:snapToGrid w:val="0"/>
        <w:spacing w:line="360" w:lineRule="auto"/>
        <w:ind w:firstLine="360" w:firstLineChars="15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3.乙方保证设备完全按招标要求提供，若达不到要求，乙方须及时跟甲方沟通协商更换设备，并按照再次验收合格时间相应延长该产品保修期。</w:t>
      </w:r>
    </w:p>
    <w:p w14:paraId="3E4D3115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九、违约责任：</w:t>
      </w:r>
    </w:p>
    <w:p w14:paraId="5E5D3C60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1.按《中华人民共和国民法典》中的相关条款执行。</w:t>
      </w:r>
    </w:p>
    <w:p w14:paraId="5D5E60D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2.若乙方出现不能供货等违约情况，甲方将不退合同金额5%的履约保证金。</w:t>
      </w:r>
    </w:p>
    <w:p w14:paraId="1D69E76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3.未按合同要求提供产品或设备质量不能满足招标的技术要求，甲方有权终止合同，并保留追究乙方违约责任的权利。</w:t>
      </w:r>
    </w:p>
    <w:p w14:paraId="76199BE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4.因供货期迟延的，乙方按照每天1‰向甲方承担违约责任。</w:t>
      </w:r>
    </w:p>
    <w:p w14:paraId="4010CA8E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5.因产品质量问题违约的，除了按照迟延时间计算违约金外，另可以采取退货、换货等方式，由乙方承担一切费用。</w:t>
      </w:r>
    </w:p>
    <w:p w14:paraId="2865EECE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十、设备验收</w:t>
      </w:r>
    </w:p>
    <w:p w14:paraId="02DC139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1.设备到货后，乙方负责安装调试，达到正常运行条件后书面通知甲方验收。</w:t>
      </w:r>
    </w:p>
    <w:p w14:paraId="56D6E4FC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2.安装完成后应提供详细的安装报告，并详细记录各种指示的实测数据。</w:t>
      </w:r>
    </w:p>
    <w:p w14:paraId="1F1E61C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3.提供完整的操作手册和安装、调试、维修手册；提供制造厂家的检验测试报告或设备出厂检测报告。</w:t>
      </w:r>
    </w:p>
    <w:p w14:paraId="00F7127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4.甲方根据合同要求对设备进行验收、确认设备的产地、规格、型号和数量。验收依据为</w:t>
      </w:r>
      <w:bookmarkStart w:id="0" w:name="_Toc337393760"/>
      <w:r>
        <w:rPr>
          <w:rFonts w:hint="eastAsia" w:ascii="宋体" w:hAnsi="宋体" w:cs="宋体"/>
          <w:color w:val="auto"/>
          <w:sz w:val="24"/>
          <w:highlight w:val="none"/>
        </w:rPr>
        <w:t>本合同文本、招投标文件和国内相应的标准、规范</w:t>
      </w:r>
      <w:bookmarkEnd w:id="0"/>
      <w:bookmarkStart w:id="1" w:name="_Toc337393761"/>
      <w:r>
        <w:rPr>
          <w:rFonts w:hint="eastAsia" w:ascii="宋体" w:hAnsi="宋体" w:cs="宋体"/>
          <w:color w:val="auto"/>
          <w:sz w:val="24"/>
          <w:highlight w:val="none"/>
        </w:rPr>
        <w:t>。</w:t>
      </w:r>
      <w:bookmarkEnd w:id="1"/>
    </w:p>
    <w:p w14:paraId="0F3E788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5.验收合格后，填写设备验收单，并向甲方提交设备所包含的所有资料，以便使用单位日后管理和维护。</w:t>
      </w:r>
    </w:p>
    <w:p w14:paraId="0694870D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cs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6.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     </w:t>
      </w:r>
    </w:p>
    <w:p w14:paraId="7D089D8B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十一、合同争议的解决</w:t>
      </w:r>
    </w:p>
    <w:p w14:paraId="0C197F45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3801D315">
      <w:pPr>
        <w:tabs>
          <w:tab w:val="left" w:pos="5355"/>
        </w:tabs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6D0FF360">
      <w:pPr>
        <w:tabs>
          <w:tab w:val="left" w:pos="5355"/>
        </w:tabs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十二、其它事项</w:t>
      </w:r>
    </w:p>
    <w:p w14:paraId="03CE418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1.甲、乙双方做为合同执行的主体，有义务及时完全履行合同。招标代理机构开瑞项目管理有限公司监督履行。</w:t>
      </w:r>
    </w:p>
    <w:p w14:paraId="7198DD12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2.甲方使用部门代表学校签署合同，并随时监督合同履行情况。</w:t>
      </w:r>
    </w:p>
    <w:p w14:paraId="487ECA2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3.合同未尽事宜，由甲、乙双方协商，协商方案作为本合同不可分割的组成部分，与本合同具有同等法律效力。</w:t>
      </w:r>
    </w:p>
    <w:p w14:paraId="28DB9C26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4.招标文件和乙方的投标文件以及合同附件均为合同不可分割的部分。</w:t>
      </w:r>
    </w:p>
    <w:p w14:paraId="44D12C8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5.合同一式柒份，甲方持伍份、乙方执壹份。双方签字盖章后生效，合同执行完毕自动失效。（合同的服务承诺长期有效）。</w:t>
      </w:r>
    </w:p>
    <w:p w14:paraId="2A4EAC42">
      <w:pPr>
        <w:adjustRightInd w:val="0"/>
        <w:snapToGrid w:val="0"/>
        <w:spacing w:line="360" w:lineRule="auto"/>
        <w:ind w:left="479" w:leftChars="228" w:firstLine="0" w:firstLineChars="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6.使用单位收货、验货人员：____________  电话：_______________</w:t>
      </w:r>
      <w:r>
        <w:rPr>
          <w:rFonts w:hint="eastAsia" w:ascii="宋体" w:hAnsi="宋体" w:cs="宋体"/>
          <w:color w:val="auto"/>
          <w:sz w:val="24"/>
          <w:highlight w:val="none"/>
        </w:rPr>
        <w:br w:type="textWrapping"/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以下无正文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）</w:t>
      </w:r>
    </w:p>
    <w:tbl>
      <w:tblPr>
        <w:tblStyle w:val="5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10798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7BDC0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甲方：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西安戏剧学院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0F6B7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 xml:space="preserve">乙方： </w:t>
            </w:r>
          </w:p>
        </w:tc>
      </w:tr>
      <w:tr w14:paraId="6F32E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6D0C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地址：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西安市西咸新区秦汉新城兰池大道369号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69776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地址：</w:t>
            </w:r>
          </w:p>
        </w:tc>
      </w:tr>
      <w:tr w14:paraId="6C4BA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E7B85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代理人（签字或盖章）：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096EA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代理人（签字或盖章）：</w:t>
            </w:r>
          </w:p>
        </w:tc>
      </w:tr>
      <w:tr w14:paraId="515F0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73A19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FAC62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技术确认：</w:t>
            </w:r>
          </w:p>
        </w:tc>
      </w:tr>
      <w:tr w14:paraId="23432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56B35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126A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联系电话：</w:t>
            </w:r>
          </w:p>
        </w:tc>
      </w:tr>
      <w:tr w14:paraId="21D1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52E03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开户行：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5142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 xml:space="preserve">开户行： </w:t>
            </w:r>
          </w:p>
        </w:tc>
      </w:tr>
      <w:tr w14:paraId="7F0C4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5A785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账号：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D8E5C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账号：</w:t>
            </w:r>
          </w:p>
        </w:tc>
      </w:tr>
      <w:tr w14:paraId="3050E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2AE3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税号：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8AC28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税号：</w:t>
            </w:r>
          </w:p>
        </w:tc>
      </w:tr>
      <w:tr w14:paraId="660EA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1B6FD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日期：     年       月       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19244">
            <w:pPr>
              <w:spacing w:line="348" w:lineRule="auto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日期：    年       月       日</w:t>
            </w:r>
          </w:p>
        </w:tc>
      </w:tr>
    </w:tbl>
    <w:p w14:paraId="1AB9D941">
      <w:pPr>
        <w:snapToGrid w:val="0"/>
        <w:spacing w:line="360" w:lineRule="auto"/>
        <w:rPr>
          <w:color w:val="auto"/>
          <w:highlight w:val="none"/>
        </w:rPr>
      </w:pPr>
    </w:p>
    <w:p w14:paraId="0A03C7E7">
      <w:pPr>
        <w:rPr>
          <w:color w:val="auto"/>
          <w:highlight w:val="none"/>
        </w:rPr>
      </w:pPr>
    </w:p>
    <w:p w14:paraId="6F72848E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30100">
    <w:pPr>
      <w:pStyle w:val="10"/>
      <w:tabs>
        <w:tab w:val="clear" w:pos="4153"/>
        <w:tab w:val="clear" w:pos="8306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2F4AAB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2F4AAB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20C311"/>
    <w:multiLevelType w:val="singleLevel"/>
    <w:tmpl w:val="7C20C3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303CA"/>
    <w:rsid w:val="27483067"/>
    <w:rsid w:val="37A61E10"/>
    <w:rsid w:val="38ED31D3"/>
    <w:rsid w:val="58F7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标题 1 字符"/>
    <w:link w:val="8"/>
    <w:qFormat/>
    <w:uiPriority w:val="0"/>
    <w:rPr>
      <w:rFonts w:hint="eastAsia" w:ascii="宋体" w:hAnsi="宋体"/>
      <w:b/>
      <w:bCs/>
      <w:kern w:val="44"/>
      <w:sz w:val="48"/>
      <w:szCs w:val="48"/>
    </w:rPr>
  </w:style>
  <w:style w:type="paragraph" w:customStyle="1" w:styleId="8">
    <w:name w:val="标题 11"/>
    <w:basedOn w:val="1"/>
    <w:link w:val="7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2026-06-08T06:50:23Z</dcterms:created>
  <dc:creator>Administrator</dc:creator>
  <cp:lastModifiedBy>开瑞</cp:lastModifiedBy>
  <dcterms:modified xsi:type="dcterms:W3CDTF">2026-06-08T06:51:15Z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BEDD657C01E44086B7E1BD58D833E338_12</vt:lpwstr>
  </property>
</Properties>
</file>