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14361">
      <w:pPr>
        <w:pStyle w:val="3"/>
        <w:adjustRightInd w:val="0"/>
        <w:snapToGrid w:val="0"/>
        <w:spacing w:line="360" w:lineRule="auto"/>
        <w:jc w:val="both"/>
        <w:rPr>
          <w:rFonts w:hint="eastAsia" w:ascii="宋体" w:hAnsi="宋体" w:cs="宋体"/>
          <w:b/>
          <w:bCs/>
          <w:color w:val="000000" w:themeColor="text1"/>
          <w:sz w:val="28"/>
          <w:szCs w:val="28"/>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8"/>
          <w:szCs w:val="28"/>
          <w:highlight w:val="none"/>
          <w:shd w:val="clear" w:color="auto" w:fill="FFFFFF"/>
          <w:lang w:val="en-US" w:eastAsia="zh-CN"/>
          <w14:textFill>
            <w14:solidFill>
              <w14:schemeClr w14:val="tx1"/>
            </w14:solidFill>
          </w14:textFill>
        </w:rPr>
        <w:t>供应商须按照招标文件要求进行现场操作演示，供应商须在现场使用所投型号真实产品进行演示，不得通过展示PPT、视频、Demo等形式，否则此项不得分。各供应商演示时间均不得超过15分钟，请各供应商自行安排演示时间和内容。同时供应商自行负责演示所必须设备等，否则相关不利风险由供应商自行承担。</w:t>
      </w:r>
    </w:p>
    <w:p w14:paraId="1D235A30">
      <w:pPr>
        <w:pStyle w:val="3"/>
        <w:adjustRightInd w:val="0"/>
        <w:snapToGrid w:val="0"/>
        <w:spacing w:line="360" w:lineRule="auto"/>
        <w:jc w:val="both"/>
        <w:rPr>
          <w:rFonts w:hint="eastAsia" w:ascii="宋体" w:hAnsi="宋体" w:cs="宋体"/>
          <w:b/>
          <w:bCs/>
          <w:color w:val="000000" w:themeColor="text1"/>
          <w:sz w:val="28"/>
          <w:szCs w:val="28"/>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8"/>
          <w:szCs w:val="28"/>
          <w:highlight w:val="none"/>
          <w:shd w:val="clear" w:color="auto" w:fill="FFFFFF"/>
          <w:lang w:val="en-US" w:eastAsia="zh-CN"/>
          <w14:textFill>
            <w14:solidFill>
              <w14:schemeClr w14:val="tx1"/>
            </w14:solidFill>
          </w14:textFill>
        </w:rPr>
        <w:t>供应商须对以下内容进行演示，演示的功能与内容技术指标和性能完全满足采购要求。每单项未演示或演示功能不全或不满足采购人需求的单项不得分。</w:t>
      </w:r>
    </w:p>
    <w:p w14:paraId="2F7D4C5C">
      <w:pPr>
        <w:pStyle w:val="6"/>
        <w:adjustRightInd w:val="0"/>
        <w:snapToGrid w:val="0"/>
        <w:spacing w:line="360" w:lineRule="auto"/>
        <w:jc w:val="cente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t>现场演示1</w:t>
      </w:r>
    </w:p>
    <w:p w14:paraId="4370A64E">
      <w:pPr>
        <w:pStyle w:val="3"/>
        <w:numPr>
          <w:ilvl w:val="0"/>
          <w:numId w:val="0"/>
        </w:numPr>
        <w:adjustRightInd w:val="0"/>
        <w:snapToGrid w:val="0"/>
        <w:spacing w:line="360" w:lineRule="auto"/>
        <w:jc w:val="both"/>
        <w:rPr>
          <w:rFonts w:hint="default" w:ascii="宋体" w:hAnsi="宋体" w:cs="宋体"/>
          <w:b w:val="0"/>
          <w:bCs w:val="0"/>
          <w:color w:val="000000" w:themeColor="text1"/>
          <w:kern w:val="2"/>
          <w:sz w:val="24"/>
          <w:szCs w:val="24"/>
          <w:highlight w:val="none"/>
          <w:u w:val="none"/>
          <w:shd w:val="clear" w:fill="FFFFFF"/>
          <w:lang w:val="en-US" w:eastAsia="zh-CN" w:bidi="ar-SA"/>
          <w14:textFill>
            <w14:solidFill>
              <w14:schemeClr w14:val="tx1"/>
            </w14:solidFill>
          </w14:textFill>
        </w:rPr>
      </w:pPr>
      <w:r>
        <w:rPr>
          <w:rFonts w:hint="default" w:ascii="宋体" w:hAnsi="宋体" w:cs="宋体"/>
          <w:b/>
          <w:bCs/>
          <w:color w:val="000000" w:themeColor="text1"/>
          <w:kern w:val="2"/>
          <w:sz w:val="24"/>
          <w:szCs w:val="24"/>
          <w:highlight w:val="none"/>
          <w:u w:val="none"/>
          <w:shd w:val="clear" w:fill="FFFFFF"/>
          <w:lang w:val="en-US" w:eastAsia="zh-CN" w:bidi="ar-SA"/>
          <w14:textFill>
            <w14:solidFill>
              <w14:schemeClr w14:val="tx1"/>
            </w14:solidFill>
          </w14:textFill>
        </w:rPr>
        <w:t>1.</w:t>
      </w:r>
      <w:r>
        <w:rPr>
          <w:rFonts w:hint="eastAsia" w:ascii="宋体" w:hAnsi="宋体" w:cs="宋体"/>
          <w:b/>
          <w:bCs/>
          <w:color w:val="000000" w:themeColor="text1"/>
          <w:kern w:val="2"/>
          <w:sz w:val="24"/>
          <w:szCs w:val="24"/>
          <w:highlight w:val="none"/>
          <w:u w:val="none"/>
          <w:shd w:val="clear" w:fill="FFFFFF"/>
          <w:lang w:val="en-US" w:eastAsia="zh-CN" w:bidi="ar-SA"/>
          <w14:textFill>
            <w14:solidFill>
              <w14:schemeClr w14:val="tx1"/>
            </w14:solidFill>
          </w14:textFill>
        </w:rPr>
        <w:t>科研统计：</w:t>
      </w:r>
      <w:r>
        <w:rPr>
          <w:rFonts w:hint="eastAsia" w:ascii="宋体" w:hAnsi="宋体" w:cs="宋体"/>
          <w:b w:val="0"/>
          <w:bCs w:val="0"/>
          <w:color w:val="000000" w:themeColor="text1"/>
          <w:kern w:val="2"/>
          <w:sz w:val="24"/>
          <w:szCs w:val="24"/>
          <w:highlight w:val="none"/>
          <w:u w:val="none"/>
          <w:shd w:val="clear" w:fill="FFFFFF"/>
          <w:lang w:val="en-US" w:eastAsia="zh-CN" w:bidi="ar-SA"/>
          <w14:textFill>
            <w14:solidFill>
              <w14:schemeClr w14:val="tx1"/>
            </w14:solidFill>
          </w14:textFill>
        </w:rPr>
        <w:t>将科研项目、经费、成果等不同业务模块的数据信息以统计图表的形式展现，需要提供“年度学院科研经费统计”“近年科研经费预算和到账情况”“核心论文发表趋势”以及“科研项目到账经费跨年比较”图。</w:t>
      </w:r>
    </w:p>
    <w:p w14:paraId="25C8C49E">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评审依据：</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满足此项得</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2</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分，演示不完整或</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演示内容不满足采购人需求的或</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未提供演示的不得分。</w:t>
      </w:r>
    </w:p>
    <w:p w14:paraId="0AAE5883">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7D423FDD">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24A4C932">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29BFE31F">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5041EC89">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647DF3D4">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2EAF8665">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076699A9">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187DCDD9">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4AC943B6">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3369DD82">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4B223B92">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1F506A97">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13A00064">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p>
    <w:p w14:paraId="29D76462">
      <w:pPr>
        <w:pStyle w:val="6"/>
        <w:adjustRightInd w:val="0"/>
        <w:snapToGrid w:val="0"/>
        <w:spacing w:line="360" w:lineRule="auto"/>
        <w:jc w:val="center"/>
        <w:rPr>
          <w:rFonts w:hint="default" w:ascii="宋体" w:hAnsi="宋体" w:cs="宋体"/>
          <w:b/>
          <w:bCs/>
          <w:color w:val="000000" w:themeColor="text1"/>
          <w:sz w:val="36"/>
          <w:szCs w:val="36"/>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t>现场演示2</w:t>
      </w:r>
    </w:p>
    <w:p w14:paraId="18C254CD">
      <w:pPr>
        <w:pStyle w:val="3"/>
        <w:numPr>
          <w:ilvl w:val="0"/>
          <w:numId w:val="0"/>
        </w:numPr>
        <w:adjustRightInd w:val="0"/>
        <w:snapToGrid w:val="0"/>
        <w:spacing w:line="360" w:lineRule="auto"/>
        <w:jc w:val="both"/>
        <w:rPr>
          <w:rFonts w:hint="default" w:ascii="宋体" w:hAnsi="宋体" w:cs="宋体"/>
          <w:b w:val="0"/>
          <w:bCs w:val="0"/>
          <w:color w:val="000000" w:themeColor="text1"/>
          <w:kern w:val="2"/>
          <w:sz w:val="24"/>
          <w:szCs w:val="24"/>
          <w:highlight w:val="none"/>
          <w:u w:val="none"/>
          <w:shd w:val="clear" w:fill="FFFFFF"/>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u w:val="none"/>
          <w:shd w:val="clear" w:fill="FFFFFF"/>
          <w:lang w:val="en-US" w:eastAsia="zh-CN" w:bidi="ar-SA"/>
          <w14:textFill>
            <w14:solidFill>
              <w14:schemeClr w14:val="tx1"/>
            </w14:solidFill>
          </w14:textFill>
        </w:rPr>
        <w:t>2</w:t>
      </w:r>
      <w:r>
        <w:rPr>
          <w:rFonts w:hint="default" w:ascii="宋体" w:hAnsi="宋体" w:eastAsia="宋体" w:cs="宋体"/>
          <w:b/>
          <w:bCs/>
          <w:color w:val="000000" w:themeColor="text1"/>
          <w:kern w:val="2"/>
          <w:sz w:val="24"/>
          <w:szCs w:val="24"/>
          <w:highlight w:val="none"/>
          <w:u w:val="none"/>
          <w:shd w:val="clear" w:fill="FFFFFF"/>
          <w:lang w:val="en-US" w:eastAsia="zh-CN" w:bidi="ar-SA"/>
          <w14:textFill>
            <w14:solidFill>
              <w14:schemeClr w14:val="tx1"/>
            </w14:solidFill>
          </w14:textFill>
        </w:rPr>
        <w:t>.</w:t>
      </w:r>
      <w:r>
        <w:rPr>
          <w:rFonts w:hint="eastAsia" w:ascii="宋体" w:hAnsi="宋体" w:cs="宋体"/>
          <w:b/>
          <w:bCs/>
          <w:color w:val="000000" w:themeColor="text1"/>
          <w:kern w:val="2"/>
          <w:sz w:val="24"/>
          <w:szCs w:val="24"/>
          <w:highlight w:val="none"/>
          <w:u w:val="none"/>
          <w:shd w:val="clear" w:fill="FFFFFF"/>
          <w:lang w:val="en-US" w:eastAsia="zh-CN" w:bidi="ar-SA"/>
          <w14:textFill>
            <w14:solidFill>
              <w14:schemeClr w14:val="tx1"/>
            </w14:solidFill>
          </w14:textFill>
        </w:rPr>
        <w:t>国社科、教育部人文社科项目导入：</w:t>
      </w:r>
      <w:r>
        <w:rPr>
          <w:rFonts w:hint="eastAsia" w:ascii="宋体" w:hAnsi="宋体" w:cs="宋体"/>
          <w:b w:val="0"/>
          <w:bCs w:val="0"/>
          <w:color w:val="000000" w:themeColor="text1"/>
          <w:kern w:val="2"/>
          <w:sz w:val="24"/>
          <w:szCs w:val="24"/>
          <w:highlight w:val="none"/>
          <w:u w:val="none"/>
          <w:shd w:val="clear" w:fill="FFFFFF"/>
          <w:lang w:val="en-US" w:eastAsia="zh-CN" w:bidi="ar-SA"/>
          <w14:textFill>
            <w14:solidFill>
              <w14:schemeClr w14:val="tx1"/>
            </w14:solidFill>
          </w14:textFill>
        </w:rPr>
        <w:t>系统需实现特定类别项目立项信息快速采集入库，支持Excel格式数据批量导入，支持单个或多个国家自然科学基金项目和国家社会科学基金项目及教育部人文社科项目PDF计划书导入，可自动解析和获取计划书中项目基本信息、成员信息和预算信息，一键导入系统。</w:t>
      </w:r>
    </w:p>
    <w:p w14:paraId="408F61CF">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评审依据：</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满足此项得</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2</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分，演示不完整或</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演示内容不满足采购人需求的或</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未提供演示的不得分。</w:t>
      </w:r>
    </w:p>
    <w:p w14:paraId="1956BD63">
      <w:pP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br w:type="page"/>
      </w:r>
      <w:bookmarkStart w:id="0" w:name="_GoBack"/>
      <w:bookmarkEnd w:id="0"/>
    </w:p>
    <w:p w14:paraId="1C93DFE1">
      <w:pPr>
        <w:pStyle w:val="6"/>
        <w:adjustRightInd w:val="0"/>
        <w:snapToGrid w:val="0"/>
        <w:spacing w:line="360" w:lineRule="auto"/>
        <w:jc w:val="center"/>
        <w:rPr>
          <w:rFonts w:hint="default" w:ascii="宋体" w:hAnsi="宋体" w:cs="宋体"/>
          <w:b/>
          <w:bCs/>
          <w:color w:val="000000" w:themeColor="text1"/>
          <w:sz w:val="36"/>
          <w:szCs w:val="36"/>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t>现场演示3</w:t>
      </w:r>
    </w:p>
    <w:p w14:paraId="643BDD3B">
      <w:pPr>
        <w:pStyle w:val="3"/>
        <w:numPr>
          <w:ilvl w:val="0"/>
          <w:numId w:val="0"/>
        </w:numPr>
        <w:adjustRightInd w:val="0"/>
        <w:snapToGrid w:val="0"/>
        <w:spacing w:line="360" w:lineRule="auto"/>
        <w:jc w:val="both"/>
        <w:rPr>
          <w:rFonts w:hint="default" w:ascii="宋体" w:hAnsi="宋体" w:eastAsia="宋体" w:cs="宋体"/>
          <w:b w:val="0"/>
          <w:bCs w:val="0"/>
          <w:color w:val="000000" w:themeColor="text1"/>
          <w:kern w:val="2"/>
          <w:sz w:val="24"/>
          <w:szCs w:val="24"/>
          <w:highlight w:val="none"/>
          <w:shd w:val="clear" w:fill="FFFFFF"/>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t>3</w:t>
      </w:r>
      <w:r>
        <w:rPr>
          <w:rFonts w:hint="default" w:ascii="宋体" w:hAnsi="宋体" w:eastAsia="宋体" w:cs="宋体"/>
          <w:b/>
          <w:bCs/>
          <w:color w:val="000000" w:themeColor="text1"/>
          <w:kern w:val="2"/>
          <w:sz w:val="24"/>
          <w:szCs w:val="24"/>
          <w:highlight w:val="none"/>
          <w:shd w:val="clear" w:fill="FFFFFF"/>
          <w:lang w:val="en-US" w:eastAsia="zh-CN" w:bidi="ar-SA"/>
          <w14:textFill>
            <w14:solidFill>
              <w14:schemeClr w14:val="tx1"/>
            </w14:solidFill>
          </w14:textFill>
        </w:rPr>
        <w:t>.批量采集</w:t>
      </w:r>
      <w:r>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可自动批量采集学校中英文论文发表数据（包括WOS、EI、知网等），展示所采集数据结果，采集数据标引出论文收录源，并保存原始数据链接，点击链接可跳转和查看论文数据源原始网页信息，网页信息内容需自动提取并存储入库。</w:t>
      </w:r>
    </w:p>
    <w:p w14:paraId="45214B9E">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评审依据：</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满足此项得</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2</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分，演示不完整或</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演示内容不满足采购人需求的或</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未提供演示的不得分。</w:t>
      </w:r>
    </w:p>
    <w:p w14:paraId="45A56C6C">
      <w:pP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br w:type="page"/>
      </w:r>
    </w:p>
    <w:p w14:paraId="33110D31">
      <w:pPr>
        <w:pStyle w:val="6"/>
        <w:adjustRightInd w:val="0"/>
        <w:snapToGrid w:val="0"/>
        <w:spacing w:line="360" w:lineRule="auto"/>
        <w:jc w:val="center"/>
        <w:rPr>
          <w:rFonts w:hint="default" w:ascii="宋体" w:hAnsi="宋体" w:cs="宋体"/>
          <w:b/>
          <w:bCs/>
          <w:color w:val="000000" w:themeColor="text1"/>
          <w:sz w:val="36"/>
          <w:szCs w:val="36"/>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t>现场演示4</w:t>
      </w:r>
    </w:p>
    <w:p w14:paraId="10BC0B59">
      <w:pPr>
        <w:pStyle w:val="3"/>
        <w:numPr>
          <w:ilvl w:val="0"/>
          <w:numId w:val="0"/>
        </w:numPr>
        <w:adjustRightInd w:val="0"/>
        <w:snapToGrid w:val="0"/>
        <w:spacing w:line="360" w:lineRule="auto"/>
        <w:jc w:val="both"/>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t>4教育部信息统计：</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基于教育部年度科技、社科统计要求，采用Excel和XML格式数据包载入教育部统计数据；能对载入的教育部统计数据进行编辑和检查，能生成教育部统计表；能导出XML格式数据包，并能导入到教育部社科统计系统中</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p w14:paraId="03E5A4E3">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评审依据：</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满足此项得</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2</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分，演示不完整或</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演示内容不满足采购人需求的或</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未提供演示的不得分。</w:t>
      </w:r>
    </w:p>
    <w:p w14:paraId="06A10DE1">
      <w:pP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br w:type="page"/>
      </w:r>
    </w:p>
    <w:p w14:paraId="76AB3505">
      <w:pPr>
        <w:pStyle w:val="6"/>
        <w:adjustRightInd w:val="0"/>
        <w:snapToGrid w:val="0"/>
        <w:spacing w:line="360" w:lineRule="auto"/>
        <w:jc w:val="center"/>
        <w:rPr>
          <w:rFonts w:hint="default" w:ascii="宋体" w:hAnsi="宋体" w:cs="宋体"/>
          <w:b/>
          <w:bCs/>
          <w:color w:val="000000" w:themeColor="text1"/>
          <w:sz w:val="36"/>
          <w:szCs w:val="36"/>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36"/>
          <w:szCs w:val="36"/>
          <w:highlight w:val="none"/>
          <w:shd w:val="clear" w:color="auto" w:fill="FFFFFF"/>
          <w:lang w:val="en-US" w:eastAsia="zh-CN"/>
          <w14:textFill>
            <w14:solidFill>
              <w14:schemeClr w14:val="tx1"/>
            </w14:solidFill>
          </w14:textFill>
        </w:rPr>
        <w:t>现场演示5</w:t>
      </w:r>
    </w:p>
    <w:p w14:paraId="4F1F49DA">
      <w:pPr>
        <w:pStyle w:val="3"/>
        <w:numPr>
          <w:ilvl w:val="0"/>
          <w:numId w:val="0"/>
        </w:numPr>
        <w:adjustRightInd w:val="0"/>
        <w:snapToGrid w:val="0"/>
        <w:spacing w:line="360" w:lineRule="auto"/>
        <w:jc w:val="both"/>
        <w:rPr>
          <w:rFonts w:hint="default" w:ascii="宋体" w:hAnsi="宋体" w:eastAsia="宋体" w:cs="宋体"/>
          <w:b w:val="0"/>
          <w:bCs w:val="0"/>
          <w:color w:val="000000" w:themeColor="text1"/>
          <w:kern w:val="2"/>
          <w:sz w:val="24"/>
          <w:szCs w:val="24"/>
          <w:highlight w:val="none"/>
          <w:shd w:val="clear" w:fill="FFFFFF"/>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t>5</w:t>
      </w:r>
      <w:r>
        <w:rPr>
          <w:rFonts w:hint="default" w:ascii="宋体" w:hAnsi="宋体" w:eastAsia="宋体" w:cs="宋体"/>
          <w:b/>
          <w:bCs/>
          <w:color w:val="000000" w:themeColor="text1"/>
          <w:kern w:val="2"/>
          <w:sz w:val="24"/>
          <w:szCs w:val="24"/>
          <w:highlight w:val="none"/>
          <w:shd w:val="clear" w:fill="FFFFFF"/>
          <w:lang w:val="en-US" w:eastAsia="zh-CN" w:bidi="ar-SA"/>
          <w14:textFill>
            <w14:solidFill>
              <w14:schemeClr w14:val="tx1"/>
            </w14:solidFill>
          </w14:textFill>
        </w:rPr>
        <w:t>.短信、邮件、企业微信对接</w:t>
      </w:r>
      <w:r>
        <w:rPr>
          <w:rFonts w:hint="eastAsia" w:ascii="宋体" w:hAnsi="宋体" w:cs="宋体"/>
          <w:b/>
          <w:bCs/>
          <w:color w:val="000000" w:themeColor="text1"/>
          <w:kern w:val="2"/>
          <w:sz w:val="24"/>
          <w:szCs w:val="24"/>
          <w:highlight w:val="none"/>
          <w:shd w:val="clear" w:fill="FFFFFF"/>
          <w:lang w:val="en-US" w:eastAsia="zh-CN" w:bidi="ar-SA"/>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短信、邮件平台、企业微信对接，实现信息推送、提醒。</w:t>
      </w:r>
    </w:p>
    <w:p w14:paraId="648DFE04">
      <w:pPr>
        <w:pStyle w:val="6"/>
        <w:adjustRightInd w:val="0"/>
        <w:snapToGrid w:val="0"/>
        <w:spacing w:line="360" w:lineRule="auto"/>
        <w:jc w:val="left"/>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评审依据：</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满足此项得</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2</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分，演示不完整或</w:t>
      </w:r>
      <w:r>
        <w:rPr>
          <w:rFonts w:hint="eastAsia" w:ascii="宋体" w:hAnsi="宋体" w:cs="宋体"/>
          <w:b/>
          <w:bCs/>
          <w:color w:val="000000" w:themeColor="text1"/>
          <w:sz w:val="24"/>
          <w:szCs w:val="24"/>
          <w:highlight w:val="none"/>
          <w:shd w:val="clear" w:color="auto" w:fill="FFFFFF"/>
          <w:lang w:val="en-US" w:eastAsia="zh-CN"/>
          <w14:textFill>
            <w14:solidFill>
              <w14:schemeClr w14:val="tx1"/>
            </w14:solidFill>
          </w14:textFill>
        </w:rPr>
        <w:t>演示内容不满足采购人需求的或</w:t>
      </w:r>
      <w:r>
        <w:rPr>
          <w:rFonts w:hint="default" w:ascii="宋体" w:hAnsi="宋体" w:cs="宋体"/>
          <w:b/>
          <w:bCs/>
          <w:color w:val="000000" w:themeColor="text1"/>
          <w:sz w:val="24"/>
          <w:szCs w:val="24"/>
          <w:highlight w:val="none"/>
          <w:shd w:val="clear" w:color="auto" w:fill="FFFFFF"/>
          <w:lang w:val="en-US" w:eastAsia="zh-CN"/>
          <w14:textFill>
            <w14:solidFill>
              <w14:schemeClr w14:val="tx1"/>
            </w14:solidFill>
          </w14:textFill>
        </w:rPr>
        <w:t>未提供演示的不得分。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DC0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null3"/>
    <w:qFormat/>
    <w:uiPriority w:val="0"/>
    <w:rPr>
      <w:rFonts w:hint="eastAsia" w:ascii="Calibri" w:hAnsi="Calibri" w:eastAsia="宋体" w:cs="Times New Roman"/>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2026-06-08T07:06:35Z</dcterms:created>
  <dc:creator>Administrator</dc:creator>
  <cp:lastModifiedBy>开瑞</cp:lastModifiedBy>
  <dcterms:modified xsi:type="dcterms:W3CDTF">2026-06-08T07:09:51Z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43D8C86C2D1F43BD9D1F86B12941D4F3_12</vt:lpwstr>
  </property>
</Properties>
</file>