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402A13">
      <w:pPr>
        <w:pStyle w:val="6"/>
      </w:pPr>
      <w:r>
        <w:rPr>
          <w:rFonts w:ascii="仿宋_GB2312" w:hAnsi="仿宋_GB2312" w:eastAsia="仿宋_GB2312" w:cs="仿宋_GB2312"/>
          <w:b/>
          <w:sz w:val="36"/>
        </w:rPr>
        <w:t>第三章 谈判项目技术、服务、商务及其他要求</w:t>
      </w:r>
    </w:p>
    <w:p w14:paraId="5D431FAE">
      <w:pPr>
        <w:spacing w:line="360" w:lineRule="auto"/>
        <w:ind w:firstLine="440" w:firstLineChars="200"/>
        <w:rPr>
          <w:rFonts w:ascii="仿宋" w:hAnsi="仿宋" w:eastAsia="仿宋" w:cs="仿宋"/>
          <w:sz w:val="22"/>
          <w:szCs w:val="28"/>
        </w:rPr>
      </w:pPr>
      <w:r>
        <w:rPr>
          <w:rFonts w:hint="eastAsia" w:ascii="仿宋" w:hAnsi="仿宋" w:eastAsia="仿宋" w:cs="仿宋"/>
          <w:sz w:val="22"/>
          <w:szCs w:val="28"/>
        </w:rPr>
        <w:t xml:space="preserve"> （带“★”的参数需求为实质性要求，供应商必须响应并满足的参数需求，采购人、采购代理机构应当根据项目实际需求合理设定，并明确具体要求。带“▲”号条款为允许负偏离的参数需求，若未响应或者不满足，将在综合评审中予以扣分处理。）</w:t>
      </w:r>
    </w:p>
    <w:p w14:paraId="2196BEFA">
      <w:pPr>
        <w:pStyle w:val="6"/>
        <w:outlineLvl w:val="2"/>
        <w:rPr>
          <w:rFonts w:hint="default" w:ascii="仿宋_GB2312" w:hAnsi="仿宋_GB2312" w:eastAsia="仿宋_GB2312" w:cs="仿宋_GB2312"/>
          <w:b/>
          <w:sz w:val="28"/>
        </w:rPr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07D3885A">
      <w:pPr>
        <w:pStyle w:val="6"/>
        <w:spacing w:line="360" w:lineRule="auto"/>
        <w:ind w:firstLine="440" w:firstLineChars="200"/>
        <w:outlineLvl w:val="2"/>
        <w:rPr>
          <w:rFonts w:hint="default" w:ascii="仿宋" w:hAnsi="仿宋" w:eastAsia="仿宋" w:cs="仿宋"/>
          <w:kern w:val="2"/>
          <w:sz w:val="22"/>
          <w:szCs w:val="28"/>
          <w:lang w:eastAsia="zh-CN"/>
        </w:rPr>
      </w:pPr>
      <w:r>
        <w:rPr>
          <w:rFonts w:ascii="仿宋" w:hAnsi="仿宋" w:eastAsia="仿宋" w:cs="仿宋"/>
          <w:kern w:val="2"/>
          <w:sz w:val="22"/>
          <w:szCs w:val="28"/>
          <w:lang w:eastAsia="zh-CN"/>
        </w:rPr>
        <w:t>本项目为临床检验室间质评品采购及技术服务项目，采购内容涵盖全血细胞计数（血液常规检验），尿液干化学分析（尿液常规检验），血型鉴定，常规化学检测等，具体内容及要求详见本谈判文件、答疑文件中所涵盖的全部服务内容。</w:t>
      </w:r>
    </w:p>
    <w:p w14:paraId="484FE16B">
      <w:pPr>
        <w:pStyle w:val="6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6AC98CA7">
      <w:pPr>
        <w:pStyle w:val="6"/>
        <w:spacing w:line="360" w:lineRule="auto"/>
        <w:rPr>
          <w:rFonts w:hint="default" w:ascii="仿宋" w:hAnsi="仿宋" w:eastAsia="仿宋" w:cs="仿宋"/>
          <w:kern w:val="2"/>
          <w:sz w:val="22"/>
          <w:szCs w:val="28"/>
          <w:lang w:eastAsia="zh-CN"/>
        </w:rPr>
      </w:pPr>
      <w:r>
        <w:rPr>
          <w:rFonts w:ascii="仿宋" w:hAnsi="仿宋" w:eastAsia="仿宋" w:cs="仿宋"/>
          <w:kern w:val="2"/>
          <w:sz w:val="22"/>
          <w:szCs w:val="28"/>
          <w:lang w:eastAsia="zh-CN"/>
        </w:rPr>
        <w:t>采购包1：</w:t>
      </w:r>
    </w:p>
    <w:p w14:paraId="56602A2D">
      <w:pPr>
        <w:pStyle w:val="6"/>
        <w:spacing w:line="360" w:lineRule="auto"/>
        <w:rPr>
          <w:rFonts w:hint="default" w:ascii="仿宋" w:hAnsi="仿宋" w:eastAsia="仿宋" w:cs="仿宋"/>
          <w:kern w:val="2"/>
          <w:sz w:val="22"/>
          <w:szCs w:val="28"/>
          <w:lang w:eastAsia="zh-CN"/>
        </w:rPr>
      </w:pPr>
      <w:r>
        <w:rPr>
          <w:rFonts w:ascii="仿宋" w:hAnsi="仿宋" w:eastAsia="仿宋" w:cs="仿宋"/>
          <w:kern w:val="2"/>
          <w:sz w:val="22"/>
          <w:szCs w:val="28"/>
          <w:lang w:eastAsia="zh-CN"/>
        </w:rPr>
        <w:t>采购包预算金额（元）: 330000.00元</w:t>
      </w:r>
    </w:p>
    <w:p w14:paraId="3BE1F7CA">
      <w:pPr>
        <w:pStyle w:val="6"/>
        <w:spacing w:line="360" w:lineRule="auto"/>
        <w:rPr>
          <w:rFonts w:hint="default" w:ascii="仿宋" w:hAnsi="仿宋" w:eastAsia="仿宋" w:cs="仿宋"/>
          <w:kern w:val="2"/>
          <w:sz w:val="22"/>
          <w:szCs w:val="28"/>
          <w:lang w:eastAsia="zh-CN"/>
        </w:rPr>
      </w:pPr>
      <w:r>
        <w:rPr>
          <w:rFonts w:ascii="仿宋" w:hAnsi="仿宋" w:eastAsia="仿宋" w:cs="仿宋"/>
          <w:kern w:val="2"/>
          <w:sz w:val="22"/>
          <w:szCs w:val="28"/>
          <w:lang w:eastAsia="zh-CN"/>
        </w:rPr>
        <w:t>采购包最高限价（元）: 330000.00元</w:t>
      </w:r>
    </w:p>
    <w:p w14:paraId="472796DA">
      <w:pPr>
        <w:pStyle w:val="6"/>
        <w:spacing w:line="360" w:lineRule="auto"/>
        <w:rPr>
          <w:rFonts w:hint="default" w:ascii="仿宋" w:hAnsi="仿宋" w:eastAsia="仿宋" w:cs="仿宋"/>
          <w:kern w:val="2"/>
          <w:sz w:val="22"/>
          <w:szCs w:val="28"/>
          <w:lang w:eastAsia="zh-CN"/>
        </w:rPr>
      </w:pPr>
      <w:r>
        <w:rPr>
          <w:rFonts w:ascii="仿宋" w:hAnsi="仿宋" w:eastAsia="仿宋" w:cs="仿宋"/>
          <w:kern w:val="2"/>
          <w:sz w:val="22"/>
          <w:szCs w:val="28"/>
          <w:lang w:eastAsia="zh-CN"/>
        </w:rPr>
        <w:t>供应商报价不允许超过标的金额</w:t>
      </w:r>
    </w:p>
    <w:p w14:paraId="7442CEB1">
      <w:pPr>
        <w:pStyle w:val="6"/>
        <w:spacing w:line="360" w:lineRule="auto"/>
        <w:rPr>
          <w:rFonts w:hint="default" w:ascii="仿宋" w:hAnsi="仿宋" w:eastAsia="仿宋" w:cs="仿宋"/>
          <w:kern w:val="2"/>
          <w:sz w:val="22"/>
          <w:szCs w:val="28"/>
          <w:lang w:eastAsia="zh-CN"/>
        </w:rPr>
      </w:pPr>
      <w:r>
        <w:rPr>
          <w:rFonts w:ascii="仿宋" w:hAnsi="仿宋" w:eastAsia="仿宋" w:cs="仿宋"/>
          <w:kern w:val="2"/>
          <w:sz w:val="22"/>
          <w:szCs w:val="28"/>
          <w:lang w:eastAsia="zh-CN"/>
        </w:rPr>
        <w:t>（招单价的）供应商报价不允许超过标的单价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811"/>
        <w:gridCol w:w="822"/>
        <w:gridCol w:w="1206"/>
        <w:gridCol w:w="812"/>
        <w:gridCol w:w="812"/>
        <w:gridCol w:w="812"/>
        <w:gridCol w:w="812"/>
        <w:gridCol w:w="812"/>
        <w:gridCol w:w="812"/>
      </w:tblGrid>
      <w:tr w14:paraId="2D8DC1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</w:tcPr>
          <w:p w14:paraId="1E104F07">
            <w:pPr>
              <w:pStyle w:val="6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sz w:val="22"/>
                <w:szCs w:val="22"/>
              </w:rPr>
              <w:t>序号</w:t>
            </w:r>
          </w:p>
        </w:tc>
        <w:tc>
          <w:tcPr>
            <w:tcW w:w="811" w:type="dxa"/>
          </w:tcPr>
          <w:p w14:paraId="3574CBC4">
            <w:pPr>
              <w:pStyle w:val="6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sz w:val="22"/>
                <w:szCs w:val="22"/>
              </w:rPr>
              <w:t>标的名称</w:t>
            </w:r>
          </w:p>
        </w:tc>
        <w:tc>
          <w:tcPr>
            <w:tcW w:w="822" w:type="dxa"/>
          </w:tcPr>
          <w:p w14:paraId="71CEBC50">
            <w:pPr>
              <w:pStyle w:val="6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sz w:val="22"/>
                <w:szCs w:val="22"/>
              </w:rPr>
              <w:t>数量</w:t>
            </w:r>
          </w:p>
        </w:tc>
        <w:tc>
          <w:tcPr>
            <w:tcW w:w="1206" w:type="dxa"/>
          </w:tcPr>
          <w:p w14:paraId="62734768">
            <w:pPr>
              <w:pStyle w:val="6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sz w:val="22"/>
                <w:szCs w:val="22"/>
              </w:rPr>
              <w:t>标的金额 （元）</w:t>
            </w:r>
          </w:p>
        </w:tc>
        <w:tc>
          <w:tcPr>
            <w:tcW w:w="812" w:type="dxa"/>
          </w:tcPr>
          <w:p w14:paraId="72F91889">
            <w:pPr>
              <w:pStyle w:val="6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sz w:val="22"/>
                <w:szCs w:val="22"/>
              </w:rPr>
              <w:t>计量单位</w:t>
            </w:r>
          </w:p>
        </w:tc>
        <w:tc>
          <w:tcPr>
            <w:tcW w:w="812" w:type="dxa"/>
          </w:tcPr>
          <w:p w14:paraId="4F8F9FA9">
            <w:pPr>
              <w:pStyle w:val="6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sz w:val="22"/>
                <w:szCs w:val="22"/>
              </w:rPr>
              <w:t>所属行业</w:t>
            </w:r>
          </w:p>
        </w:tc>
        <w:tc>
          <w:tcPr>
            <w:tcW w:w="812" w:type="dxa"/>
          </w:tcPr>
          <w:p w14:paraId="761E2EB1">
            <w:pPr>
              <w:pStyle w:val="6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sz w:val="22"/>
                <w:szCs w:val="22"/>
              </w:rPr>
              <w:t>是否核心产品</w:t>
            </w:r>
          </w:p>
        </w:tc>
        <w:tc>
          <w:tcPr>
            <w:tcW w:w="812" w:type="dxa"/>
          </w:tcPr>
          <w:p w14:paraId="24671137">
            <w:pPr>
              <w:pStyle w:val="6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sz w:val="22"/>
                <w:szCs w:val="22"/>
              </w:rPr>
              <w:t>是否允许进口产品</w:t>
            </w:r>
          </w:p>
        </w:tc>
        <w:tc>
          <w:tcPr>
            <w:tcW w:w="812" w:type="dxa"/>
          </w:tcPr>
          <w:p w14:paraId="281ACB22">
            <w:pPr>
              <w:pStyle w:val="6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sz w:val="22"/>
                <w:szCs w:val="22"/>
              </w:rPr>
              <w:t>是否属于节能产品</w:t>
            </w:r>
          </w:p>
        </w:tc>
        <w:tc>
          <w:tcPr>
            <w:tcW w:w="812" w:type="dxa"/>
          </w:tcPr>
          <w:p w14:paraId="249027F9">
            <w:pPr>
              <w:pStyle w:val="6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sz w:val="22"/>
                <w:szCs w:val="22"/>
              </w:rPr>
              <w:t>是否属于环境标志产品</w:t>
            </w:r>
          </w:p>
        </w:tc>
      </w:tr>
      <w:tr w14:paraId="0B9944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1" w:type="dxa"/>
          </w:tcPr>
          <w:p w14:paraId="42217234">
            <w:pPr>
              <w:pStyle w:val="6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sz w:val="22"/>
                <w:szCs w:val="22"/>
              </w:rPr>
              <w:t>1</w:t>
            </w:r>
          </w:p>
        </w:tc>
        <w:tc>
          <w:tcPr>
            <w:tcW w:w="811" w:type="dxa"/>
          </w:tcPr>
          <w:p w14:paraId="118C9B51">
            <w:pPr>
              <w:pStyle w:val="6"/>
              <w:rPr>
                <w:sz w:val="22"/>
                <w:szCs w:val="22"/>
                <w:lang w:eastAsia="zh-CN"/>
              </w:rPr>
            </w:pPr>
            <w:r>
              <w:rPr>
                <w:rFonts w:ascii="仿宋" w:hAnsi="仿宋" w:eastAsia="仿宋" w:cs="仿宋"/>
                <w:kern w:val="2"/>
                <w:sz w:val="22"/>
                <w:szCs w:val="28"/>
                <w:lang w:eastAsia="zh-CN"/>
              </w:rPr>
              <w:t>妇幼健康服务检验质量控制品采购</w:t>
            </w:r>
          </w:p>
        </w:tc>
        <w:tc>
          <w:tcPr>
            <w:tcW w:w="822" w:type="dxa"/>
          </w:tcPr>
          <w:p w14:paraId="2871CEB7">
            <w:pPr>
              <w:pStyle w:val="6"/>
              <w:jc w:val="right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sz w:val="22"/>
                <w:szCs w:val="22"/>
              </w:rPr>
              <w:t>1.00</w:t>
            </w:r>
          </w:p>
        </w:tc>
        <w:tc>
          <w:tcPr>
            <w:tcW w:w="1206" w:type="dxa"/>
          </w:tcPr>
          <w:p w14:paraId="10B11798">
            <w:pPr>
              <w:pStyle w:val="6"/>
              <w:jc w:val="right"/>
              <w:rPr>
                <w:sz w:val="22"/>
                <w:szCs w:val="22"/>
              </w:rPr>
            </w:pPr>
            <w:r>
              <w:rPr>
                <w:rFonts w:ascii="仿宋" w:hAnsi="仿宋" w:eastAsia="仿宋" w:cs="仿宋"/>
                <w:kern w:val="2"/>
                <w:sz w:val="22"/>
                <w:szCs w:val="28"/>
                <w:lang w:eastAsia="zh-CN"/>
              </w:rPr>
              <w:t>330000.00</w:t>
            </w:r>
          </w:p>
        </w:tc>
        <w:tc>
          <w:tcPr>
            <w:tcW w:w="812" w:type="dxa"/>
          </w:tcPr>
          <w:p w14:paraId="676552CD">
            <w:pPr>
              <w:pStyle w:val="6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sz w:val="22"/>
                <w:szCs w:val="22"/>
              </w:rPr>
              <w:t>项</w:t>
            </w:r>
          </w:p>
        </w:tc>
        <w:tc>
          <w:tcPr>
            <w:tcW w:w="812" w:type="dxa"/>
          </w:tcPr>
          <w:p w14:paraId="09931404">
            <w:pPr>
              <w:pStyle w:val="6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sz w:val="22"/>
                <w:szCs w:val="22"/>
              </w:rPr>
              <w:t>工业</w:t>
            </w:r>
          </w:p>
        </w:tc>
        <w:tc>
          <w:tcPr>
            <w:tcW w:w="812" w:type="dxa"/>
          </w:tcPr>
          <w:p w14:paraId="278751C2">
            <w:pPr>
              <w:pStyle w:val="6"/>
              <w:rPr>
                <w:sz w:val="22"/>
                <w:szCs w:val="22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812" w:type="dxa"/>
          </w:tcPr>
          <w:p w14:paraId="71B82CDE">
            <w:pPr>
              <w:pStyle w:val="6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sz w:val="22"/>
                <w:szCs w:val="22"/>
              </w:rPr>
              <w:t>否</w:t>
            </w:r>
          </w:p>
        </w:tc>
        <w:tc>
          <w:tcPr>
            <w:tcW w:w="812" w:type="dxa"/>
          </w:tcPr>
          <w:p w14:paraId="768F9C4E">
            <w:pPr>
              <w:pStyle w:val="6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sz w:val="22"/>
                <w:szCs w:val="22"/>
              </w:rPr>
              <w:t>否</w:t>
            </w:r>
          </w:p>
        </w:tc>
        <w:tc>
          <w:tcPr>
            <w:tcW w:w="812" w:type="dxa"/>
          </w:tcPr>
          <w:p w14:paraId="119BB105">
            <w:pPr>
              <w:pStyle w:val="6"/>
              <w:rPr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sz w:val="22"/>
                <w:szCs w:val="22"/>
              </w:rPr>
              <w:t>否</w:t>
            </w:r>
          </w:p>
        </w:tc>
      </w:tr>
    </w:tbl>
    <w:p w14:paraId="3E260909">
      <w:pPr>
        <w:pStyle w:val="6"/>
        <w:spacing w:line="360" w:lineRule="auto"/>
        <w:rPr>
          <w:rFonts w:hint="default" w:ascii="仿宋" w:hAnsi="仿宋" w:eastAsia="仿宋" w:cs="仿宋"/>
          <w:b/>
          <w:bCs/>
          <w:kern w:val="2"/>
          <w:sz w:val="22"/>
          <w:szCs w:val="28"/>
          <w:lang w:eastAsia="zh-CN"/>
        </w:rPr>
      </w:pPr>
      <w:r>
        <w:rPr>
          <w:rFonts w:ascii="仿宋" w:hAnsi="仿宋" w:eastAsia="仿宋" w:cs="仿宋"/>
          <w:b/>
          <w:bCs/>
          <w:kern w:val="2"/>
          <w:sz w:val="22"/>
          <w:szCs w:val="28"/>
          <w:lang w:eastAsia="zh-CN"/>
        </w:rPr>
        <w:t>3.3技术要求</w:t>
      </w:r>
    </w:p>
    <w:p w14:paraId="7BF7D385">
      <w:pPr>
        <w:pStyle w:val="6"/>
        <w:spacing w:line="360" w:lineRule="auto"/>
        <w:rPr>
          <w:rFonts w:hint="default" w:ascii="仿宋" w:hAnsi="仿宋" w:eastAsia="仿宋" w:cs="仿宋"/>
          <w:kern w:val="2"/>
          <w:sz w:val="22"/>
          <w:szCs w:val="28"/>
          <w:lang w:eastAsia="zh-CN"/>
        </w:rPr>
      </w:pPr>
      <w:r>
        <w:rPr>
          <w:rFonts w:ascii="仿宋" w:hAnsi="仿宋" w:eastAsia="仿宋" w:cs="仿宋"/>
          <w:kern w:val="2"/>
          <w:sz w:val="22"/>
          <w:szCs w:val="28"/>
          <w:lang w:eastAsia="zh-CN"/>
        </w:rPr>
        <w:t>采购包1：</w:t>
      </w:r>
    </w:p>
    <w:p w14:paraId="42A1A687">
      <w:pPr>
        <w:pStyle w:val="6"/>
        <w:spacing w:line="360" w:lineRule="auto"/>
        <w:rPr>
          <w:rFonts w:hint="default" w:ascii="仿宋" w:hAnsi="仿宋" w:eastAsia="仿宋" w:cs="仿宋"/>
          <w:kern w:val="2"/>
          <w:sz w:val="22"/>
          <w:szCs w:val="28"/>
          <w:lang w:eastAsia="zh-CN"/>
        </w:rPr>
      </w:pPr>
      <w:r>
        <w:rPr>
          <w:rFonts w:ascii="仿宋" w:hAnsi="仿宋" w:eastAsia="仿宋" w:cs="仿宋"/>
          <w:kern w:val="2"/>
          <w:sz w:val="22"/>
          <w:szCs w:val="28"/>
          <w:lang w:eastAsia="zh-CN"/>
        </w:rPr>
        <w:t>标的名称：妇幼健康服务检验质量控制品采购项目</w:t>
      </w:r>
    </w:p>
    <w:tbl>
      <w:tblPr>
        <w:tblStyle w:val="3"/>
        <w:tblW w:w="8994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2"/>
        <w:gridCol w:w="674"/>
        <w:gridCol w:w="7938"/>
      </w:tblGrid>
      <w:tr w14:paraId="41D40D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382" w:type="dxa"/>
          </w:tcPr>
          <w:p w14:paraId="45F9F64F">
            <w:pPr>
              <w:pStyle w:val="6"/>
              <w:rPr>
                <w:rFonts w:hint="default"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z w:val="22"/>
                <w:szCs w:val="22"/>
              </w:rPr>
              <w:t>序号</w:t>
            </w:r>
          </w:p>
        </w:tc>
        <w:tc>
          <w:tcPr>
            <w:tcW w:w="674" w:type="dxa"/>
          </w:tcPr>
          <w:p w14:paraId="6BB472F2">
            <w:pPr>
              <w:pStyle w:val="6"/>
              <w:rPr>
                <w:rFonts w:hint="default"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z w:val="22"/>
                <w:szCs w:val="22"/>
                <w:lang w:eastAsia="zh-CN"/>
              </w:rPr>
              <w:t>参</w:t>
            </w:r>
            <w:r>
              <w:rPr>
                <w:rFonts w:ascii="仿宋" w:hAnsi="仿宋" w:eastAsia="仿宋" w:cs="仿宋"/>
                <w:sz w:val="22"/>
                <w:szCs w:val="22"/>
              </w:rPr>
              <w:t>数性质</w:t>
            </w:r>
          </w:p>
        </w:tc>
        <w:tc>
          <w:tcPr>
            <w:tcW w:w="7938" w:type="dxa"/>
            <w:vAlign w:val="center"/>
          </w:tcPr>
          <w:p w14:paraId="1BA1A9E4">
            <w:pPr>
              <w:pStyle w:val="6"/>
              <w:jc w:val="center"/>
              <w:rPr>
                <w:rFonts w:hint="default"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z w:val="22"/>
                <w:szCs w:val="22"/>
              </w:rPr>
              <w:t>技术参数与性能指标</w:t>
            </w:r>
          </w:p>
        </w:tc>
      </w:tr>
      <w:tr w14:paraId="44074E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4" w:hRule="atLeast"/>
        </w:trPr>
        <w:tc>
          <w:tcPr>
            <w:tcW w:w="382" w:type="dxa"/>
          </w:tcPr>
          <w:p w14:paraId="2336BE60">
            <w:pPr>
              <w:pStyle w:val="6"/>
              <w:rPr>
                <w:rFonts w:hint="default"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ascii="仿宋" w:hAnsi="仿宋" w:eastAsia="仿宋" w:cs="仿宋"/>
                <w:sz w:val="22"/>
                <w:szCs w:val="22"/>
                <w:highlight w:val="none"/>
              </w:rPr>
              <w:t>1</w:t>
            </w:r>
          </w:p>
        </w:tc>
        <w:tc>
          <w:tcPr>
            <w:tcW w:w="674" w:type="dxa"/>
          </w:tcPr>
          <w:p w14:paraId="7CEC17BE">
            <w:pPr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</w:p>
        </w:tc>
        <w:tc>
          <w:tcPr>
            <w:tcW w:w="7938" w:type="dxa"/>
          </w:tcPr>
          <w:p w14:paraId="6EEBAC0E">
            <w:pPr>
              <w:spacing w:line="312" w:lineRule="auto"/>
              <w:rPr>
                <w:rFonts w:ascii="仿宋" w:hAnsi="仿宋" w:eastAsia="仿宋" w:cs="仿宋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2"/>
                <w:szCs w:val="22"/>
                <w:highlight w:val="none"/>
              </w:rPr>
              <w:t>一、质评项目</w:t>
            </w:r>
          </w:p>
          <w:p w14:paraId="5B33C738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全血细胞计数（血液常规检验），尿液干化学分析（尿液常规检验），血型鉴定，常规化学检测，免疫学乙型肝炎五项和梅毒检测，优生优育免疫学检测，内分泌（甲状腺功能），HPV检测。</w:t>
            </w:r>
          </w:p>
          <w:p w14:paraId="5991FA0A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具体项目包含如下：</w:t>
            </w:r>
          </w:p>
          <w:p w14:paraId="493FABE7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1、全血细胞计数（血液常规检验）</w:t>
            </w:r>
          </w:p>
          <w:p w14:paraId="2F0F698E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白细胞数（WBC）、红细胞数（RBC）、血红蛋白浓度（HGB）、血小板数（PLT）、红细胞压积（HCT）、平均红细胞体积（MCV）、平均血红蛋白含量（MCH）、平均血红蛋白浓度（MCHC）</w:t>
            </w:r>
          </w:p>
          <w:p w14:paraId="54B700A1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2、尿液干化学分析（尿液常规检验）</w:t>
            </w:r>
          </w:p>
          <w:p w14:paraId="0BD0151E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PH值（PH）、比重（SG）、蛋白（PRO）、胆红素（BIL）、葡萄糖（GLU）、酮体（KET）、隐血（BLD）、亚硝酸盐（NIT）、尿胆原（URO）、白细胞定性（WBC）。</w:t>
            </w:r>
          </w:p>
          <w:p w14:paraId="653252A2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3、血型鉴定：A、B、AB、O、Rh（-）、Rh（+）</w:t>
            </w:r>
          </w:p>
          <w:p w14:paraId="2957EA49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ABO血型鉴定（正定、反定）和RH血型鉴定</w:t>
            </w:r>
          </w:p>
          <w:p w14:paraId="3A0EA0F8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4、常规化学检测：</w:t>
            </w:r>
          </w:p>
          <w:p w14:paraId="31C0273D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肝功能谷氨酸氨基转移酶（ALT）、血清葡萄糖（GLU）、肾功能肌酐(Cr)</w:t>
            </w:r>
          </w:p>
          <w:p w14:paraId="4CC4D19B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5、免疫学乙型肝炎五项和梅毒检测</w:t>
            </w:r>
          </w:p>
          <w:p w14:paraId="43D24CE1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乙肝五项：乙肝表面抗原（HBsAg）、乙肝表面抗体（HBsAb）、乙肝e抗原（HBeAg）、乙肝e抗体（HBeAb）、乙肝核心抗体（HBcAb）;</w:t>
            </w:r>
          </w:p>
          <w:p w14:paraId="798AFE58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梅毒螺旋体抗体（TP-Ab）</w:t>
            </w:r>
          </w:p>
          <w:p w14:paraId="4ED25225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6、优生优育免疫学检测</w:t>
            </w:r>
          </w:p>
          <w:p w14:paraId="4404E8DF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弓形虫（TG）IgG、IgM，巨细胞病毒（CV）IgG、IgM，风疹病毒（RV）IgG、IgM</w:t>
            </w:r>
          </w:p>
          <w:p w14:paraId="40C81CC5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7、内分泌（甲状腺功能）</w:t>
            </w:r>
          </w:p>
          <w:p w14:paraId="0056A7B1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促甲状腺激素（TSH）</w:t>
            </w:r>
          </w:p>
          <w:p w14:paraId="34D1B044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核心产品8、HPV检测（定性评价项目）</w:t>
            </w:r>
          </w:p>
          <w:p w14:paraId="4C3DD622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HPV试剂包含13+2种中高危型别（HPV16、18、31、33、35、39、45、51、52、56、58、59、66、68），每个质控试剂中最少包含两种型别</w:t>
            </w:r>
          </w:p>
          <w:p w14:paraId="3EC524E1">
            <w:pPr>
              <w:spacing w:line="312" w:lineRule="auto"/>
              <w:rPr>
                <w:rFonts w:ascii="仿宋" w:hAnsi="仿宋" w:eastAsia="仿宋" w:cs="仿宋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2"/>
                <w:szCs w:val="22"/>
                <w:highlight w:val="none"/>
              </w:rPr>
              <w:t>二、室间质评品规格要求</w:t>
            </w:r>
          </w:p>
          <w:p w14:paraId="34F77955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1、血液学质控物：规格1.5ml*5支/盒，5支要求分高中低三个浓度水平，可随意搭配。</w:t>
            </w:r>
          </w:p>
          <w:p w14:paraId="6CDA6987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2、尿液常规质控物：规格8ml*5支/盒，可做11项，5支浓度（阴阳性）可选择，</w:t>
            </w:r>
          </w:p>
          <w:p w14:paraId="68168BEF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3、血型：规格1.5ml*5支*盒（正定型）5支ABO血型、1.5ml*5支*盒（反定型）5支ABO血型和Rh（D）可按医院要求定制。</w:t>
            </w:r>
          </w:p>
          <w:p w14:paraId="4CFA4A7B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4、生化：冻干粉，规格3ml*5支/盒，5支要求分高中低三个浓度水平</w:t>
            </w:r>
          </w:p>
          <w:p w14:paraId="369928BC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5、乙肝五项：</w:t>
            </w:r>
          </w:p>
          <w:p w14:paraId="7EAABE54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HBsAg:规格1ml*5支。HBsAb: 规格1ml*5支。HBeAg: 规格1ml*5支。</w:t>
            </w:r>
          </w:p>
          <w:p w14:paraId="4D722645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HBeAb: 规格1ml*5支。HBcAb: 规格1ml*5支。阴阳性可定制。</w:t>
            </w:r>
          </w:p>
          <w:p w14:paraId="2D45B81B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6、梅毒，规格1ml*5支/盒，阴阳性可定制。</w:t>
            </w:r>
          </w:p>
          <w:p w14:paraId="10542F3C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7、TSH：规格1ml*5支/盒，分高中低三个浓度水平。</w:t>
            </w:r>
          </w:p>
          <w:p w14:paraId="444A8153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8、TORCH,IgM: 规格600微升/支*5支，阴阳性可定制。</w:t>
            </w:r>
          </w:p>
          <w:p w14:paraId="783F9F3B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9、TORCH,IgG: 规格300微升/支*5支，阴阳性可定制。</w:t>
            </w:r>
          </w:p>
          <w:p w14:paraId="197947D4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核心产品10、HPV试剂: 规格1ml*5支/盒,包含13+2种高危型别（HPV16、18、31、33、35、39、45、51、52、56、58、59、66、68），每个质控试剂中最少包含两种型别。</w:t>
            </w:r>
          </w:p>
          <w:p w14:paraId="36760F59">
            <w:pPr>
              <w:spacing w:line="312" w:lineRule="auto"/>
              <w:rPr>
                <w:rFonts w:ascii="仿宋" w:hAnsi="仿宋" w:eastAsia="仿宋" w:cs="仿宋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2"/>
                <w:szCs w:val="22"/>
                <w:highlight w:val="none"/>
              </w:rPr>
              <w:t>三、技术服务要求</w:t>
            </w:r>
          </w:p>
          <w:p w14:paraId="302F8D51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1、参加公司必须提供近三年（2022年6月1日至谈判响应时间）类似室间质评业绩，需提供合同原件和中标通知书的原件扫描件。</w:t>
            </w:r>
          </w:p>
          <w:p w14:paraId="6A5D8F85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 xml:space="preserve">2、质评品为非定值。 </w:t>
            </w:r>
          </w:p>
          <w:p w14:paraId="2A59845B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3、具有质评品定制、分装、冷链运输能力,质评品标签和编号按照要求能够定做。能够提供冷链运输温度打印记录，并按照要求一对一送达指定地点，送达后提供签收单据。运送途中质评品外溢、蒸发和污染等成交单位应按实际情况进行补发或赔偿。</w:t>
            </w:r>
          </w:p>
          <w:p w14:paraId="4E08F798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4、参加公司需按要求进行室间质评数据结果统计分析。并提供纸质版和电子版室间质评活动统计结果。</w:t>
            </w:r>
          </w:p>
          <w:p w14:paraId="1513CFCD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5、全年进行婚孕检两次室间质评，每次数量28套（共8大项，9小项,每个小项有5个水平的质评品），全年共计：56套。</w:t>
            </w:r>
          </w:p>
          <w:p w14:paraId="70625FA4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6、全年进行HPV两次室间质评，第一次65套，第二次30套； HPV试剂数量共计：95套（每套有5个水平的质评品））。</w:t>
            </w:r>
          </w:p>
          <w:p w14:paraId="55050562">
            <w:pPr>
              <w:spacing w:line="312" w:lineRule="auto"/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7、成交单位必须对质控项目相关情况保密，不得外泄信息。</w:t>
            </w:r>
          </w:p>
          <w:p w14:paraId="49E5C505">
            <w:pPr>
              <w:spacing w:line="312" w:lineRule="auto"/>
              <w:rPr>
                <w:rFonts w:ascii="仿宋" w:hAnsi="仿宋" w:eastAsia="仿宋" w:cs="仿宋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2"/>
                <w:szCs w:val="22"/>
                <w:highlight w:val="none"/>
              </w:rPr>
              <w:t>四、质评品数量及规格</w:t>
            </w:r>
          </w:p>
          <w:tbl>
            <w:tblPr>
              <w:tblStyle w:val="4"/>
              <w:tblW w:w="7697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84"/>
              <w:gridCol w:w="865"/>
              <w:gridCol w:w="3331"/>
              <w:gridCol w:w="1177"/>
              <w:gridCol w:w="1540"/>
            </w:tblGrid>
            <w:tr w14:paraId="3532185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6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6D69BF95">
                  <w:pPr>
                    <w:jc w:val="center"/>
                    <w:rPr>
                      <w:rFonts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</w:rPr>
                    <w:t>序号</w:t>
                  </w:r>
                </w:p>
              </w:tc>
              <w:tc>
                <w:tcPr>
                  <w:tcW w:w="865" w:type="dxa"/>
                  <w:vAlign w:val="center"/>
                </w:tcPr>
                <w:p w14:paraId="3E3CDADB">
                  <w:pPr>
                    <w:jc w:val="center"/>
                    <w:rPr>
                      <w:rFonts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</w:rPr>
                    <w:t>批次</w:t>
                  </w:r>
                </w:p>
              </w:tc>
              <w:tc>
                <w:tcPr>
                  <w:tcW w:w="3331" w:type="dxa"/>
                  <w:vAlign w:val="center"/>
                </w:tcPr>
                <w:p w14:paraId="5745CF12">
                  <w:pPr>
                    <w:jc w:val="center"/>
                    <w:rPr>
                      <w:rFonts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</w:rPr>
                    <w:t>采购内容</w:t>
                  </w:r>
                </w:p>
              </w:tc>
              <w:tc>
                <w:tcPr>
                  <w:tcW w:w="1177" w:type="dxa"/>
                  <w:vAlign w:val="center"/>
                </w:tcPr>
                <w:p w14:paraId="5B9F62F4">
                  <w:pPr>
                    <w:jc w:val="center"/>
                    <w:rPr>
                      <w:rFonts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</w:rPr>
                    <w:t>数量</w:t>
                  </w:r>
                </w:p>
              </w:tc>
              <w:tc>
                <w:tcPr>
                  <w:tcW w:w="1540" w:type="dxa"/>
                  <w:vAlign w:val="center"/>
                </w:tcPr>
                <w:p w14:paraId="6EEEAF19">
                  <w:pPr>
                    <w:jc w:val="center"/>
                    <w:rPr>
                      <w:rFonts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</w:rPr>
                    <w:t>规格</w:t>
                  </w:r>
                </w:p>
              </w:tc>
            </w:tr>
            <w:tr w14:paraId="687B8E0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10D5DE18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1</w:t>
                  </w:r>
                </w:p>
              </w:tc>
              <w:tc>
                <w:tcPr>
                  <w:tcW w:w="865" w:type="dxa"/>
                  <w:vMerge w:val="restart"/>
                  <w:vAlign w:val="center"/>
                </w:tcPr>
                <w:p w14:paraId="48DE2DCE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  <w:p w14:paraId="2471713C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第</w:t>
                  </w:r>
                </w:p>
                <w:p w14:paraId="303682B5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一</w:t>
                  </w:r>
                </w:p>
                <w:p w14:paraId="5D14A30A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批</w:t>
                  </w:r>
                </w:p>
              </w:tc>
              <w:tc>
                <w:tcPr>
                  <w:tcW w:w="3331" w:type="dxa"/>
                  <w:vAlign w:val="center"/>
                </w:tcPr>
                <w:p w14:paraId="20774091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全血细胞计数质控品</w:t>
                  </w:r>
                </w:p>
              </w:tc>
              <w:tc>
                <w:tcPr>
                  <w:tcW w:w="1177" w:type="dxa"/>
                  <w:vAlign w:val="center"/>
                </w:tcPr>
                <w:p w14:paraId="0A7864C6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50E57A8B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2576504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6631261D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3D19D222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126E58F7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尿液干化学质评品</w:t>
                  </w:r>
                </w:p>
              </w:tc>
              <w:tc>
                <w:tcPr>
                  <w:tcW w:w="1177" w:type="dxa"/>
                  <w:vAlign w:val="center"/>
                </w:tcPr>
                <w:p w14:paraId="6EAF7EA5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0AB71ED3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4FB4234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158967A5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3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1582CCA1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3870D491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血型（反定型）质评品</w:t>
                  </w:r>
                </w:p>
              </w:tc>
              <w:tc>
                <w:tcPr>
                  <w:tcW w:w="1177" w:type="dxa"/>
                  <w:vAlign w:val="center"/>
                </w:tcPr>
                <w:p w14:paraId="50BF683F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6010211F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104AB88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4B4396ED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4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5FE32378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12BF3AA2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血型（正定型）质评品</w:t>
                  </w:r>
                </w:p>
              </w:tc>
              <w:tc>
                <w:tcPr>
                  <w:tcW w:w="1177" w:type="dxa"/>
                  <w:vAlign w:val="center"/>
                </w:tcPr>
                <w:p w14:paraId="62D6BDEA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132180C6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46B031A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44375463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27B62ED5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247CCE9C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常规化学质评品</w:t>
                  </w:r>
                </w:p>
              </w:tc>
              <w:tc>
                <w:tcPr>
                  <w:tcW w:w="1177" w:type="dxa"/>
                  <w:vAlign w:val="center"/>
                </w:tcPr>
                <w:p w14:paraId="6E9D24B4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0EAD58D2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502232F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388010F3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6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7B0C8FDC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441C3AFB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乙型肝炎病毒五项质评品</w:t>
                  </w:r>
                </w:p>
              </w:tc>
              <w:tc>
                <w:tcPr>
                  <w:tcW w:w="1177" w:type="dxa"/>
                  <w:vAlign w:val="center"/>
                </w:tcPr>
                <w:p w14:paraId="17383179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71C7CF71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3C3544D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4CE7ACBE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7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3B8C219D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3CC6ED8A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梅毒螺旋体抗体质评品</w:t>
                  </w:r>
                </w:p>
              </w:tc>
              <w:tc>
                <w:tcPr>
                  <w:tcW w:w="1177" w:type="dxa"/>
                  <w:vAlign w:val="center"/>
                </w:tcPr>
                <w:p w14:paraId="55B2404C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7AC1EAEC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180B03B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505A4240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8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49F27C59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7F9F30C0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优生优育（TORCH）质评品（IgG)</w:t>
                  </w:r>
                </w:p>
              </w:tc>
              <w:tc>
                <w:tcPr>
                  <w:tcW w:w="1177" w:type="dxa"/>
                  <w:vAlign w:val="center"/>
                </w:tcPr>
                <w:p w14:paraId="46033A33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15B826EB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540A172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7972B297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9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426019BD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0A219A6C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优生优育（TORCH）质评品（IgM)</w:t>
                  </w:r>
                </w:p>
              </w:tc>
              <w:tc>
                <w:tcPr>
                  <w:tcW w:w="1177" w:type="dxa"/>
                  <w:vAlign w:val="center"/>
                </w:tcPr>
                <w:p w14:paraId="5A957751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45E54E78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6D2EE99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7A9E6335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10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0D5D4199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7B45EE7F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促甲状腺激素（TSH）质评品</w:t>
                  </w:r>
                </w:p>
              </w:tc>
              <w:tc>
                <w:tcPr>
                  <w:tcW w:w="1177" w:type="dxa"/>
                  <w:vAlign w:val="center"/>
                </w:tcPr>
                <w:p w14:paraId="65F5462F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5C61331A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2886DB8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63D8E218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11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25CC6003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651F13A5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HPV(13+2)</w:t>
                  </w:r>
                </w:p>
              </w:tc>
              <w:tc>
                <w:tcPr>
                  <w:tcW w:w="1177" w:type="dxa"/>
                  <w:vAlign w:val="center"/>
                </w:tcPr>
                <w:p w14:paraId="0EEAEC0F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65</w:t>
                  </w:r>
                </w:p>
              </w:tc>
              <w:tc>
                <w:tcPr>
                  <w:tcW w:w="1540" w:type="dxa"/>
                  <w:vAlign w:val="center"/>
                </w:tcPr>
                <w:p w14:paraId="043C3DCD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7341759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10E90EFD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1</w:t>
                  </w:r>
                </w:p>
              </w:tc>
              <w:tc>
                <w:tcPr>
                  <w:tcW w:w="865" w:type="dxa"/>
                  <w:vMerge w:val="restart"/>
                  <w:vAlign w:val="center"/>
                </w:tcPr>
                <w:p w14:paraId="7DB5917B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  <w:p w14:paraId="0CEB83FA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  <w:p w14:paraId="15A8F629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第</w:t>
                  </w:r>
                </w:p>
                <w:p w14:paraId="0D2BBB8D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二</w:t>
                  </w:r>
                </w:p>
                <w:p w14:paraId="43FA8694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批</w:t>
                  </w:r>
                </w:p>
              </w:tc>
              <w:tc>
                <w:tcPr>
                  <w:tcW w:w="3331" w:type="dxa"/>
                  <w:vAlign w:val="center"/>
                </w:tcPr>
                <w:p w14:paraId="463B6D4D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全血细胞计数质控品</w:t>
                  </w:r>
                </w:p>
              </w:tc>
              <w:tc>
                <w:tcPr>
                  <w:tcW w:w="1177" w:type="dxa"/>
                  <w:vAlign w:val="center"/>
                </w:tcPr>
                <w:p w14:paraId="18C8E041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562F4699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39E9257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4CEBE3C8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09E56565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25AB1A37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尿液干化学质评品</w:t>
                  </w:r>
                </w:p>
              </w:tc>
              <w:tc>
                <w:tcPr>
                  <w:tcW w:w="1177" w:type="dxa"/>
                  <w:vAlign w:val="center"/>
                </w:tcPr>
                <w:p w14:paraId="198E3F2F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3E28F57B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1D7B652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00ECC0D0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3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64A02E76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66521FD3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血型（反定型）质评品</w:t>
                  </w:r>
                </w:p>
              </w:tc>
              <w:tc>
                <w:tcPr>
                  <w:tcW w:w="1177" w:type="dxa"/>
                  <w:vAlign w:val="center"/>
                </w:tcPr>
                <w:p w14:paraId="71BA8D0D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616E29A2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07CC15C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3516B04B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4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49FD602D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0D9F8F84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血型（正定型）质评品</w:t>
                  </w:r>
                </w:p>
              </w:tc>
              <w:tc>
                <w:tcPr>
                  <w:tcW w:w="1177" w:type="dxa"/>
                  <w:vAlign w:val="center"/>
                </w:tcPr>
                <w:p w14:paraId="6F0BA0B0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7430747E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5AB3A16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4F12362C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6ACE93BE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67B3CD90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常规化学质评品</w:t>
                  </w:r>
                </w:p>
              </w:tc>
              <w:tc>
                <w:tcPr>
                  <w:tcW w:w="1177" w:type="dxa"/>
                  <w:vAlign w:val="center"/>
                </w:tcPr>
                <w:p w14:paraId="3D50C772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7C5FFA2C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4F41DBA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7E335AD2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6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324DBAAB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5106A72D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乙型肝炎病毒五项质评品</w:t>
                  </w:r>
                </w:p>
              </w:tc>
              <w:tc>
                <w:tcPr>
                  <w:tcW w:w="1177" w:type="dxa"/>
                  <w:vAlign w:val="center"/>
                </w:tcPr>
                <w:p w14:paraId="7B8D76C3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0E0A92FD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4A3A905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3A88146F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7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1C96D327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3E34AE9C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梅毒螺旋体抗体质评品</w:t>
                  </w:r>
                </w:p>
              </w:tc>
              <w:tc>
                <w:tcPr>
                  <w:tcW w:w="1177" w:type="dxa"/>
                  <w:vAlign w:val="center"/>
                </w:tcPr>
                <w:p w14:paraId="05E11349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2FAC2B50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206767A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1346A675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8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3DFA1650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7FF4FF5B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优生优育（TORCH）质评品（IgG)</w:t>
                  </w:r>
                </w:p>
              </w:tc>
              <w:tc>
                <w:tcPr>
                  <w:tcW w:w="1177" w:type="dxa"/>
                  <w:vAlign w:val="center"/>
                </w:tcPr>
                <w:p w14:paraId="2FB1ADC3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3AA2D4C1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5D7AC68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1C328552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9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5C6865BC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389C61AC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优生优育（TORCH）质评品（IgM)</w:t>
                  </w:r>
                </w:p>
              </w:tc>
              <w:tc>
                <w:tcPr>
                  <w:tcW w:w="1177" w:type="dxa"/>
                  <w:vAlign w:val="center"/>
                </w:tcPr>
                <w:p w14:paraId="78715B56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27E773FB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3B7A9C9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5E891797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10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1A72061F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5B89A867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促甲状腺激素（TSH）质评品</w:t>
                  </w:r>
                </w:p>
              </w:tc>
              <w:tc>
                <w:tcPr>
                  <w:tcW w:w="1177" w:type="dxa"/>
                  <w:vAlign w:val="center"/>
                </w:tcPr>
                <w:p w14:paraId="1FB6FE23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28</w:t>
                  </w:r>
                </w:p>
              </w:tc>
              <w:tc>
                <w:tcPr>
                  <w:tcW w:w="1540" w:type="dxa"/>
                  <w:vAlign w:val="center"/>
                </w:tcPr>
                <w:p w14:paraId="3314EC69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  <w:tr w14:paraId="4AFDA54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7" w:hRule="atLeast"/>
                <w:jc w:val="center"/>
              </w:trPr>
              <w:tc>
                <w:tcPr>
                  <w:tcW w:w="784" w:type="dxa"/>
                  <w:vAlign w:val="center"/>
                </w:tcPr>
                <w:p w14:paraId="4F5D4572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11</w:t>
                  </w:r>
                </w:p>
              </w:tc>
              <w:tc>
                <w:tcPr>
                  <w:tcW w:w="865" w:type="dxa"/>
                  <w:vMerge w:val="continue"/>
                  <w:vAlign w:val="center"/>
                </w:tcPr>
                <w:p w14:paraId="15155736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</w:p>
              </w:tc>
              <w:tc>
                <w:tcPr>
                  <w:tcW w:w="3331" w:type="dxa"/>
                  <w:vAlign w:val="center"/>
                </w:tcPr>
                <w:p w14:paraId="65555413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HPV(13+2)</w:t>
                  </w:r>
                </w:p>
              </w:tc>
              <w:tc>
                <w:tcPr>
                  <w:tcW w:w="1177" w:type="dxa"/>
                  <w:vAlign w:val="center"/>
                </w:tcPr>
                <w:p w14:paraId="4EAD330A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30</w:t>
                  </w:r>
                </w:p>
              </w:tc>
              <w:tc>
                <w:tcPr>
                  <w:tcW w:w="1540" w:type="dxa"/>
                  <w:vAlign w:val="center"/>
                </w:tcPr>
                <w:p w14:paraId="34954814">
                  <w:pPr>
                    <w:jc w:val="center"/>
                    <w:rPr>
                      <w:rFonts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  <w:t>5个浓度水平</w:t>
                  </w:r>
                </w:p>
              </w:tc>
            </w:tr>
          </w:tbl>
          <w:p w14:paraId="1A50337F">
            <w:pPr>
              <w:rPr>
                <w:rFonts w:ascii="仿宋" w:hAnsi="仿宋" w:eastAsia="仿宋" w:cs="仿宋"/>
                <w:sz w:val="22"/>
                <w:szCs w:val="22"/>
                <w:highlight w:val="none"/>
              </w:rPr>
            </w:pPr>
          </w:p>
        </w:tc>
      </w:tr>
    </w:tbl>
    <w:p w14:paraId="5071CE28">
      <w:pPr>
        <w:pStyle w:val="6"/>
        <w:spacing w:line="360" w:lineRule="auto"/>
        <w:outlineLvl w:val="2"/>
        <w:rPr>
          <w:sz w:val="22"/>
          <w:szCs w:val="22"/>
          <w:highlight w:val="none"/>
        </w:rPr>
      </w:pPr>
      <w:r>
        <w:rPr>
          <w:rFonts w:ascii="仿宋_GB2312" w:hAnsi="仿宋_GB2312" w:eastAsia="仿宋_GB2312" w:cs="仿宋_GB2312"/>
          <w:b/>
          <w:sz w:val="22"/>
          <w:szCs w:val="22"/>
          <w:highlight w:val="none"/>
        </w:rPr>
        <w:t>3.4商务要求</w:t>
      </w:r>
    </w:p>
    <w:p w14:paraId="2F03E4DF">
      <w:pPr>
        <w:pStyle w:val="6"/>
        <w:spacing w:line="360" w:lineRule="auto"/>
        <w:outlineLvl w:val="3"/>
        <w:rPr>
          <w:sz w:val="22"/>
          <w:szCs w:val="22"/>
          <w:highlight w:val="none"/>
        </w:rPr>
      </w:pPr>
      <w:r>
        <w:rPr>
          <w:rFonts w:ascii="仿宋_GB2312" w:hAnsi="仿宋_GB2312" w:eastAsia="仿宋_GB2312" w:cs="仿宋_GB2312"/>
          <w:b/>
          <w:sz w:val="22"/>
          <w:szCs w:val="22"/>
          <w:highlight w:val="none"/>
        </w:rPr>
        <w:t>3.4.1交货时间</w:t>
      </w:r>
    </w:p>
    <w:p w14:paraId="1F91A256">
      <w:pPr>
        <w:pStyle w:val="6"/>
        <w:spacing w:line="360" w:lineRule="auto"/>
        <w:rPr>
          <w:sz w:val="22"/>
          <w:szCs w:val="22"/>
          <w:highlight w:val="none"/>
        </w:rPr>
      </w:pPr>
      <w:r>
        <w:rPr>
          <w:rFonts w:ascii="仿宋_GB2312" w:hAnsi="仿宋_GB2312" w:eastAsia="仿宋_GB2312" w:cs="仿宋_GB2312"/>
          <w:sz w:val="22"/>
          <w:szCs w:val="22"/>
          <w:highlight w:val="none"/>
        </w:rPr>
        <w:t>采购包1：</w:t>
      </w:r>
    </w:p>
    <w:p w14:paraId="7823089D">
      <w:pPr>
        <w:pStyle w:val="6"/>
        <w:spacing w:line="360" w:lineRule="auto"/>
        <w:rPr>
          <w:sz w:val="22"/>
          <w:szCs w:val="22"/>
          <w:highlight w:val="none"/>
        </w:rPr>
      </w:pPr>
      <w:r>
        <w:rPr>
          <w:rFonts w:ascii="仿宋_GB2312" w:hAnsi="仿宋_GB2312" w:eastAsia="仿宋_GB2312" w:cs="仿宋_GB2312"/>
          <w:sz w:val="22"/>
          <w:szCs w:val="22"/>
          <w:highlight w:val="none"/>
          <w:lang w:eastAsia="zh-CN"/>
        </w:rPr>
        <w:t>本项目服务期1年，产品</w:t>
      </w:r>
      <w:r>
        <w:rPr>
          <w:rFonts w:ascii="仿宋_GB2312" w:hAnsi="仿宋_GB2312" w:eastAsia="仿宋_GB2312" w:cs="仿宋_GB2312"/>
          <w:sz w:val="22"/>
          <w:szCs w:val="22"/>
          <w:highlight w:val="none"/>
        </w:rPr>
        <w:t>自接到</w:t>
      </w:r>
      <w:r>
        <w:rPr>
          <w:rFonts w:ascii="仿宋_GB2312" w:hAnsi="仿宋_GB2312" w:eastAsia="仿宋_GB2312" w:cs="仿宋_GB2312"/>
          <w:sz w:val="22"/>
          <w:szCs w:val="22"/>
          <w:highlight w:val="none"/>
          <w:lang w:eastAsia="zh-CN"/>
        </w:rPr>
        <w:t>采购人</w:t>
      </w:r>
      <w:r>
        <w:rPr>
          <w:rFonts w:ascii="仿宋_GB2312" w:hAnsi="仿宋_GB2312" w:eastAsia="仿宋_GB2312" w:cs="仿宋_GB2312"/>
          <w:sz w:val="22"/>
          <w:szCs w:val="22"/>
          <w:highlight w:val="none"/>
        </w:rPr>
        <w:t>通知后</w:t>
      </w:r>
      <w:r>
        <w:rPr>
          <w:rFonts w:ascii="仿宋_GB2312" w:hAnsi="仿宋_GB2312" w:eastAsia="仿宋_GB2312" w:cs="仿宋_GB2312"/>
          <w:sz w:val="22"/>
          <w:szCs w:val="22"/>
          <w:highlight w:val="none"/>
          <w:lang w:eastAsia="zh-CN"/>
        </w:rPr>
        <w:t>7 个日历日</w:t>
      </w:r>
      <w:r>
        <w:rPr>
          <w:rFonts w:ascii="仿宋_GB2312" w:hAnsi="仿宋_GB2312" w:eastAsia="仿宋_GB2312" w:cs="仿宋_GB2312"/>
          <w:sz w:val="22"/>
          <w:szCs w:val="22"/>
          <w:highlight w:val="none"/>
        </w:rPr>
        <w:t>内配送至指定地点。</w:t>
      </w:r>
    </w:p>
    <w:p w14:paraId="6734C0FD">
      <w:pPr>
        <w:pStyle w:val="6"/>
        <w:spacing w:line="360" w:lineRule="auto"/>
        <w:outlineLvl w:val="3"/>
        <w:rPr>
          <w:sz w:val="22"/>
          <w:szCs w:val="22"/>
        </w:rPr>
      </w:pPr>
      <w:r>
        <w:rPr>
          <w:rFonts w:ascii="仿宋_GB2312" w:hAnsi="仿宋_GB2312" w:eastAsia="仿宋_GB2312" w:cs="仿宋_GB2312"/>
          <w:b/>
          <w:sz w:val="22"/>
          <w:szCs w:val="22"/>
          <w:highlight w:val="none"/>
        </w:rPr>
        <w:t>3.4.2交货地点和方式</w:t>
      </w:r>
    </w:p>
    <w:p w14:paraId="35B9F316">
      <w:pPr>
        <w:pStyle w:val="6"/>
        <w:spacing w:line="360" w:lineRule="auto"/>
        <w:rPr>
          <w:sz w:val="22"/>
          <w:szCs w:val="22"/>
        </w:rPr>
      </w:pPr>
      <w:r>
        <w:rPr>
          <w:rFonts w:ascii="仿宋_GB2312" w:hAnsi="仿宋_GB2312" w:eastAsia="仿宋_GB2312" w:cs="仿宋_GB2312"/>
          <w:sz w:val="22"/>
          <w:szCs w:val="22"/>
        </w:rPr>
        <w:t>采购包1：</w:t>
      </w:r>
    </w:p>
    <w:p w14:paraId="7AA25299">
      <w:pPr>
        <w:pStyle w:val="6"/>
        <w:spacing w:line="360" w:lineRule="auto"/>
        <w:rPr>
          <w:rFonts w:hint="default" w:ascii="仿宋_GB2312" w:hAnsi="仿宋_GB2312" w:eastAsia="仿宋_GB2312" w:cs="仿宋_GB2312"/>
          <w:sz w:val="22"/>
          <w:szCs w:val="22"/>
          <w:lang w:eastAsia="zh-CN"/>
        </w:rPr>
      </w:pPr>
      <w:r>
        <w:rPr>
          <w:rFonts w:ascii="仿宋_GB2312" w:hAnsi="仿宋_GB2312" w:eastAsia="仿宋_GB2312" w:cs="仿宋_GB2312"/>
          <w:sz w:val="22"/>
          <w:szCs w:val="22"/>
          <w:lang w:eastAsia="zh-CN"/>
        </w:rPr>
        <w:t>西安市妇幼保健院</w:t>
      </w:r>
      <w:r>
        <w:rPr>
          <w:rFonts w:ascii="仿宋_GB2312" w:hAnsi="仿宋_GB2312" w:eastAsia="仿宋_GB2312" w:cs="仿宋_GB2312"/>
          <w:sz w:val="22"/>
          <w:szCs w:val="22"/>
        </w:rPr>
        <w:t>（采购人指定地点）</w:t>
      </w:r>
      <w:r>
        <w:rPr>
          <w:rFonts w:ascii="仿宋_GB2312" w:hAnsi="仿宋_GB2312" w:eastAsia="仿宋_GB2312" w:cs="仿宋_GB2312"/>
          <w:sz w:val="22"/>
          <w:szCs w:val="22"/>
          <w:lang w:eastAsia="zh-CN"/>
        </w:rPr>
        <w:t>。</w:t>
      </w:r>
    </w:p>
    <w:p w14:paraId="32808622">
      <w:pPr>
        <w:pStyle w:val="6"/>
        <w:spacing w:line="360" w:lineRule="auto"/>
        <w:outlineLvl w:val="3"/>
        <w:rPr>
          <w:sz w:val="22"/>
          <w:szCs w:val="22"/>
        </w:rPr>
      </w:pPr>
      <w:r>
        <w:rPr>
          <w:rFonts w:ascii="仿宋_GB2312" w:hAnsi="仿宋_GB2312" w:eastAsia="仿宋_GB2312" w:cs="仿宋_GB2312"/>
          <w:b/>
          <w:sz w:val="22"/>
          <w:szCs w:val="22"/>
        </w:rPr>
        <w:t>3.4.3支付方式</w:t>
      </w:r>
    </w:p>
    <w:p w14:paraId="216CA027">
      <w:pPr>
        <w:pStyle w:val="6"/>
        <w:spacing w:line="360" w:lineRule="auto"/>
        <w:rPr>
          <w:sz w:val="22"/>
          <w:szCs w:val="22"/>
        </w:rPr>
      </w:pPr>
      <w:r>
        <w:rPr>
          <w:rFonts w:ascii="仿宋_GB2312" w:hAnsi="仿宋_GB2312" w:eastAsia="仿宋_GB2312" w:cs="仿宋_GB2312"/>
          <w:sz w:val="22"/>
          <w:szCs w:val="22"/>
        </w:rPr>
        <w:t>采购包1：</w:t>
      </w:r>
    </w:p>
    <w:p w14:paraId="479A8E84">
      <w:pPr>
        <w:pStyle w:val="6"/>
        <w:spacing w:line="360" w:lineRule="auto"/>
        <w:rPr>
          <w:sz w:val="22"/>
          <w:szCs w:val="22"/>
        </w:rPr>
      </w:pPr>
      <w:r>
        <w:rPr>
          <w:rFonts w:ascii="仿宋_GB2312" w:hAnsi="仿宋_GB2312" w:eastAsia="仿宋_GB2312" w:cs="仿宋_GB2312"/>
          <w:sz w:val="22"/>
          <w:szCs w:val="22"/>
        </w:rPr>
        <w:t>一次付清</w:t>
      </w:r>
    </w:p>
    <w:p w14:paraId="29D308CC">
      <w:pPr>
        <w:pStyle w:val="6"/>
        <w:spacing w:line="360" w:lineRule="auto"/>
        <w:outlineLvl w:val="3"/>
        <w:rPr>
          <w:sz w:val="22"/>
          <w:szCs w:val="22"/>
        </w:rPr>
      </w:pPr>
      <w:r>
        <w:rPr>
          <w:rFonts w:ascii="仿宋_GB2312" w:hAnsi="仿宋_GB2312" w:eastAsia="仿宋_GB2312" w:cs="仿宋_GB2312"/>
          <w:b/>
          <w:sz w:val="22"/>
          <w:szCs w:val="22"/>
        </w:rPr>
        <w:t>3.4.4支付约定</w:t>
      </w:r>
    </w:p>
    <w:p w14:paraId="2596CAE4">
      <w:pPr>
        <w:pStyle w:val="6"/>
        <w:spacing w:line="360" w:lineRule="auto"/>
        <w:rPr>
          <w:rFonts w:hint="default" w:ascii="仿宋_GB2312" w:hAnsi="仿宋_GB2312" w:eastAsia="仿宋_GB2312" w:cs="仿宋_GB2312"/>
          <w:sz w:val="22"/>
          <w:szCs w:val="22"/>
          <w:lang w:eastAsia="zh-CN"/>
        </w:rPr>
      </w:pPr>
      <w:r>
        <w:rPr>
          <w:rFonts w:ascii="仿宋_GB2312" w:hAnsi="仿宋_GB2312" w:eastAsia="仿宋_GB2312" w:cs="仿宋_GB2312"/>
          <w:sz w:val="22"/>
          <w:szCs w:val="22"/>
        </w:rPr>
        <w:t>采购包1： 付款条件说明：</w:t>
      </w:r>
      <w:r>
        <w:rPr>
          <w:rFonts w:ascii="仿宋_GB2312" w:hAnsi="仿宋_GB2312" w:eastAsia="仿宋_GB2312" w:cs="仿宋_GB2312"/>
          <w:sz w:val="22"/>
          <w:szCs w:val="22"/>
          <w:lang w:eastAsia="zh-CN"/>
        </w:rPr>
        <w:t>货物到达指定地点一次性结清，达到付款条件起 30 日内，支付合同总金额的 100.00%。</w:t>
      </w:r>
    </w:p>
    <w:p w14:paraId="65D8507E">
      <w:pPr>
        <w:pStyle w:val="6"/>
        <w:spacing w:line="360" w:lineRule="auto"/>
        <w:outlineLvl w:val="3"/>
        <w:rPr>
          <w:sz w:val="22"/>
          <w:szCs w:val="22"/>
        </w:rPr>
      </w:pPr>
      <w:r>
        <w:rPr>
          <w:rFonts w:ascii="仿宋_GB2312" w:hAnsi="仿宋_GB2312" w:eastAsia="仿宋_GB2312" w:cs="仿宋_GB2312"/>
          <w:b/>
          <w:sz w:val="22"/>
          <w:szCs w:val="22"/>
        </w:rPr>
        <w:t>3.4.5验收标准和方法</w:t>
      </w:r>
    </w:p>
    <w:p w14:paraId="34B7B551">
      <w:pPr>
        <w:pStyle w:val="6"/>
        <w:spacing w:line="360" w:lineRule="auto"/>
        <w:rPr>
          <w:sz w:val="22"/>
          <w:szCs w:val="22"/>
        </w:rPr>
      </w:pPr>
      <w:r>
        <w:rPr>
          <w:rFonts w:ascii="仿宋_GB2312" w:hAnsi="仿宋_GB2312" w:eastAsia="仿宋_GB2312" w:cs="仿宋_GB2312"/>
          <w:sz w:val="22"/>
          <w:szCs w:val="22"/>
        </w:rPr>
        <w:t>采购包1：</w:t>
      </w:r>
    </w:p>
    <w:p w14:paraId="500D2F49">
      <w:pPr>
        <w:pStyle w:val="6"/>
        <w:spacing w:line="360" w:lineRule="auto"/>
        <w:rPr>
          <w:sz w:val="22"/>
          <w:szCs w:val="22"/>
        </w:rPr>
      </w:pPr>
      <w:r>
        <w:rPr>
          <w:rFonts w:ascii="仿宋_GB2312" w:hAnsi="仿宋_GB2312" w:eastAsia="仿宋_GB2312" w:cs="仿宋_GB2312"/>
          <w:sz w:val="22"/>
          <w:szCs w:val="22"/>
        </w:rPr>
        <w:t>遵照国家有关规定和合同约定执行。</w:t>
      </w:r>
    </w:p>
    <w:p w14:paraId="4276373F">
      <w:pPr>
        <w:pStyle w:val="6"/>
        <w:spacing w:line="360" w:lineRule="auto"/>
        <w:outlineLvl w:val="3"/>
        <w:rPr>
          <w:sz w:val="22"/>
          <w:szCs w:val="22"/>
        </w:rPr>
      </w:pPr>
      <w:r>
        <w:rPr>
          <w:rFonts w:ascii="仿宋_GB2312" w:hAnsi="仿宋_GB2312" w:eastAsia="仿宋_GB2312" w:cs="仿宋_GB2312"/>
          <w:b/>
          <w:sz w:val="22"/>
          <w:szCs w:val="22"/>
        </w:rPr>
        <w:t>3.4.6包装方式及运输</w:t>
      </w:r>
    </w:p>
    <w:p w14:paraId="61257F98">
      <w:pPr>
        <w:pStyle w:val="6"/>
        <w:spacing w:line="360" w:lineRule="auto"/>
        <w:rPr>
          <w:sz w:val="22"/>
          <w:szCs w:val="22"/>
        </w:rPr>
      </w:pPr>
      <w:r>
        <w:rPr>
          <w:rFonts w:ascii="仿宋_GB2312" w:hAnsi="仿宋_GB2312" w:eastAsia="仿宋_GB2312" w:cs="仿宋_GB2312"/>
          <w:sz w:val="22"/>
          <w:szCs w:val="22"/>
        </w:rPr>
        <w:t>采购包1：</w:t>
      </w:r>
    </w:p>
    <w:p w14:paraId="48F12888">
      <w:pPr>
        <w:pStyle w:val="6"/>
        <w:spacing w:line="360" w:lineRule="auto"/>
        <w:rPr>
          <w:sz w:val="22"/>
          <w:szCs w:val="22"/>
        </w:rPr>
      </w:pPr>
      <w:r>
        <w:rPr>
          <w:rFonts w:ascii="仿宋_GB2312" w:hAnsi="仿宋_GB2312" w:eastAsia="仿宋_GB2312" w:cs="仿宋_GB2312"/>
          <w:sz w:val="22"/>
          <w:szCs w:val="22"/>
        </w:rPr>
        <w:t>运输方式由乙方自行选择，但必须保证按期交货。</w:t>
      </w:r>
    </w:p>
    <w:p w14:paraId="3A7BC19D">
      <w:pPr>
        <w:pStyle w:val="6"/>
        <w:spacing w:line="360" w:lineRule="auto"/>
        <w:outlineLvl w:val="3"/>
        <w:rPr>
          <w:sz w:val="22"/>
          <w:szCs w:val="22"/>
        </w:rPr>
      </w:pPr>
      <w:r>
        <w:rPr>
          <w:rFonts w:ascii="仿宋_GB2312" w:hAnsi="仿宋_GB2312" w:eastAsia="仿宋_GB2312" w:cs="仿宋_GB2312"/>
          <w:b/>
          <w:sz w:val="22"/>
          <w:szCs w:val="22"/>
        </w:rPr>
        <w:t>3.4.7质量保修范围和保修期</w:t>
      </w:r>
    </w:p>
    <w:p w14:paraId="1654E1C7">
      <w:pPr>
        <w:pStyle w:val="6"/>
        <w:spacing w:line="360" w:lineRule="auto"/>
        <w:rPr>
          <w:sz w:val="22"/>
          <w:szCs w:val="22"/>
        </w:rPr>
      </w:pPr>
      <w:r>
        <w:rPr>
          <w:rFonts w:ascii="仿宋_GB2312" w:hAnsi="仿宋_GB2312" w:eastAsia="仿宋_GB2312" w:cs="仿宋_GB2312"/>
          <w:sz w:val="22"/>
          <w:szCs w:val="22"/>
        </w:rPr>
        <w:t>采购包1：</w:t>
      </w:r>
    </w:p>
    <w:p w14:paraId="6F4C144D">
      <w:pPr>
        <w:pStyle w:val="6"/>
        <w:spacing w:line="360" w:lineRule="auto"/>
        <w:rPr>
          <w:rFonts w:hint="default" w:ascii="仿宋_GB2312" w:hAnsi="仿宋_GB2312" w:eastAsia="仿宋_GB2312" w:cs="仿宋_GB2312"/>
          <w:sz w:val="22"/>
          <w:szCs w:val="22"/>
        </w:rPr>
      </w:pPr>
      <w:r>
        <w:rPr>
          <w:rFonts w:ascii="仿宋_GB2312" w:hAnsi="仿宋_GB2312" w:eastAsia="仿宋_GB2312" w:cs="仿宋_GB2312"/>
          <w:sz w:val="22"/>
          <w:szCs w:val="22"/>
        </w:rPr>
        <w:t>到货后有效期</w:t>
      </w:r>
      <w:r>
        <w:rPr>
          <w:rFonts w:ascii="仿宋_GB2312" w:hAnsi="仿宋_GB2312" w:eastAsia="仿宋_GB2312" w:cs="仿宋_GB2312"/>
          <w:sz w:val="22"/>
          <w:szCs w:val="22"/>
          <w:lang w:eastAsia="zh-CN"/>
        </w:rPr>
        <w:t>≥</w:t>
      </w:r>
      <w:r>
        <w:rPr>
          <w:rFonts w:ascii="仿宋_GB2312" w:hAnsi="仿宋_GB2312" w:eastAsia="仿宋_GB2312" w:cs="仿宋_GB2312"/>
          <w:sz w:val="22"/>
          <w:szCs w:val="22"/>
        </w:rPr>
        <w:t>2/3保质期。</w:t>
      </w:r>
    </w:p>
    <w:p w14:paraId="140CD126">
      <w:pPr>
        <w:pStyle w:val="6"/>
        <w:spacing w:line="360" w:lineRule="auto"/>
        <w:outlineLvl w:val="3"/>
        <w:rPr>
          <w:sz w:val="22"/>
          <w:szCs w:val="22"/>
        </w:rPr>
      </w:pPr>
      <w:r>
        <w:rPr>
          <w:rFonts w:ascii="仿宋_GB2312" w:hAnsi="仿宋_GB2312" w:eastAsia="仿宋_GB2312" w:cs="仿宋_GB2312"/>
          <w:b/>
          <w:sz w:val="22"/>
          <w:szCs w:val="22"/>
        </w:rPr>
        <w:t>3.4.8违约责任及解决争议的方法</w:t>
      </w:r>
    </w:p>
    <w:p w14:paraId="05130FD9">
      <w:pPr>
        <w:pStyle w:val="6"/>
        <w:spacing w:line="360" w:lineRule="auto"/>
        <w:rPr>
          <w:sz w:val="22"/>
          <w:szCs w:val="22"/>
        </w:rPr>
      </w:pPr>
      <w:r>
        <w:rPr>
          <w:rFonts w:ascii="仿宋_GB2312" w:hAnsi="仿宋_GB2312" w:eastAsia="仿宋_GB2312" w:cs="仿宋_GB2312"/>
          <w:sz w:val="22"/>
          <w:szCs w:val="22"/>
        </w:rPr>
        <w:t>采购包1：</w:t>
      </w:r>
    </w:p>
    <w:p w14:paraId="4C82A9F2">
      <w:pPr>
        <w:pStyle w:val="6"/>
        <w:spacing w:line="360" w:lineRule="auto"/>
        <w:rPr>
          <w:rFonts w:eastAsia="仿宋_GB2312"/>
          <w:sz w:val="22"/>
          <w:szCs w:val="22"/>
          <w:lang w:eastAsia="zh-CN"/>
        </w:rPr>
      </w:pPr>
      <w:r>
        <w:rPr>
          <w:rFonts w:ascii="仿宋_GB2312" w:hAnsi="仿宋_GB2312" w:eastAsia="仿宋_GB2312" w:cs="仿宋_GB2312"/>
          <w:sz w:val="22"/>
          <w:szCs w:val="22"/>
        </w:rPr>
        <w:t>以合同约定为准</w:t>
      </w:r>
      <w:r>
        <w:rPr>
          <w:rFonts w:ascii="仿宋_GB2312" w:hAnsi="仿宋_GB2312" w:eastAsia="仿宋_GB2312" w:cs="仿宋_GB2312"/>
          <w:sz w:val="22"/>
          <w:szCs w:val="22"/>
          <w:lang w:eastAsia="zh-CN"/>
        </w:rPr>
        <w:t>。</w:t>
      </w:r>
    </w:p>
    <w:p w14:paraId="3819DA98">
      <w:pPr>
        <w:pStyle w:val="6"/>
        <w:spacing w:line="360" w:lineRule="auto"/>
        <w:outlineLvl w:val="3"/>
        <w:rPr>
          <w:rFonts w:hint="default" w:ascii="仿宋_GB2312" w:hAnsi="仿宋_GB2312" w:eastAsia="仿宋_GB2312" w:cs="仿宋_GB2312"/>
          <w:b/>
          <w:bCs/>
          <w:sz w:val="22"/>
          <w:szCs w:val="22"/>
          <w:lang w:eastAsia="zh-CN"/>
        </w:rPr>
      </w:pPr>
      <w:r>
        <w:rPr>
          <w:rFonts w:ascii="仿宋_GB2312" w:hAnsi="仿宋_GB2312" w:eastAsia="仿宋_GB2312" w:cs="仿宋_GB2312"/>
          <w:b/>
          <w:sz w:val="22"/>
          <w:szCs w:val="22"/>
        </w:rPr>
        <w:t>3.5其他要求</w:t>
      </w:r>
    </w:p>
    <w:p w14:paraId="1A65B1E7">
      <w:pPr>
        <w:pStyle w:val="2"/>
        <w:spacing w:before="0" w:beforeAutospacing="0" w:after="0" w:afterAutospacing="0" w:line="360" w:lineRule="auto"/>
        <w:rPr>
          <w:rFonts w:ascii="仿宋" w:hAnsi="仿宋" w:eastAsia="仿宋" w:cs="仿宋"/>
          <w:kern w:val="2"/>
          <w:sz w:val="21"/>
          <w:szCs w:val="21"/>
        </w:rPr>
      </w:pPr>
      <w:r>
        <w:rPr>
          <w:rFonts w:hint="eastAsia" w:ascii="仿宋" w:hAnsi="仿宋" w:eastAsia="仿宋" w:cs="仿宋"/>
          <w:kern w:val="2"/>
          <w:sz w:val="21"/>
          <w:szCs w:val="21"/>
        </w:rPr>
        <w:t>（1）质量要求：供应商应当保证所供货物的来源渠道正常，质评品是全新的、未使用过的、且完全符合医院对货物质量、规格、技术指标等的要求。</w:t>
      </w:r>
    </w:p>
    <w:p w14:paraId="671C07D8">
      <w:pPr>
        <w:pStyle w:val="2"/>
        <w:spacing w:before="0" w:beforeAutospacing="0" w:after="0" w:afterAutospacing="0" w:line="360" w:lineRule="auto"/>
        <w:rPr>
          <w:rFonts w:ascii="仿宋" w:hAnsi="仿宋" w:eastAsia="仿宋" w:cs="仿宋"/>
          <w:kern w:val="2"/>
          <w:sz w:val="21"/>
          <w:szCs w:val="21"/>
        </w:rPr>
      </w:pPr>
      <w:r>
        <w:rPr>
          <w:rFonts w:hint="eastAsia" w:ascii="仿宋" w:hAnsi="仿宋" w:eastAsia="仿宋" w:cs="仿宋"/>
          <w:kern w:val="2"/>
          <w:sz w:val="21"/>
          <w:szCs w:val="21"/>
        </w:rPr>
        <w:t>（2）售后要求：在保修期内所发现的产品质量问题，供</w:t>
      </w:r>
      <w:r>
        <w:rPr>
          <w:rFonts w:hint="eastAsia" w:ascii="仿宋" w:hAnsi="仿宋" w:eastAsia="仿宋" w:cs="仿宋"/>
          <w:kern w:val="2"/>
          <w:sz w:val="21"/>
          <w:szCs w:val="21"/>
          <w:highlight w:val="none"/>
        </w:rPr>
        <w:t>应商收到采购人通知后，应在</w:t>
      </w:r>
      <w:r>
        <w:rPr>
          <w:rFonts w:hint="eastAsia" w:ascii="仿宋" w:hAnsi="仿宋" w:eastAsia="仿宋" w:cs="仿宋"/>
          <w:kern w:val="2"/>
          <w:sz w:val="21"/>
          <w:szCs w:val="21"/>
          <w:highlight w:val="none"/>
          <w:u w:val="single"/>
        </w:rPr>
        <w:t xml:space="preserve">  3 </w:t>
      </w:r>
      <w:r>
        <w:rPr>
          <w:rFonts w:hint="eastAsia" w:ascii="仿宋" w:hAnsi="仿宋" w:eastAsia="仿宋" w:cs="仿宋"/>
          <w:kern w:val="2"/>
          <w:sz w:val="21"/>
          <w:szCs w:val="21"/>
          <w:highlight w:val="none"/>
        </w:rPr>
        <w:t>日</w:t>
      </w:r>
      <w:r>
        <w:rPr>
          <w:rFonts w:hint="eastAsia" w:ascii="仿宋" w:hAnsi="仿宋" w:eastAsia="仿宋" w:cs="仿宋"/>
          <w:kern w:val="2"/>
          <w:sz w:val="21"/>
          <w:szCs w:val="21"/>
        </w:rPr>
        <w:t>内免费更换。</w:t>
      </w:r>
    </w:p>
    <w:p w14:paraId="3957FB70">
      <w:pPr>
        <w:pStyle w:val="2"/>
        <w:spacing w:before="0" w:beforeAutospacing="0" w:after="0" w:afterAutospacing="0" w:line="360" w:lineRule="auto"/>
        <w:rPr>
          <w:rFonts w:ascii="仿宋" w:hAnsi="仿宋" w:eastAsia="仿宋" w:cs="仿宋"/>
          <w:kern w:val="2"/>
          <w:sz w:val="21"/>
          <w:szCs w:val="21"/>
        </w:rPr>
      </w:pPr>
      <w:r>
        <w:rPr>
          <w:rFonts w:hint="eastAsia" w:ascii="仿宋" w:hAnsi="仿宋" w:eastAsia="仿宋" w:cs="仿宋"/>
          <w:kern w:val="2"/>
          <w:sz w:val="21"/>
          <w:szCs w:val="21"/>
        </w:rPr>
        <w:t>（3）根据西安市财政局《关于促进政府采购公平竟争优化营商环境的通知》(市财函[2021]431号)文中“第16条规定供应商登记免费领取采购文件的，如不参与项目投标(响应)，应在递交投标(或响应)文件截止时间前一日以书面形式告知采购代理机构。否则，采购代理机构可以向财政部门反映情况并提供相应的佐证。供应商一年内累计出现三次该情形，将被监管部门记录失信行为”。</w:t>
      </w:r>
    </w:p>
    <w:p w14:paraId="39067DC0">
      <w:pPr>
        <w:pStyle w:val="2"/>
        <w:spacing w:before="0" w:beforeAutospacing="0" w:after="0" w:afterAutospacing="0" w:line="360" w:lineRule="auto"/>
        <w:rPr>
          <w:rFonts w:ascii="仿宋" w:hAnsi="仿宋" w:eastAsia="仿宋" w:cs="仿宋"/>
          <w:kern w:val="2"/>
          <w:sz w:val="21"/>
          <w:szCs w:val="21"/>
        </w:rPr>
      </w:pPr>
      <w:r>
        <w:rPr>
          <w:rFonts w:hint="eastAsia" w:ascii="仿宋" w:hAnsi="仿宋" w:eastAsia="仿宋" w:cs="仿宋"/>
          <w:kern w:val="2"/>
          <w:sz w:val="21"/>
          <w:szCs w:val="21"/>
        </w:rPr>
        <w:t>（4）成交单位应在成交结果发布后2日内提供与电子化交易平台上传一致的纸质响应文件2份。</w:t>
      </w:r>
    </w:p>
    <w:p w14:paraId="441A80B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B43AAE"/>
    <w:rsid w:val="78B4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2026-05-21T02:44:00Z</dcterms:created>
  <dc:creator>樱桃小晨子 </dc:creator>
  <cp:lastModifiedBy>樱桃小晨子 </cp:lastModifiedBy>
  <dcterms:modified xsi:type="dcterms:W3CDTF">2026-05-21T02:45:09Z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D5BCD8C9F9AB4AEF8BDF2D17C640A229_11</vt:lpwstr>
  </property>
  <property fmtid="{D5CDD505-2E9C-101B-9397-08002B2CF9AE}" pid="4" name="KSOTemplateDocerSaveRecord">
    <vt:lpwstr>eyJoZGlkIjoiOGM3MDFlNTdlYWIxMGUzOGZhYzZmNDZkNzU1YTU0MjgiLCJ1c2VySWQiOiIxMjkzNTU3MjkzIn0=</vt:lpwstr>
  </property>
</Properties>
</file>