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版本号：ZCBN-南郑县-2026-0011920260604002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2026年南郑区牟家坝镇云峰寺村名优茶、夏秋茶加工设备改造提升项目（基础建设部分）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ZCBN-南郑县-2026-00119</w:t>
      </w:r>
      <w:r>
        <w:br/>
      </w:r>
      <w:r>
        <w:br/>
      </w:r>
      <w:r>
        <w:br/>
      </w:r>
    </w:p>
    <w:p>
      <w:pPr>
        <w:pStyle w:val="null3"/>
        <w:jc w:val="center"/>
        <w:outlineLvl w:val="2"/>
      </w:pPr>
      <w:r>
        <w:rPr>
          <w:rFonts w:ascii="仿宋_GB2312" w:hAnsi="仿宋_GB2312" w:cs="仿宋_GB2312" w:eastAsia="仿宋_GB2312"/>
          <w:sz w:val="28"/>
          <w:b/>
        </w:rPr>
        <w:t>汉中市南郑区牟家坝镇人民政府</w:t>
      </w:r>
    </w:p>
    <w:p>
      <w:pPr>
        <w:pStyle w:val="null3"/>
        <w:jc w:val="center"/>
        <w:outlineLvl w:val="2"/>
      </w:pPr>
      <w:r>
        <w:rPr>
          <w:rFonts w:ascii="仿宋_GB2312" w:hAnsi="仿宋_GB2312" w:cs="仿宋_GB2312" w:eastAsia="仿宋_GB2312"/>
          <w:sz w:val="28"/>
          <w:b/>
        </w:rPr>
        <w:t>诚信佳项目管理有限责任公司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诚信佳项目管理有限责任公司</w:t>
      </w:r>
      <w:r>
        <w:rPr>
          <w:rFonts w:ascii="仿宋_GB2312" w:hAnsi="仿宋_GB2312" w:cs="仿宋_GB2312" w:eastAsia="仿宋_GB2312"/>
        </w:rPr>
        <w:t>（以下简称“代理机构”）受</w:t>
      </w:r>
      <w:r>
        <w:rPr>
          <w:rFonts w:ascii="仿宋_GB2312" w:hAnsi="仿宋_GB2312" w:cs="仿宋_GB2312" w:eastAsia="仿宋_GB2312"/>
        </w:rPr>
        <w:t>汉中市南郑区牟家坝镇人民政府</w:t>
      </w:r>
      <w:r>
        <w:rPr>
          <w:rFonts w:ascii="仿宋_GB2312" w:hAnsi="仿宋_GB2312" w:cs="仿宋_GB2312" w:eastAsia="仿宋_GB2312"/>
        </w:rPr>
        <w:t>委托，拟对</w:t>
      </w:r>
      <w:r>
        <w:rPr>
          <w:rFonts w:ascii="仿宋_GB2312" w:hAnsi="仿宋_GB2312" w:cs="仿宋_GB2312" w:eastAsia="仿宋_GB2312"/>
        </w:rPr>
        <w:t>2026年南郑区牟家坝镇云峰寺村名优茶、夏秋茶加工设备改造提升项目（基础建设部分）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ZCBN-南郑县-2026-00119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2026年南郑区牟家坝镇云峰寺村名优茶、夏秋茶加工设备改造提升项目（基础建设部分）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该工程新建一栋二层框架钢结构厂房，建筑面积699.66平方米，层高8.1米，配套建设电气、消防等设施。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采购包1（2026年南郑区牟家坝镇云峰寺村名优茶夏秋茶加工设备改造提升项目（基础建设部分））：属于专门面向中小企业采购。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复印件（事业单位提供事业单位法人证、组织机构代码证等资格证明文件；其他组织应提供合法有效的主体证明文件）；</w:t>
      </w:r>
    </w:p>
    <w:p>
      <w:pPr>
        <w:pStyle w:val="null3"/>
      </w:pPr>
      <w:r>
        <w:rPr>
          <w:rFonts w:ascii="仿宋_GB2312" w:hAnsi="仿宋_GB2312" w:cs="仿宋_GB2312" w:eastAsia="仿宋_GB2312"/>
        </w:rPr>
        <w:t>2、法定代表人身份证明或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要求：供应商须具备建设行政主管部门核发的建筑工程施工总承包三级及以上资质等级，并具有有效的安全生产许可证；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4、拟派项目经理资格要求：拟派项目经理须具备建筑工程专业注册建造师二级（含二级）以上执业资格，具有安全生产考核合格B证，在本单位注册且无在建工程</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6、非联合体声明：本项目不接受联合体磋商（提供非联合体声明）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汉中市南郑区牟家坝镇人民政府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牟家坝镇人民政府中街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汉中市南郑区牟家坝镇人民政府府经办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18291662220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诚信佳项目管理有限责任公司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陕西省西安市沣东新城水利坊二期18幢1单元1层10101号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18609162678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采购包1：1,717,993.40元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开户名称：诚信佳项目管理有限责任公司汉中分公司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银行账号：2706012401201000013558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说明：乙方须在中标通知书发出后、合同签订前一次性足额缴纳履约保证金。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汉中市南郑区牟家坝镇人民政府</w:t>
      </w:r>
      <w:r>
        <w:rPr>
          <w:rFonts w:ascii="仿宋_GB2312" w:hAnsi="仿宋_GB2312" w:cs="仿宋_GB2312" w:eastAsia="仿宋_GB2312"/>
        </w:rPr>
        <w:t>和</w:t>
      </w:r>
      <w:r>
        <w:rPr>
          <w:rFonts w:ascii="仿宋_GB2312" w:hAnsi="仿宋_GB2312" w:cs="仿宋_GB2312" w:eastAsia="仿宋_GB2312"/>
        </w:rPr>
        <w:t>诚信佳项目管理有限责任公司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汉中市南郑区牟家坝镇人民政府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诚信佳项目管理有限责任公司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汉中市南郑区牟家坝镇人民政府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诚信佳项目管理有限责任公司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联系人：晏烨</w:t>
      </w:r>
    </w:p>
    <w:p>
      <w:pPr>
        <w:pStyle w:val="null3"/>
      </w:pPr>
      <w:r>
        <w:rPr>
          <w:rFonts w:ascii="仿宋_GB2312" w:hAnsi="仿宋_GB2312" w:cs="仿宋_GB2312" w:eastAsia="仿宋_GB2312"/>
        </w:rPr>
        <w:t>联系电话：18609162678</w:t>
      </w:r>
    </w:p>
    <w:p>
      <w:pPr>
        <w:pStyle w:val="null3"/>
      </w:pPr>
      <w:r>
        <w:rPr>
          <w:rFonts w:ascii="仿宋_GB2312" w:hAnsi="仿宋_GB2312" w:cs="仿宋_GB2312" w:eastAsia="仿宋_GB2312"/>
        </w:rPr>
        <w:t>地址：陕西省西安市沣东新城水利坊二期18幢1单元1层10101号</w:t>
      </w:r>
    </w:p>
    <w:p>
      <w:pPr>
        <w:pStyle w:val="null3"/>
      </w:pPr>
      <w:r>
        <w:rPr>
          <w:rFonts w:ascii="仿宋_GB2312" w:hAnsi="仿宋_GB2312" w:cs="仿宋_GB2312" w:eastAsia="仿宋_GB2312"/>
        </w:rPr>
        <w:t>邮编：710086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1,717,993.40</w:t>
      </w:r>
    </w:p>
    <w:p>
      <w:pPr>
        <w:pStyle w:val="null3"/>
      </w:pPr>
      <w:r>
        <w:rPr>
          <w:rFonts w:ascii="仿宋_GB2312" w:hAnsi="仿宋_GB2312" w:cs="仿宋_GB2312" w:eastAsia="仿宋_GB2312"/>
        </w:rPr>
        <w:t>采购包最高限价（元）: 1,717,993.40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2026年南郑区牟家坝镇云峰寺村名优茶夏秋茶加工设备改造提升项目（基础建设部分）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1,717,993.40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标的名称：2026年南郑区牟家坝镇云峰寺村名优茶夏秋茶加工设备改造提升项目（基础建设部分）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工程概况</w:t>
            </w:r>
          </w:p>
          <w:p>
            <w:pPr>
              <w:pStyle w:val="null3"/>
              <w:ind w:firstLine="560"/>
              <w:jc w:val="both"/>
            </w:pPr>
            <w:r>
              <w:rPr>
                <w:rFonts w:ascii="仿宋_GB2312" w:hAnsi="仿宋_GB2312" w:cs="仿宋_GB2312" w:eastAsia="仿宋_GB2312"/>
                <w:sz w:val="28"/>
              </w:rPr>
              <w:t>2026年南郑区牟家坝镇云峰寺村名优茶、夏秋茶加工设备改造提升项目(基础建设部分）主要内容：该工程新建一栋二层框架钢结构厂房，建筑面积699.66平方米，层高8.1米，配套建设电气、消防等设施。</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both"/>
            </w:pPr>
            <w:r>
              <w:rPr>
                <w:rFonts w:ascii="仿宋_GB2312" w:hAnsi="仿宋_GB2312" w:cs="仿宋_GB2312" w:eastAsia="仿宋_GB2312"/>
                <w:sz w:val="28"/>
              </w:rPr>
              <w:t>1、《汉中市南郑区2026年南郑区牟家坝镇云峰寺村名优茶、夏秋茶加工设备改造提升项目施工图》图纸2026年3月；</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《陕西省建设工程工程量清单计价计算标准</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《陕西省房屋建筑与装饰工程基价表</w:t>
            </w:r>
            <w:r>
              <w:rPr>
                <w:rFonts w:ascii="仿宋_GB2312" w:hAnsi="仿宋_GB2312" w:cs="仿宋_GB2312" w:eastAsia="仿宋_GB2312"/>
                <w:sz w:val="28"/>
              </w:rPr>
              <w:t>(2025)》</w:t>
            </w:r>
            <w:r>
              <w:rPr>
                <w:rFonts w:ascii="仿宋_GB2312" w:hAnsi="仿宋_GB2312" w:cs="仿宋_GB2312" w:eastAsia="仿宋_GB2312"/>
                <w:sz w:val="28"/>
              </w:rPr>
              <w:t>、《陕西省通用安装工程基价表</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》及配套使用的相关计价依据等；</w:t>
            </w:r>
          </w:p>
          <w:p>
            <w:pPr>
              <w:pStyle w:val="null3"/>
              <w:ind w:firstLine="560"/>
              <w:jc w:val="both"/>
            </w:pPr>
            <w:r>
              <w:rPr>
                <w:rFonts w:ascii="仿宋_GB2312" w:hAnsi="仿宋_GB2312" w:cs="仿宋_GB2312" w:eastAsia="仿宋_GB2312"/>
                <w:sz w:val="28"/>
              </w:rPr>
              <w:t>4、材料价参照汉中市工程造价管理办公室发布的《汉中建设工程造价信息》2026年第3期建筑材料南郑区信息价（除税价）及市场价计入。</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、有关问题及计算说明</w:t>
            </w:r>
          </w:p>
          <w:p>
            <w:pPr>
              <w:pStyle w:val="null3"/>
              <w:ind w:firstLine="560"/>
              <w:jc w:val="both"/>
            </w:pPr>
            <w:r>
              <w:rPr>
                <w:rFonts w:ascii="仿宋_GB2312" w:hAnsi="仿宋_GB2312" w:cs="仿宋_GB2312" w:eastAsia="仿宋_GB2312"/>
                <w:sz w:val="28"/>
              </w:rPr>
              <w:t>1、弃土外运暂按10km计算，待竣工结算时据实计算。</w:t>
            </w:r>
          </w:p>
          <w:p>
            <w:pPr>
              <w:pStyle w:val="null3"/>
              <w:ind w:firstLine="560"/>
              <w:jc w:val="both"/>
            </w:pPr>
            <w:r>
              <w:rPr>
                <w:rFonts w:ascii="仿宋_GB2312" w:hAnsi="仿宋_GB2312" w:cs="仿宋_GB2312" w:eastAsia="仿宋_GB2312"/>
                <w:sz w:val="28"/>
              </w:rPr>
              <w:t>2、3:7灰土按素土计。</w:t>
            </w:r>
          </w:p>
          <w:p>
            <w:pPr>
              <w:pStyle w:val="null3"/>
              <w:ind w:firstLine="560"/>
              <w:jc w:val="both"/>
            </w:pPr>
            <w:r>
              <w:rPr>
                <w:rFonts w:ascii="仿宋_GB2312" w:hAnsi="仿宋_GB2312" w:cs="仿宋_GB2312" w:eastAsia="仿宋_GB2312"/>
                <w:sz w:val="28"/>
              </w:rPr>
              <w:t>3、保温门暂定综合单价400元/m2，待竣工结算时据实计算。</w:t>
            </w:r>
          </w:p>
          <w:p>
            <w:pPr>
              <w:pStyle w:val="null3"/>
              <w:ind w:firstLine="560"/>
              <w:jc w:val="both"/>
            </w:pPr>
            <w:r>
              <w:rPr>
                <w:rFonts w:ascii="仿宋_GB2312" w:hAnsi="仿宋_GB2312" w:cs="仿宋_GB2312" w:eastAsia="仿宋_GB2312"/>
                <w:sz w:val="28"/>
              </w:rPr>
              <w:t>4、带扶手栏杆、栏板暂定综合单价140元/m，待竣工结算时据实</w:t>
            </w:r>
          </w:p>
          <w:p>
            <w:pPr>
              <w:pStyle w:val="null3"/>
              <w:jc w:val="left"/>
            </w:pPr>
            <w:r>
              <w:rPr>
                <w:rFonts w:ascii="仿宋_GB2312" w:hAnsi="仿宋_GB2312" w:cs="仿宋_GB2312" w:eastAsia="仿宋_GB2312"/>
                <w:sz w:val="28"/>
              </w:rPr>
              <w:t>计算。</w:t>
            </w:r>
          </w:p>
          <w:p>
            <w:pPr>
              <w:pStyle w:val="null3"/>
              <w:ind w:firstLine="560"/>
              <w:jc w:val="left"/>
            </w:pPr>
            <w:r>
              <w:rPr>
                <w:rFonts w:ascii="仿宋_GB2312" w:hAnsi="仿宋_GB2312" w:cs="仿宋_GB2312" w:eastAsia="仿宋_GB2312"/>
                <w:sz w:val="28"/>
              </w:rPr>
              <w:t>5、门厅暂定综合单价50000.00元/座（不含楼地面装饰），待竣工结算时据实计算。</w:t>
            </w:r>
          </w:p>
          <w:p>
            <w:pPr>
              <w:pStyle w:val="null3"/>
              <w:ind w:firstLine="560"/>
              <w:jc w:val="left"/>
            </w:pPr>
            <w:r>
              <w:rPr>
                <w:rFonts w:ascii="仿宋_GB2312" w:hAnsi="仿宋_GB2312" w:cs="仿宋_GB2312" w:eastAsia="仿宋_GB2312"/>
                <w:sz w:val="28"/>
              </w:rPr>
              <w:t>6、室外楼梯暂定综合单价30000元/座，待竣工结算时据实计算。</w:t>
            </w:r>
          </w:p>
          <w:p>
            <w:pPr>
              <w:pStyle w:val="null3"/>
              <w:ind w:firstLine="560"/>
              <w:jc w:val="left"/>
            </w:pPr>
            <w:r>
              <w:rPr>
                <w:rFonts w:ascii="仿宋_GB2312" w:hAnsi="仿宋_GB2312" w:cs="仿宋_GB2312" w:eastAsia="仿宋_GB2312"/>
                <w:sz w:val="28"/>
              </w:rPr>
              <w:t>7、暂列金50000.00元。</w:t>
            </w:r>
          </w:p>
          <w:p>
            <w:pPr>
              <w:pStyle w:val="null3"/>
              <w:ind w:firstLine="560"/>
              <w:jc w:val="left"/>
            </w:pPr>
            <w:r>
              <w:rPr>
                <w:rFonts w:ascii="仿宋_GB2312" w:hAnsi="仿宋_GB2312" w:cs="仿宋_GB2312" w:eastAsia="仿宋_GB2312"/>
                <w:sz w:val="28"/>
              </w:rPr>
              <w:t>8、</w:t>
            </w:r>
            <w:r>
              <w:rPr>
                <w:rFonts w:ascii="仿宋_GB2312" w:hAnsi="仿宋_GB2312" w:cs="仿宋_GB2312" w:eastAsia="仿宋_GB2312"/>
                <w:sz w:val="28"/>
              </w:rPr>
              <w:t>采用广联达软件</w:t>
            </w:r>
            <w:r>
              <w:rPr>
                <w:rFonts w:ascii="仿宋_GB2312" w:hAnsi="仿宋_GB2312" w:cs="仿宋_GB2312" w:eastAsia="仿宋_GB2312"/>
                <w:sz w:val="28"/>
              </w:rPr>
              <w:t>GCCP 7.0版本</w:t>
            </w:r>
            <w:r>
              <w:rPr>
                <w:rFonts w:ascii="仿宋_GB2312" w:hAnsi="仿宋_GB2312" w:cs="仿宋_GB2312" w:eastAsia="仿宋_GB2312"/>
                <w:sz w:val="28"/>
              </w:rPr>
              <w:t>编制</w:t>
            </w:r>
            <w:r>
              <w:rPr>
                <w:rFonts w:ascii="仿宋_GB2312" w:hAnsi="仿宋_GB2312" w:cs="仿宋_GB2312" w:eastAsia="仿宋_GB2312"/>
                <w:sz w:val="28"/>
              </w:rPr>
              <w:t>。</w:t>
            </w:r>
          </w:p>
          <w:p>
            <w:pPr>
              <w:pStyle w:val="null3"/>
              <w:spacing w:before="150"/>
              <w:jc w:val="both"/>
            </w:pPr>
            <w:r>
              <w:rPr>
                <w:rFonts w:ascii="仿宋_GB2312" w:hAnsi="仿宋_GB2312" w:cs="仿宋_GB2312" w:eastAsia="仿宋_GB2312"/>
                <w:sz w:val="28"/>
                <w:b/>
              </w:rPr>
              <w:t>四</w:t>
            </w:r>
            <w:r>
              <w:rPr>
                <w:rFonts w:ascii="仿宋_GB2312" w:hAnsi="仿宋_GB2312" w:cs="仿宋_GB2312" w:eastAsia="仿宋_GB2312"/>
                <w:sz w:val="28"/>
                <w:b/>
              </w:rPr>
              <w:t>、工期与</w:t>
            </w:r>
            <w:r>
              <w:rPr>
                <w:rFonts w:ascii="仿宋_GB2312" w:hAnsi="仿宋_GB2312" w:cs="仿宋_GB2312" w:eastAsia="仿宋_GB2312"/>
                <w:sz w:val="28"/>
                <w:b/>
              </w:rPr>
              <w:t>质量</w:t>
            </w:r>
          </w:p>
          <w:p>
            <w:pPr>
              <w:pStyle w:val="null3"/>
              <w:spacing w:before="150"/>
              <w:ind w:firstLine="552"/>
              <w:jc w:val="both"/>
            </w:pPr>
            <w:r>
              <w:rPr>
                <w:rFonts w:ascii="仿宋_GB2312" w:hAnsi="仿宋_GB2312" w:cs="仿宋_GB2312" w:eastAsia="仿宋_GB2312"/>
                <w:sz w:val="28"/>
              </w:rPr>
              <w:t>工期：90日历天，质量：合格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严格遵照国家及现行行业技术规范标准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严格按照国家及行业相关技术标准开展各项技术服务工作，提供全程现场技术指导、问题处置、资料编制整理、验收配合及后期技术咨询服务，全力保障项目建设质量与施工进度，圆满完成全部技术服务相关工作。</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服从统一管理，严控工期、质量、安全文明施工，配合验收。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供应商为具有独立承担民事责任能力的企业法人、事业法人、其他组织，提供营业执照复印件（事业单位提供事业单位法人证、组织机构代码证等资格证明文件；其他组织应提供合法有效的主体证明文件）；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等级，并具有有效的安全生产许可证；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拟派项目经理须具备建筑工程专业注册建造师二级（含二级）以上执业资格，具有安全生产考核合格B证，在本单位注册且无在建工程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分部分项工程施工方案.docx 总体施工方案.docx 技术服务合同条款及其他商务要求应答表 质量保证措施.docx 文明施工措施.docx 安全施工措施.docx 响应文件封面 类似业绩情况表.docx 资源配置计划.docx 施工进度计划.docx 保修方案.docx 针对突发事件应急保证措施.docx 供应商应提交的相关资格证明材料.docx 项目经理部组织机构.docx 残疾人福利性单位声明函 报价函 标的清单 拟派项目团队人员配置表.docx 响应函 监狱企业的证明文件 提供磋商保证金缴纳凭证.docx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提供磋商保证金缴纳凭证.docx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⼀、评审内容： 供应商针对本项⽬编制完善的施⼯部署,内容包含但不限于：①施⼯⽬标（量化质量、⼯期要求等）；②施⼯准备（⼈员、设备、材料配置等）；③施⼯平⾯布置与安排。 ⼆、评审标准：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分部分项⼯程施⼯⽅案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一、评审内容：供应商针对本项目编制完善的分部分项工程施工方案，内容包含但不限于：①工程重难点及解决措施；②分部分项工程施工方法；③施工质量通病防治措施。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分部分项工程施工方案.docx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三、赋分标准（满分9分）：评审内容共三项，方案内容全面详细、步骤清晰合理、贴合本项目实际、全部满足采购要求得9分。每缺失一项内容扣3分，每项内容存在1处缺陷，扣0.5分，扣完即止。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三、赋分标准（满分9分）：评审内容共三项，方案内容全面详细、步骤清晰合理、贴合本项目实际、全部满足采购要求得9分。每缺失一项内容扣3分，每项内容存在1处缺陷，扣0.5分，扣完即止。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1.完整性：⽅案须全⾯,对评审内容中的各项要求均有详细描述及说明； 2.可实施性：切合本项目实际情况，实施步骤清晰、合理，可实施性强； 3.针对性：方案能够紧扣项目实际情况，内容科学合理，针对性强。 三、赋分标准（满分7.5分）：评审内容共三项，方案内容全面详细、步骤清晰合理、贴合本项目实际、全部满足采购要求得7.5分。每缺失一项内容扣2.5分，每项内容存在1处缺陷，扣0.5分，扣完即止。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资源配置计划.docx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1.完整性：⽅案须全⾯,对评审内容中的各项要求均有详细描述及说明； 2.可实施性：切合本项目实际情况，实施步骤清晰、合理，可实施性强； 3.针对性：方案能够紧扣项目实际情况，内容科学合理，针对性强。 三、赋分标准（满分9分）：评审内容共四项，方案内容全面详细、步骤清晰合理、贴合本项目实际、全部满足采购要求得9分。①④项每缺失一项内容扣1.5分，每项内容存在1处缺陷，扣0.5分，扣完即止。②③项每缺失一项内容扣3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三、赋分标准（满分6分）：评审内容共两项，方案内容全面详细、步骤清晰合理、贴合本项目实际、全部满足采购要求得6分。每缺失一项内容扣3分，每项内容存在1处缺陷，扣0.5分，扣完即止。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文明施工措施.docx</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⼀、评审内容：针对项⽬实施过程中可能出现的恶劣天⽓、⾃然灾害、公共活动等突发情况，评审应急⽅案的针对性、可操作性及响应及时性，保障项⽬顺利推进。 ⼆、评分标准（3分） 0分：未提供应急措施，视为不满⾜评审要求。 1分：仅提及制定应急⽅案，未区分突发事件类型，⽆具体处置措施、⽆应急物资清单，内容笼统。 2分：按类型制定专项应急⽅案，有基本处置措施、流程及责任⼈，但内容不够完整、操作性⼀般。 3分：按恶劣天⽓、⾃然灾害、公共活动分类制定专项应急⽅案，明确具体处置措施、应急响应流程、应急物资清单及责任⼈，⽅案可直接落地执⾏，针对性强、响应及时。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针对突发事件应急保证措施.docx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 ①项目成员配置清单及架构；项目组配备人员的专业素质、人员结构； 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3.针对性：方案能够紧扣项目实际情况，内容科学合理，针对性强。 三、赋分标准（满分6分）评审内容共两项，方案内容全面详细、步骤清晰合理、贴合本项目实际、全部满足采购要求得6分。每缺失一项内容扣3分，每项内容存在1处缺陷，扣0.5分，扣完即止。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项目经理部组织机构.docx</w:t>
            </w:r>
          </w:p>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三、赋分标准（满分4.5分）：评审内容共三项，方案内容全面详细、步骤清晰合理、贴合本项目实际、全部满足采购要求得4.5分。每缺失一项内容扣1.5分，每项内容存在1处缺陷，扣0.5分，扣完即止。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注：业绩须是供应商完成的类似项目，提供中标通知书和施工合同/协议书（社会投资项目提供合同协议书）复印件并加盖单位公章，否则视为无效业绩。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详见附件：安全施工措施.docx</w:t>
      </w:r>
    </w:p>
    <w:p>
      <w:pPr>
        <w:pStyle w:val="null3"/>
        <w:ind w:firstLine="960"/>
      </w:pPr>
      <w:r>
        <w:rPr>
          <w:rFonts w:ascii="仿宋_GB2312" w:hAnsi="仿宋_GB2312" w:cs="仿宋_GB2312" w:eastAsia="仿宋_GB2312"/>
        </w:rPr>
        <w:t>详见附件：保修方案.docx</w:t>
      </w:r>
    </w:p>
    <w:p>
      <w:pPr>
        <w:pStyle w:val="null3"/>
        <w:ind w:firstLine="960"/>
      </w:pPr>
      <w:r>
        <w:rPr>
          <w:rFonts w:ascii="仿宋_GB2312" w:hAnsi="仿宋_GB2312" w:cs="仿宋_GB2312" w:eastAsia="仿宋_GB2312"/>
        </w:rPr>
        <w:t>详见附件：分部分项工程施工方案.docx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详见附件：类似业绩情况表.docx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详见附件：施工进度计划.docx</w:t>
      </w:r>
    </w:p>
    <w:p>
      <w:pPr>
        <w:pStyle w:val="null3"/>
        <w:ind w:firstLine="960"/>
      </w:pPr>
      <w:r>
        <w:rPr>
          <w:rFonts w:ascii="仿宋_GB2312" w:hAnsi="仿宋_GB2312" w:cs="仿宋_GB2312" w:eastAsia="仿宋_GB2312"/>
        </w:rPr>
        <w:t>详见附件：提供磋商保证金缴纳凭证.docx</w:t>
      </w:r>
    </w:p>
    <w:p>
      <w:pPr>
        <w:pStyle w:val="null3"/>
        <w:ind w:firstLine="960"/>
      </w:pPr>
      <w:r>
        <w:rPr>
          <w:rFonts w:ascii="仿宋_GB2312" w:hAnsi="仿宋_GB2312" w:cs="仿宋_GB2312" w:eastAsia="仿宋_GB2312"/>
        </w:rPr>
        <w:t>详见附件：文明施工措施.docx</w:t>
      </w:r>
    </w:p>
    <w:p>
      <w:pPr>
        <w:pStyle w:val="null3"/>
        <w:ind w:firstLine="960"/>
      </w:pPr>
      <w:r>
        <w:rPr>
          <w:rFonts w:ascii="仿宋_GB2312" w:hAnsi="仿宋_GB2312" w:cs="仿宋_GB2312" w:eastAsia="仿宋_GB2312"/>
        </w:rPr>
        <w:t>详见附件：针对突发事件应急保证措施.docx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详见附件：资源配置计划.docx</w:t>
      </w:r>
    </w:p>
    <w:p>
      <w:pPr>
        <w:pStyle w:val="null3"/>
        <w:ind w:firstLine="960"/>
      </w:pPr>
      <w:r>
        <w:rPr>
          <w:rFonts w:ascii="仿宋_GB2312" w:hAnsi="仿宋_GB2312" w:cs="仿宋_GB2312" w:eastAsia="仿宋_GB2312"/>
        </w:rPr>
        <w:t>详见附件：总体施工方案.docx</w:t>
      </w:r>
    </w:p>
    <w:p>
      <w:pPr>
        <w:pStyle w:val="null3"/>
        <w:ind w:firstLine="960"/>
      </w:pPr>
      <w:r>
        <w:rPr>
          <w:rFonts w:ascii="仿宋_GB2312" w:hAnsi="仿宋_GB2312" w:cs="仿宋_GB2312" w:eastAsia="仿宋_GB2312"/>
        </w:rPr>
        <w:t>详见附件：项目经理部组织机构.docx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