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版本号：ZCSP-西安市-2026-0028120260623001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集约送达</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ZCSP-西安市-2026-00281</w:t>
      </w:r>
      <w:r>
        <w:br/>
      </w:r>
      <w:r>
        <w:br/>
      </w:r>
      <w:r>
        <w:br/>
      </w:r>
    </w:p>
    <w:p>
      <w:pPr>
        <w:pStyle w:val="null3"/>
        <w:jc w:val="center"/>
        <w:outlineLvl w:val="5"/>
      </w:pPr>
      <w:r>
        <w:rPr>
          <w:rFonts w:ascii="仿宋_GB2312" w:hAnsi="仿宋_GB2312" w:cs="仿宋_GB2312" w:eastAsia="仿宋_GB2312"/>
          <w:sz w:val="15"/>
          <w:b/>
        </w:rPr>
        <w:t>西安市碑林区人民法院[154]</w:t>
      </w:r>
    </w:p>
    <w:p>
      <w:pPr>
        <w:pStyle w:val="null3"/>
        <w:jc w:val="center"/>
        <w:outlineLvl w:val="5"/>
      </w:pPr>
      <w:r>
        <w:rPr>
          <w:rFonts w:ascii="仿宋_GB2312" w:hAnsi="仿宋_GB2312" w:cs="仿宋_GB2312" w:eastAsia="仿宋_GB2312"/>
          <w:sz w:val="15"/>
          <w:b/>
        </w:rPr>
        <w:t>陕西省招标有限责任公司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陕西省招标有限责任公司</w:t>
      </w:r>
      <w:r>
        <w:rPr>
          <w:rFonts w:ascii="仿宋_GB2312" w:hAnsi="仿宋_GB2312" w:cs="仿宋_GB2312" w:eastAsia="仿宋_GB2312"/>
        </w:rPr>
        <w:t>（以下简称“代理机构”）受</w:t>
      </w:r>
      <w:r>
        <w:rPr>
          <w:rFonts w:ascii="仿宋_GB2312" w:hAnsi="仿宋_GB2312" w:cs="仿宋_GB2312" w:eastAsia="仿宋_GB2312"/>
        </w:rPr>
        <w:t>西安市碑林区人民法院[154]</w:t>
      </w:r>
      <w:r>
        <w:rPr>
          <w:rFonts w:ascii="仿宋_GB2312" w:hAnsi="仿宋_GB2312" w:cs="仿宋_GB2312" w:eastAsia="仿宋_GB2312"/>
        </w:rPr>
        <w:t>委托，拟对</w:t>
      </w:r>
      <w:r>
        <w:rPr>
          <w:rFonts w:ascii="仿宋_GB2312" w:hAnsi="仿宋_GB2312" w:cs="仿宋_GB2312" w:eastAsia="仿宋_GB2312"/>
        </w:rPr>
        <w:t>集约送达</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ZCSP-西安市-2026-00281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集约送达</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财务状况报告：供应商须提供会计师事务所出具的2025年度或2024年度审计报告或提交响应文件截止时间前6个月内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税收缴纳证明：供应商须提供税款所属时间为响应文件截止时间前6个月内，至少一个月纳税证明或完税证明（包含增值税或企业所得税至少一种），纳税证明或完税证明上应有代收机构或税务机关的公章或业务专用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4、社会保障资金缴纳证明：供应商须提供缴费月份为响应文件截止时间前6个月内，至少一个月已缴纳的社会保障资金的证明（社会保障资金缴存单据或社保机构开具的社会保险参保缴费情况证明等）；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5、具有履行合同所必需的设备和专业技术能力的承诺：提供具有履行合同所必需的设备和专业技术能力的承诺。</w:t>
      </w:r>
    </w:p>
    <w:p>
      <w:pPr>
        <w:pStyle w:val="null3"/>
      </w:pPr>
      <w:r>
        <w:rPr>
          <w:rFonts w:ascii="仿宋_GB2312" w:hAnsi="仿宋_GB2312" w:cs="仿宋_GB2312" w:eastAsia="仿宋_GB2312"/>
        </w:rPr>
        <w:t>6、三年内无重大违记录声明：参加政府采购活动前3年内，在经营活动中没有重大违法记录的书面声明。</w:t>
      </w:r>
    </w:p>
    <w:p>
      <w:pPr>
        <w:pStyle w:val="null3"/>
      </w:pPr>
      <w:r>
        <w:rPr>
          <w:rFonts w:ascii="仿宋_GB2312" w:hAnsi="仿宋_GB2312" w:cs="仿宋_GB2312" w:eastAsia="仿宋_GB2312"/>
        </w:rPr>
        <w:t>7、信用记录：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pStyle w:val="null3"/>
      </w:pPr>
      <w:r>
        <w:rPr>
          <w:rFonts w:ascii="仿宋_GB2312" w:hAnsi="仿宋_GB2312" w:cs="仿宋_GB2312" w:eastAsia="仿宋_GB2312"/>
        </w:rPr>
        <w:t>8、授权书：法定代表人（负责人）参加投标的，须出具法定代表人（负责人）身份证明书及身份证正反两面扫描件；法定代表人（负责人）授权委托代理人参加投标的，须出具法定代表人（负责人）授权委托书及委托代理人身份证正反两面扫描件。</w:t>
      </w:r>
    </w:p>
    <w:p>
      <w:pPr>
        <w:pStyle w:val="null3"/>
      </w:pPr>
      <w:r>
        <w:rPr>
          <w:rFonts w:ascii="仿宋_GB2312" w:hAnsi="仿宋_GB2312" w:cs="仿宋_GB2312" w:eastAsia="仿宋_GB2312"/>
        </w:rPr>
        <w:t>9、本项目不接受联合体谈判：本项目不接受联合体谈判，单位负责人为同一人或者存在直接控股、管理关系的不同供应商，不得参加同一合同项下的政府采购活动。</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西安市碑林区人民法院[154]</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西安市碑林区太白北路6号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崔姜涛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029-84500828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陕西省招标有限责任公司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陕西省西安市碑林区西安市和平路108号佳腾大厦7楼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张轩、翟燕荣、孙东、李秋鹏、王怡娜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029-87517633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采购包1：2,328,500.00元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采购包1：2,328,500.00元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在领取成交通知书时应向采购代理机构一次性交纳招标代理服务费。招标代理服务费收取参照国家计委颁布的《招标代理服务收费管理暂行办法》（计价格[2002]1980号）和（发改办价格[2003]857号）按标准计取。本次招标代理服务费以采购预算金额为计费基数计算。收款账户如下：收款单位：陕西省招标有限责任公司 开户银行：招商银行西安朝阳门支行 银行账号：129904242010801。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西安市碑林区人民法院[154]</w:t>
      </w:r>
      <w:r>
        <w:rPr>
          <w:rFonts w:ascii="仿宋_GB2312" w:hAnsi="仿宋_GB2312" w:cs="仿宋_GB2312" w:eastAsia="仿宋_GB2312"/>
        </w:rPr>
        <w:t>和</w:t>
      </w:r>
      <w:r>
        <w:rPr>
          <w:rFonts w:ascii="仿宋_GB2312" w:hAnsi="仿宋_GB2312" w:cs="仿宋_GB2312" w:eastAsia="仿宋_GB2312"/>
        </w:rPr>
        <w:t>陕西省招标有限责任公司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陕西省招标有限责任公司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西安市碑林区人民法院[154]</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陕西省招标有限责任公司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联系人：胡蕊</w:t>
      </w:r>
    </w:p>
    <w:p>
      <w:pPr>
        <w:pStyle w:val="null3"/>
      </w:pPr>
      <w:r>
        <w:rPr>
          <w:rFonts w:ascii="仿宋_GB2312" w:hAnsi="仿宋_GB2312" w:cs="仿宋_GB2312" w:eastAsia="仿宋_GB2312"/>
        </w:rPr>
        <w:t>联系电话：029-87517633</w:t>
      </w:r>
    </w:p>
    <w:p>
      <w:pPr>
        <w:pStyle w:val="null3"/>
      </w:pPr>
      <w:r>
        <w:rPr>
          <w:rFonts w:ascii="仿宋_GB2312" w:hAnsi="仿宋_GB2312" w:cs="仿宋_GB2312" w:eastAsia="仿宋_GB2312"/>
        </w:rPr>
        <w:t>地址：西安市和平路108号佳腾大厦7楼</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2,328,500.00</w:t>
      </w:r>
    </w:p>
    <w:p>
      <w:pPr>
        <w:pStyle w:val="null3"/>
      </w:pPr>
      <w:r>
        <w:rPr>
          <w:rFonts w:ascii="仿宋_GB2312" w:hAnsi="仿宋_GB2312" w:cs="仿宋_GB2312" w:eastAsia="仿宋_GB2312"/>
        </w:rPr>
        <w:t>采购包最高限价（元）: 2,328,500.00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集约送达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2,328,500.00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邮政业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标的名称：集约送达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（1）项目背景</w:t>
            </w:r>
          </w:p>
          <w:p>
            <w:pPr>
              <w:pStyle w:val="null3"/>
              <w:ind w:firstLine="400"/>
              <w:jc w:val="both"/>
            </w:pPr>
            <w:r>
              <w:rPr>
                <w:rFonts w:ascii="仿宋_GB2312" w:hAnsi="仿宋_GB2312" w:cs="仿宋_GB2312" w:eastAsia="仿宋_GB2312"/>
                <w:sz w:val="20"/>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ind w:firstLine="400"/>
              <w:jc w:val="both"/>
            </w:pPr>
            <w:r>
              <w:rPr>
                <w:rFonts w:ascii="仿宋_GB2312" w:hAnsi="仿宋_GB2312" w:cs="仿宋_GB2312" w:eastAsia="仿宋_GB2312"/>
                <w:sz w:val="20"/>
              </w:rPr>
              <w:t>（2）项目内容</w:t>
            </w:r>
          </w:p>
          <w:p>
            <w:pPr>
              <w:pStyle w:val="null3"/>
              <w:ind w:firstLine="400"/>
              <w:jc w:val="both"/>
            </w:pPr>
            <w:r>
              <w:rPr>
                <w:rFonts w:ascii="仿宋_GB2312" w:hAnsi="仿宋_GB2312" w:cs="仿宋_GB2312" w:eastAsia="仿宋_GB2312"/>
                <w:sz w:val="20"/>
              </w:rPr>
              <w:t>集约送达业务范围涵盖民事、行政、国家赔偿和执行案件各类文书的线上线下送达、司法专递、退件等，通过集约送达平台在人民法院与诉讼当事人之间实现安全的信息和数据交互，以不同形式进行案件材料的文书送达工作。集约送达涵盖案件全流程的法律文书送达。</w:t>
            </w:r>
          </w:p>
          <w:p>
            <w:pPr>
              <w:pStyle w:val="null3"/>
              <w:ind w:firstLine="400"/>
              <w:jc w:val="both"/>
            </w:pPr>
            <w:r>
              <w:rPr>
                <w:rFonts w:ascii="仿宋_GB2312" w:hAnsi="仿宋_GB2312" w:cs="仿宋_GB2312" w:eastAsia="仿宋_GB2312"/>
                <w:sz w:val="20"/>
              </w:rPr>
              <w:t>（3）项目要求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送达审核。集约送达中心在接收到送达任务后要认真审核，重点关注送达环节及备注情况，合理分配线上、线下送达，不符合要求及时退回并说明理由。</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电子送达。按照《陕西省高级人民法院关于电子送达与集中送达的若干规定（试行）》进行电子送达。使用送达平台送达文书和诉讼活动总量应符合人民法院诉讼服务质效评估体系指标要求。</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来院领取。根据电话联系情况，如受送达人同意来院领取，集约送达中心以派发工单的形式，将需送达诉讼文书打印后送至诉讼服务大厅材料收转窗口，并告知受送达人7日内凭相关证明材料到人民法院窗口领取。</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邮寄送达和邮政集约送达。集约送达中心在受送达人或者法官、书记员不同意采用电子送达的情况下，方可采用邮寄送达，邮寄送达需采用邮政法院专递，并采用“五日三投”（五日内投放三次，至少有一次为晚上18时之后或周六、日）方式送达。邮寄送达首选邮政集约送达，即异地打印、同城送达。</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外出送达辅助。送达平台有外出送达助手，可以支持外出送达结果录入送达报告书。所有转为外出送达的工单，可以由外出人员在小程序上进行领取，同时审核人员可以一键打印需外出送达的文书交由外出人员外出上门送达。外出送达人员可以直接在小程序上上传外出送达所拍摄的照片材料，照片可以直接通过小助手同步至送达报告书内，书记员下载送达报告书即可查看外出送达的相关照片及材料。</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数据整理。做好集约送达中心各项数据汇总、统计、分析，定期通报集约送达平台运行情况。</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其他事项。服从采购方管理，积极主动承办采购方交办的其他工作。</w:t>
            </w:r>
          </w:p>
          <w:p>
            <w:pPr>
              <w:pStyle w:val="null3"/>
              <w:ind w:firstLine="400"/>
              <w:jc w:val="both"/>
            </w:pPr>
            <w:r>
              <w:rPr>
                <w:rFonts w:ascii="仿宋_GB2312" w:hAnsi="仿宋_GB2312" w:cs="仿宋_GB2312" w:eastAsia="仿宋_GB2312"/>
                <w:sz w:val="20"/>
              </w:rPr>
              <w:t>（4）项目指标</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使用送达平台送达文书和诉讼活动通知的总量与受理案件总量比不低于200%，每一次送达任务中每个受送达人的文书数量都计算在内。</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使用邮政集约送达的案件数量与邮寄送达案件数量比不低于80%。</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电子送达成功率。电子送达成功率（符合线上送达任务）每月不低于70%.</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邮寄妥投率。在提供的收件人姓名、电话、地址准确的情况下，邮件妥投率达100%。</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开展集约送达后，供应商应确保民事、行政、国家赔偿和执行案件各类文书通过集约送达平台（特殊情况须经采购方允许方可）流转，严禁出现未经集约送达平台直接邮寄（导致双向收费）。</w:t>
            </w:r>
          </w:p>
          <w:p>
            <w:pPr>
              <w:pStyle w:val="null3"/>
              <w:ind w:firstLine="400"/>
              <w:jc w:val="both"/>
            </w:pPr>
            <w:r>
              <w:rPr>
                <w:rFonts w:ascii="仿宋_GB2312" w:hAnsi="仿宋_GB2312" w:cs="仿宋_GB2312" w:eastAsia="仿宋_GB2312"/>
                <w:sz w:val="20"/>
              </w:rPr>
              <w:t>（5）保密要求</w:t>
            </w:r>
          </w:p>
          <w:p>
            <w:pPr>
              <w:pStyle w:val="null3"/>
              <w:ind w:firstLine="400"/>
              <w:jc w:val="both"/>
            </w:pPr>
            <w:r>
              <w:rPr>
                <w:rFonts w:ascii="仿宋_GB2312" w:hAnsi="仿宋_GB2312" w:cs="仿宋_GB2312" w:eastAsia="仿宋_GB2312"/>
                <w:sz w:val="20"/>
              </w:rPr>
              <w:t>集约送达员应遵守法院相关保密规定，对于工作中知悉、接触的案件信息和送达材料，应当保守秘密。未经许可，不得私自接触、获取工作范围外的数据信息，不得擅自拍摄、复制、记录、摘抄法院相关数据资料。不透露、不议论评价当事人或公众来电信息，不得随意泄露办案人员个人基本信息，不从事与工作无关的其他活动。</w:t>
            </w:r>
          </w:p>
          <w:p>
            <w:pPr>
              <w:pStyle w:val="null3"/>
              <w:ind w:firstLine="400"/>
              <w:jc w:val="both"/>
            </w:pPr>
            <w:r>
              <w:rPr>
                <w:rFonts w:ascii="仿宋_GB2312" w:hAnsi="仿宋_GB2312" w:cs="仿宋_GB2312" w:eastAsia="仿宋_GB2312"/>
                <w:sz w:val="20"/>
              </w:rPr>
              <w:t>供应商对集约送达工作人员工作中因供应商一方涉及的安全保密问题承担责任。</w:t>
            </w:r>
          </w:p>
          <w:p>
            <w:pPr>
              <w:pStyle w:val="null3"/>
              <w:ind w:firstLine="400"/>
              <w:jc w:val="both"/>
            </w:pPr>
            <w:r>
              <w:rPr>
                <w:rFonts w:ascii="仿宋_GB2312" w:hAnsi="仿宋_GB2312" w:cs="仿宋_GB2312" w:eastAsia="仿宋_GB2312"/>
                <w:sz w:val="20"/>
              </w:rPr>
              <w:t>（6）技术要求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计算机、送达平台等软硬件保障。服务提供商需按照送达业务量配置包括但不限于计算机终端、票据打印机、高拍仪、扫描仪、条码枪、程控电话录音平台、送达平台软件等软硬件设备，完全满足最高法院和</w:t>
            </w:r>
            <w:r>
              <w:rPr>
                <w:rFonts w:ascii="仿宋_GB2312" w:hAnsi="仿宋_GB2312" w:cs="仿宋_GB2312" w:eastAsia="仿宋_GB2312"/>
                <w:sz w:val="20"/>
              </w:rPr>
              <w:t>中级法院</w:t>
            </w:r>
            <w:r>
              <w:rPr>
                <w:rFonts w:ascii="仿宋_GB2312" w:hAnsi="仿宋_GB2312" w:cs="仿宋_GB2312" w:eastAsia="仿宋_GB2312"/>
                <w:sz w:val="20"/>
              </w:rPr>
              <w:t>对集约送达的要求；与审判、执行等系统进行对接，获取案件相关送达信息，实现案件和当事人信息数据共享互通；电话通知后自动获取通话信息及录音，通话信息及录音直接入卷，实现内网存储；接入法院内网用以接收法院送达信息的计算机应做到专机专用，不得与其他网系混用，出现故障送修前，需拆卸硬盘。</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受送达人地址电话查询。对于未提供受送达当事人联系方式和通讯地址的，服务提供商应综合运用各种合法途径查询有关信息，包括但不限于服务提供商自身掌握的地址库数据、与三大运营商对接获取的数据等，并建立送达成功地址库。</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集中送达配套保障。因开展送达业务产生的计算机、打印一体机、专用设备、打印纸张和耗材、电话（含来电显示）等费用由服务提供商承担。</w:t>
            </w:r>
          </w:p>
          <w:p>
            <w:pPr>
              <w:pStyle w:val="null3"/>
            </w:pPr>
            <w:r>
              <w:rPr>
                <w:rFonts w:ascii="仿宋_GB2312" w:hAnsi="仿宋_GB2312" w:cs="仿宋_GB2312" w:eastAsia="仿宋_GB2312"/>
                <w:sz w:val="20"/>
              </w:rPr>
              <w:t>4.</w:t>
            </w:r>
            <w:r>
              <w:rPr>
                <w:rFonts w:ascii="仿宋_GB2312" w:hAnsi="仿宋_GB2312" w:cs="仿宋_GB2312" w:eastAsia="仿宋_GB2312"/>
                <w:sz w:val="20"/>
              </w:rPr>
              <w:t>信息安全保障。集中送达中心工作场地接入</w:t>
            </w:r>
            <w:r>
              <w:rPr>
                <w:rFonts w:ascii="仿宋_GB2312" w:hAnsi="仿宋_GB2312" w:cs="仿宋_GB2312" w:eastAsia="仿宋_GB2312"/>
                <w:sz w:val="20"/>
              </w:rPr>
              <w:t>法院</w:t>
            </w:r>
            <w:r>
              <w:rPr>
                <w:rFonts w:ascii="仿宋_GB2312" w:hAnsi="仿宋_GB2312" w:cs="仿宋_GB2312" w:eastAsia="仿宋_GB2312"/>
                <w:sz w:val="20"/>
              </w:rPr>
              <w:t>内网，需落实严格的网络信息安全防护措施，禁止使用</w:t>
            </w:r>
            <w:r>
              <w:rPr>
                <w:rFonts w:ascii="仿宋_GB2312" w:hAnsi="仿宋_GB2312" w:cs="仿宋_GB2312" w:eastAsia="仿宋_GB2312"/>
                <w:sz w:val="20"/>
              </w:rPr>
              <w:t>U</w:t>
            </w:r>
            <w:r>
              <w:rPr>
                <w:rFonts w:ascii="仿宋_GB2312" w:hAnsi="仿宋_GB2312" w:cs="仿宋_GB2312" w:eastAsia="仿宋_GB2312"/>
                <w:sz w:val="20"/>
              </w:rPr>
              <w:t>盘、光盘等存储媒介在不同网系之间拷贝数据，禁止使用照相器材拍摄办公计算机屏幕信息，服务提供商落实定期巡检制度。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满足本项目人员配备需求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具有履行本项目合同所必需的设备和专业技术能力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一年。每案限价66元，按实际产生数量据实结算至预算金额使用完毕为止。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（一）乙方完成并交付的工作成果需经甲方验收合格，则视为接受。如果在验收时甲方表明不接受乙方提交的工作成果并明示不接受的原因，乙方应当采取合理之措施进行修改，以达到合同规定的要求。 （二）验收依据 1、本合同及附件文本所约定的验收标准； 2、单一来源采购文件、单一来源响应文件、澄清表（函）； 3、国家相应的标准、规范。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供应商未全面履行合同义务或者发生违约，采购单位有权终止合同，依法向供应商进行经济索赔，并报请政府采购监督管理机关进行相应的行政处罚。采购单位违约的，应当赔偿供应商相应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政府采购政策：（1）《关于在政府采购活动中查询及使用信用记录有关问题的通知》（财库〔2016〕125号）。（2）《政府采购促进中小企业发展管理办法》（财库〔2020〕46号）、《关于进一步加大政府采购支持中小企业力度的通知》（财库〔2022〕19号）、《陕西省财政厅关于进一步加大政府采购支持中小企业力度的通知》（陕财办采〔2022〕5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市场监管总局联合印发《关于调整优化节能产品、环境标志产品政府采购执行机制的通知》（财库〔2019〕9号）。（4）《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5）《陕西省财政厅关于加快推进我省中小企业政府采购信用融资工作的通知》（陕财办采〔2020〕15号）、陕西省财政厅关于印发《陕西省中小企业政府采购信用融资办法》（陕财办采〔2018〕23号）。（6）其他需要落实的政府采购政策（如有最新颁布的政府采购政策，按最新的文件执行）。 2.成交供应商领取成交通知书时，提交纸质响应文件叁份、电子版叁份（U盘壹份注明单位名称）编辑目录和页码，内容和通过电子化交易平台实施的政府采购项目提交的响应文件一致。纸质响应文件需胶装（响应文件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营业执照或其他主体证明资料</w:t>
            </w:r>
          </w:p>
        </w:tc>
        <w:tc>
          <w:tcPr>
            <w:tcW w:type="dxa" w:w="3322"/>
          </w:tcPr>
          <w:p>
            <w:pPr>
              <w:pStyle w:val="null3"/>
            </w:pPr>
            <w:r>
              <w:rPr>
                <w:rFonts w:ascii="仿宋_GB2312" w:hAnsi="仿宋_GB2312" w:cs="仿宋_GB2312" w:eastAsia="仿宋_GB2312"/>
              </w:rPr>
              <w:t>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会计师事务所出具的2025年度或2024年度审计报告或提交响应文件截止时间前6个月内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税款所属时间为响应文件截止时间前6个月内，至少一个月纳税证明或完税证明（包含增值税或企业所得税至少一种），纳税证明或完税证明上应有代收机构或税务机关的公章或业务专用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缴费月份为响应文件截止时间前6个月内，至少一个月已缴纳的社会保障资金的证明（社会保障资金缴存单据或社保机构开具的社会保险参保缴费情况证明等）；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三年内无重大违记录声明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负责人）参加投标的，须出具法定代表人（负责人）身份证明书及身份证正反两面扫描件；法定代表人（负责人）授权委托代理人参加投标的，须出具法定代表人（负责人）授权委托书及委托代理人身份证正反两面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报价一览表 中小企业声明函 商务应答表 服务内容及服务要求应答表 其他证明材料.docx 供应商承诺书.docx 响应文件封面 残疾人福利性单位声明函 服务方案 标的清单 供应商应提交的相关资格证明材料..docx 响应报价表.docx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 中小企业声明函 残疾人福利性单位声明函 标的清单 响应报价表.docx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响应文件封面 商务应答表 服务方案 服务内容及服务要求应答表 其他证明材料.docx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详见附件：碑林区法院合同.docx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