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版本号：JCJT-2026DL-01320260816001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略阳县白雀寺镇地质灾害风险调查评价项目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JCJT-2026DL-013</w:t>
      </w:r>
      <w:r>
        <w:br/>
      </w:r>
      <w:r>
        <w:br/>
      </w:r>
      <w:r>
        <w:br/>
      </w:r>
    </w:p>
    <w:p>
      <w:pPr>
        <w:pStyle w:val="null3"/>
        <w:jc w:val="center"/>
        <w:outlineLvl w:val="2"/>
      </w:pPr>
      <w:r>
        <w:rPr>
          <w:rFonts w:ascii="仿宋_GB2312" w:hAnsi="仿宋_GB2312" w:cs="仿宋_GB2312" w:eastAsia="仿宋_GB2312"/>
          <w:sz w:val="28"/>
          <w:b/>
        </w:rPr>
        <w:t>略阳县地质环境监测和生态修复中心</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略阳县地质环境监测和生态修复中心</w:t>
      </w:r>
      <w:r>
        <w:rPr>
          <w:rFonts w:ascii="仿宋_GB2312" w:hAnsi="仿宋_GB2312" w:cs="仿宋_GB2312" w:eastAsia="仿宋_GB2312"/>
        </w:rPr>
        <w:t>委托，拟对</w:t>
      </w:r>
      <w:r>
        <w:rPr>
          <w:rFonts w:ascii="仿宋_GB2312" w:hAnsi="仿宋_GB2312" w:cs="仿宋_GB2312" w:eastAsia="仿宋_GB2312"/>
        </w:rPr>
        <w:t>略阳县白雀寺镇地质灾害风险调查评价项目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JCJT-2026DL-013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略阳县白雀寺镇地质灾害风险调查评价项目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完成略阳县白雀寺镇1:10000地质灾害风险调查，分析地质灾害形成条件和影响因素，研究地质灾害形成机理和成灾模式，形成风险调查评价报告，并通过省级审查成果入库.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采购包1（略阳县白雀寺镇地质灾害风险调查评价项目）：属于专门面向中小企业采购。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完成承诺并进行电子签章）</w:t>
      </w:r>
    </w:p>
    <w:p>
      <w:pPr>
        <w:pStyle w:val="null3"/>
      </w:pPr>
      <w:r>
        <w:rPr>
          <w:rFonts w:ascii="仿宋_GB2312" w:hAnsi="仿宋_GB2312" w:cs="仿宋_GB2312" w:eastAsia="仿宋_GB2312"/>
        </w:rPr>
        <w:t>4、供应商的资格要求：供应商需具备有效的地质灾害评估和治理工程勘查设计甲级资质。（材料应清晰可辨并进行电子签章）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略阳县地质环境监测和生态修复中心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略阳县人力资源大厦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略阳县地质环境监测和生态修复中心经办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15891631376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陕西省汉中市红叶大酒店后院停车场小四楼1楼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略阳县地质环境监测和生态修复中心</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略阳县地质环境监测和生态修复中心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略阳县地质环境监测和生态修复中心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全部成果所有权及知识产权归采购人所有。未经采购人书面许可，中标人不得泄露、转让、复制或将成果用于本项目之外；中标人须保证所用资料工具无第三方知识产权侵权，侵权责任由中标人承担；项目完工后完整移交全部成果，不得私自留存全套副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商务上：人员履约到位、工期节点受控、成果资料完整交付、落实知识产权保密约定无安全责任事故、各项服务及投标承诺兑现。 技术上：完成全部约定工作量，原始资料齐全真实；报告图件编制规范合理；数据库满足省级入库规范；野外抽样核查成果与现场基本吻合；完成省级审查整改并取得省级入库凭证。存在一般瑕疵由乙方限期无偿整改；重大问题两次整改仍不合格，验收不合格，按合同追究违约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联系电话：0916-2123331</w:t>
      </w:r>
    </w:p>
    <w:p>
      <w:pPr>
        <w:pStyle w:val="null3"/>
      </w:pPr>
      <w:r>
        <w:rPr>
          <w:rFonts w:ascii="仿宋_GB2312" w:hAnsi="仿宋_GB2312" w:cs="仿宋_GB2312" w:eastAsia="仿宋_GB2312"/>
        </w:rPr>
        <w:t>地址：陕西省汉中市红叶大酒店后院停车场小四楼1楼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完成略阳县白雀寺镇1:10000地质灾害风险调查，分析地质灾害形成条件和影响因素，研究地质灾害形成机理和成灾模式，形成风险调查评价报告，并通过省级审查成果入库.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1300000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标的名称：1300000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20"/>
              <w:jc w:val="left"/>
            </w:pPr>
            <w:r>
              <w:rPr>
                <w:rFonts w:ascii="仿宋_GB2312" w:hAnsi="仿宋_GB2312" w:cs="仿宋_GB2312" w:eastAsia="仿宋_GB2312"/>
                <w:sz w:val="32"/>
                <w:b/>
              </w:rPr>
              <w:t>一、项目总体要求</w:t>
            </w:r>
          </w:p>
          <w:p>
            <w:pPr>
              <w:pStyle w:val="null3"/>
              <w:spacing w:before="120" w:after="120"/>
              <w:jc w:val="left"/>
            </w:pPr>
            <w:r>
              <w:rPr>
                <w:rFonts w:ascii="仿宋_GB2312" w:hAnsi="仿宋_GB2312" w:cs="仿宋_GB2312" w:eastAsia="仿宋_GB2312"/>
                <w:sz w:val="22"/>
              </w:rPr>
              <w:t>对略阳县白雀寺镇全域开展</w:t>
            </w:r>
            <w:r>
              <w:rPr>
                <w:rFonts w:ascii="仿宋_GB2312" w:hAnsi="仿宋_GB2312" w:cs="仿宋_GB2312" w:eastAsia="仿宋_GB2312"/>
                <w:sz w:val="22"/>
              </w:rPr>
              <w:t>1:10000</w:t>
            </w:r>
            <w:r>
              <w:rPr>
                <w:rFonts w:ascii="仿宋_GB2312" w:hAnsi="仿宋_GB2312" w:cs="仿宋_GB2312" w:eastAsia="仿宋_GB2312"/>
                <w:sz w:val="22"/>
              </w:rPr>
              <w:t>地质灾害风险调查评价，通过遥感解译、无人机航测、地质测绘、山地工程揭露等技术手段，查清区域地质灾害发育现状、孕灾条件及影响因素，分析成灾机理，完成风险评价与区划，编制专项成果报告及数据库。所有工作严格执行国家及陕西省现行行业规范，最终成果</w:t>
            </w:r>
            <w:r>
              <w:rPr>
                <w:rFonts w:ascii="仿宋_GB2312" w:hAnsi="仿宋_GB2312" w:cs="仿宋_GB2312" w:eastAsia="仿宋_GB2312"/>
                <w:sz w:val="22"/>
                <w:b/>
              </w:rPr>
              <w:t>通过省级审查并成功入库省级地质灾害数据库</w:t>
            </w:r>
            <w:r>
              <w:rPr>
                <w:rFonts w:ascii="仿宋_GB2312" w:hAnsi="仿宋_GB2312" w:cs="仿宋_GB2312" w:eastAsia="仿宋_GB2312"/>
                <w:sz w:val="22"/>
              </w:rPr>
              <w:t>。</w:t>
            </w:r>
          </w:p>
          <w:p>
            <w:pPr>
              <w:pStyle w:val="null3"/>
              <w:spacing w:before="315" w:after="120"/>
              <w:jc w:val="left"/>
            </w:pPr>
            <w:r>
              <w:rPr>
                <w:rFonts w:ascii="仿宋_GB2312" w:hAnsi="仿宋_GB2312" w:cs="仿宋_GB2312" w:eastAsia="仿宋_GB2312"/>
                <w:sz w:val="32"/>
                <w:b/>
              </w:rPr>
              <w:t>二、核心工作内容及技术参数</w:t>
            </w:r>
          </w:p>
          <w:p>
            <w:pPr>
              <w:pStyle w:val="null3"/>
              <w:spacing w:before="120" w:after="120"/>
              <w:jc w:val="left"/>
            </w:pPr>
            <w:r>
              <w:rPr>
                <w:rFonts w:ascii="仿宋_GB2312" w:hAnsi="仿宋_GB2312" w:cs="仿宋_GB2312" w:eastAsia="仿宋_GB2312"/>
                <w:sz w:val="22"/>
                <w:b/>
              </w:rPr>
              <w:t>1. 1:10000</w:t>
            </w:r>
            <w:r>
              <w:rPr>
                <w:rFonts w:ascii="仿宋_GB2312" w:hAnsi="仿宋_GB2312" w:cs="仿宋_GB2312" w:eastAsia="仿宋_GB2312"/>
                <w:sz w:val="22"/>
                <w:b/>
              </w:rPr>
              <w:t>遥感解译</w:t>
            </w:r>
            <w:r>
              <w:rPr>
                <w:rFonts w:ascii="仿宋_GB2312" w:hAnsi="仿宋_GB2312" w:cs="仿宋_GB2312" w:eastAsia="仿宋_GB2312"/>
                <w:sz w:val="22"/>
              </w:rPr>
              <w:t>：依托高分辨率卫星数据，完成全域灾害隐患初步识别、边界圈定及解译分析，建立解译台账，精准筛查区域孕灾隐患，满足</w:t>
            </w:r>
            <w:r>
              <w:rPr>
                <w:rFonts w:ascii="仿宋_GB2312" w:hAnsi="仿宋_GB2312" w:cs="仿宋_GB2312" w:eastAsia="仿宋_GB2312"/>
                <w:sz w:val="22"/>
              </w:rPr>
              <w:t>1:10000</w:t>
            </w:r>
            <w:r>
              <w:rPr>
                <w:rFonts w:ascii="仿宋_GB2312" w:hAnsi="仿宋_GB2312" w:cs="仿宋_GB2312" w:eastAsia="仿宋_GB2312"/>
                <w:sz w:val="22"/>
              </w:rPr>
              <w:t>调查精度要求。</w:t>
            </w:r>
          </w:p>
          <w:p>
            <w:pPr>
              <w:pStyle w:val="null3"/>
              <w:spacing w:before="120" w:after="120"/>
              <w:jc w:val="left"/>
            </w:pPr>
            <w:r>
              <w:rPr>
                <w:rFonts w:ascii="仿宋_GB2312" w:hAnsi="仿宋_GB2312" w:cs="仿宋_GB2312" w:eastAsia="仿宋_GB2312"/>
                <w:sz w:val="22"/>
                <w:b/>
              </w:rPr>
              <w:t>2. 1:2000</w:t>
            </w:r>
            <w:r>
              <w:rPr>
                <w:rFonts w:ascii="仿宋_GB2312" w:hAnsi="仿宋_GB2312" w:cs="仿宋_GB2312" w:eastAsia="仿宋_GB2312"/>
                <w:sz w:val="22"/>
                <w:b/>
              </w:rPr>
              <w:t>无人机正射影像制作</w:t>
            </w:r>
            <w:r>
              <w:rPr>
                <w:rFonts w:ascii="仿宋_GB2312" w:hAnsi="仿宋_GB2312" w:cs="仿宋_GB2312" w:eastAsia="仿宋_GB2312"/>
                <w:sz w:val="22"/>
              </w:rPr>
              <w:t>：完成全域无人机航测，制作</w:t>
            </w:r>
            <w:r>
              <w:rPr>
                <w:rFonts w:ascii="仿宋_GB2312" w:hAnsi="仿宋_GB2312" w:cs="仿宋_GB2312" w:eastAsia="仿宋_GB2312"/>
                <w:sz w:val="22"/>
              </w:rPr>
              <w:t>1:2000</w:t>
            </w:r>
            <w:r>
              <w:rPr>
                <w:rFonts w:ascii="仿宋_GB2312" w:hAnsi="仿宋_GB2312" w:cs="仿宋_GB2312" w:eastAsia="仿宋_GB2312"/>
                <w:sz w:val="22"/>
              </w:rPr>
              <w:t>高精度</w:t>
            </w:r>
            <w:r>
              <w:rPr>
                <w:rFonts w:ascii="仿宋_GB2312" w:hAnsi="仿宋_GB2312" w:cs="仿宋_GB2312" w:eastAsia="仿宋_GB2312"/>
                <w:sz w:val="22"/>
              </w:rPr>
              <w:t>DOM</w:t>
            </w:r>
            <w:r>
              <w:rPr>
                <w:rFonts w:ascii="仿宋_GB2312" w:hAnsi="仿宋_GB2312" w:cs="仿宋_GB2312" w:eastAsia="仿宋_GB2312"/>
                <w:sz w:val="22"/>
              </w:rPr>
              <w:t>正射影像及配套地形数据，影像精度、坐标体系符合省级入库标准，满足精细调查与制图需求。</w:t>
            </w:r>
          </w:p>
          <w:p>
            <w:pPr>
              <w:pStyle w:val="null3"/>
              <w:spacing w:before="120" w:after="120"/>
              <w:jc w:val="left"/>
            </w:pPr>
            <w:r>
              <w:rPr>
                <w:rFonts w:ascii="仿宋_GB2312" w:hAnsi="仿宋_GB2312" w:cs="仿宋_GB2312" w:eastAsia="仿宋_GB2312"/>
                <w:sz w:val="22"/>
                <w:b/>
              </w:rPr>
              <w:t>3. 1:10000</w:t>
            </w:r>
            <w:r>
              <w:rPr>
                <w:rFonts w:ascii="仿宋_GB2312" w:hAnsi="仿宋_GB2312" w:cs="仿宋_GB2312" w:eastAsia="仿宋_GB2312"/>
                <w:sz w:val="22"/>
                <w:b/>
              </w:rPr>
              <w:t>地质灾害专项测量</w:t>
            </w:r>
            <w:r>
              <w:rPr>
                <w:rFonts w:ascii="仿宋_GB2312" w:hAnsi="仿宋_GB2312" w:cs="仿宋_GB2312" w:eastAsia="仿宋_GB2312"/>
                <w:sz w:val="22"/>
              </w:rPr>
              <w:t>：开展全域全覆盖地质测绘，核查在册及新增灾害隐患点，精准测定灾害体规模、边界、变形特征等核心数据，摸清区域灾害发育底数。</w:t>
            </w:r>
          </w:p>
          <w:p>
            <w:pPr>
              <w:pStyle w:val="null3"/>
              <w:spacing w:before="120" w:after="120"/>
              <w:jc w:val="left"/>
            </w:pPr>
            <w:r>
              <w:rPr>
                <w:rFonts w:ascii="仿宋_GB2312" w:hAnsi="仿宋_GB2312" w:cs="仿宋_GB2312" w:eastAsia="仿宋_GB2312"/>
                <w:sz w:val="22"/>
                <w:b/>
              </w:rPr>
              <w:t xml:space="preserve">4. </w:t>
            </w:r>
            <w:r>
              <w:rPr>
                <w:rFonts w:ascii="仿宋_GB2312" w:hAnsi="仿宋_GB2312" w:cs="仿宋_GB2312" w:eastAsia="仿宋_GB2312"/>
                <w:sz w:val="22"/>
                <w:b/>
              </w:rPr>
              <w:t>山地工程揭露</w:t>
            </w:r>
            <w:r>
              <w:rPr>
                <w:rFonts w:ascii="仿宋_GB2312" w:hAnsi="仿宋_GB2312" w:cs="仿宋_GB2312" w:eastAsia="仿宋_GB2312"/>
                <w:sz w:val="22"/>
              </w:rPr>
              <w:t>：在高风险区域、重点隐患点布设开挖探槽、探井，揭露坡体岩土结构、滑带、覆盖层厚度等深部地质特征，为机理分析和风险评价提供原位实测依据。</w:t>
            </w:r>
          </w:p>
          <w:p>
            <w:pPr>
              <w:pStyle w:val="null3"/>
              <w:spacing w:before="120" w:after="120"/>
              <w:jc w:val="left"/>
            </w:pPr>
            <w:r>
              <w:rPr>
                <w:rFonts w:ascii="仿宋_GB2312" w:hAnsi="仿宋_GB2312" w:cs="仿宋_GB2312" w:eastAsia="仿宋_GB2312"/>
                <w:sz w:val="22"/>
                <w:b/>
              </w:rPr>
              <w:t xml:space="preserve">5. </w:t>
            </w:r>
            <w:r>
              <w:rPr>
                <w:rFonts w:ascii="仿宋_GB2312" w:hAnsi="仿宋_GB2312" w:cs="仿宋_GB2312" w:eastAsia="仿宋_GB2312"/>
                <w:sz w:val="22"/>
                <w:b/>
              </w:rPr>
              <w:t>成灾机理分析</w:t>
            </w:r>
            <w:r>
              <w:rPr>
                <w:rFonts w:ascii="仿宋_GB2312" w:hAnsi="仿宋_GB2312" w:cs="仿宋_GB2312" w:eastAsia="仿宋_GB2312"/>
                <w:sz w:val="22"/>
              </w:rPr>
              <w:t>：结合区域地质、气象、地形及人类工程活动等因素，系统分析地质灾害形成条件、主控因素及失稳机理，总结区域灾害发育规律。</w:t>
            </w:r>
          </w:p>
          <w:p>
            <w:pPr>
              <w:pStyle w:val="null3"/>
              <w:spacing w:before="120" w:after="120"/>
              <w:jc w:val="left"/>
            </w:pPr>
            <w:r>
              <w:rPr>
                <w:rFonts w:ascii="仿宋_GB2312" w:hAnsi="仿宋_GB2312" w:cs="仿宋_GB2312" w:eastAsia="仿宋_GB2312"/>
                <w:sz w:val="22"/>
                <w:b/>
              </w:rPr>
              <w:t xml:space="preserve">6. </w:t>
            </w:r>
            <w:r>
              <w:rPr>
                <w:rFonts w:ascii="仿宋_GB2312" w:hAnsi="仿宋_GB2312" w:cs="仿宋_GB2312" w:eastAsia="仿宋_GB2312"/>
                <w:sz w:val="22"/>
                <w:b/>
              </w:rPr>
              <w:t>风险评价与区划</w:t>
            </w:r>
            <w:r>
              <w:rPr>
                <w:rFonts w:ascii="仿宋_GB2312" w:hAnsi="仿宋_GB2312" w:cs="仿宋_GB2312" w:eastAsia="仿宋_GB2312"/>
                <w:sz w:val="22"/>
              </w:rPr>
              <w:t>：开展地质灾害易发性、危险性、风险性分级评价，划分高、中、低风险区，结合区域实际提出监测预警、工程治理、搬迁避让等针对性防灾管控建议。</w:t>
            </w:r>
          </w:p>
          <w:p>
            <w:pPr>
              <w:pStyle w:val="null3"/>
              <w:spacing w:before="315" w:after="120"/>
              <w:jc w:val="left"/>
            </w:pPr>
            <w:r>
              <w:rPr>
                <w:rFonts w:ascii="仿宋_GB2312" w:hAnsi="仿宋_GB2312" w:cs="仿宋_GB2312" w:eastAsia="仿宋_GB2312"/>
                <w:sz w:val="32"/>
                <w:b/>
              </w:rPr>
              <w:t>三、成果要求</w:t>
            </w:r>
          </w:p>
          <w:p>
            <w:pPr>
              <w:pStyle w:val="null3"/>
              <w:spacing w:before="120" w:after="120"/>
              <w:jc w:val="left"/>
            </w:pPr>
            <w:r>
              <w:rPr>
                <w:rFonts w:ascii="仿宋_GB2312" w:hAnsi="仿宋_GB2312" w:cs="仿宋_GB2312" w:eastAsia="仿宋_GB2312"/>
                <w:sz w:val="22"/>
              </w:rPr>
              <w:t>编制完整的项目调查评价报告及全套附图、附表，按照省级标准搭建标准化地质灾害数据库；全程配合评审、整改、复核工作，确保成果顺利通过省级专家审查并完成入库。</w:t>
            </w:r>
          </w:p>
          <w:p>
            <w:pPr>
              <w:pStyle w:val="null3"/>
              <w:spacing w:before="315" w:after="120"/>
              <w:jc w:val="left"/>
            </w:pPr>
            <w:r>
              <w:rPr>
                <w:rFonts w:ascii="仿宋_GB2312" w:hAnsi="仿宋_GB2312" w:cs="仿宋_GB2312" w:eastAsia="仿宋_GB2312"/>
                <w:sz w:val="32"/>
                <w:b/>
              </w:rPr>
              <w:t>四、执行规范标准</w:t>
            </w:r>
          </w:p>
          <w:p>
            <w:pPr>
              <w:pStyle w:val="null3"/>
              <w:spacing w:before="120" w:after="120"/>
              <w:jc w:val="left"/>
            </w:pPr>
            <w:r>
              <w:rPr>
                <w:rFonts w:ascii="仿宋_GB2312" w:hAnsi="仿宋_GB2312" w:cs="仿宋_GB2312" w:eastAsia="仿宋_GB2312"/>
                <w:sz w:val="22"/>
              </w:rPr>
              <w:t>本项目工作应严格执行《地质灾害防治条例》、《陕西省乡镇（街道）地质灾害风险调查评价技术要求（1:10000）》、《地质资料汇交规范》，以及国家、行业、陕西省现行地质灾害调查评价、数据库建设、成果汇交相关法规、技术规范及细则，</w:t>
            </w:r>
            <w:r>
              <w:rPr>
                <w:rFonts w:ascii="仿宋_GB2312" w:hAnsi="仿宋_GB2312" w:cs="仿宋_GB2312" w:eastAsia="仿宋_GB2312"/>
                <w:sz w:val="22"/>
                <w:b/>
              </w:rPr>
              <w:t>包括但不限于上述文件</w:t>
            </w:r>
            <w:r>
              <w:rPr>
                <w:rFonts w:ascii="仿宋_GB2312" w:hAnsi="仿宋_GB2312" w:cs="仿宋_GB2312" w:eastAsia="仿宋_GB2312"/>
                <w:sz w:val="22"/>
              </w:rPr>
              <w:t>。同一事项如新旧规范文件存在不一致，按</w:t>
            </w:r>
            <w:r>
              <w:rPr>
                <w:rFonts w:ascii="仿宋_GB2312" w:hAnsi="仿宋_GB2312" w:cs="仿宋_GB2312" w:eastAsia="仿宋_GB2312"/>
                <w:sz w:val="22"/>
                <w:b/>
              </w:rPr>
              <w:t>最新现行有效版本</w:t>
            </w:r>
            <w:r>
              <w:rPr>
                <w:rFonts w:ascii="仿宋_GB2312" w:hAnsi="仿宋_GB2312" w:cs="仿宋_GB2312" w:eastAsia="仿宋_GB2312"/>
                <w:sz w:val="22"/>
              </w:rPr>
              <w:t>执行；项目实施期间如有新发布生效的国家及地方相关标准，应遵照新标准执行。</w:t>
            </w:r>
          </w:p>
          <w:p>
            <w:pPr>
              <w:pStyle w:val="null3"/>
              <w:spacing w:before="315" w:after="120"/>
              <w:jc w:val="left"/>
            </w:pPr>
            <w:r>
              <w:rPr>
                <w:rFonts w:ascii="仿宋_GB2312" w:hAnsi="仿宋_GB2312" w:cs="仿宋_GB2312" w:eastAsia="仿宋_GB2312"/>
                <w:sz w:val="32"/>
                <w:b/>
              </w:rPr>
              <w:t>五、服务与验收标准</w:t>
            </w:r>
          </w:p>
          <w:p>
            <w:pPr>
              <w:pStyle w:val="null3"/>
              <w:spacing w:before="120" w:after="120"/>
              <w:jc w:val="left"/>
            </w:pPr>
            <w:r>
              <w:rPr>
                <w:rFonts w:ascii="仿宋_GB2312" w:hAnsi="仿宋_GB2312" w:cs="仿宋_GB2312" w:eastAsia="仿宋_GB2312"/>
                <w:sz w:val="22"/>
              </w:rPr>
              <w:t>中标单位对成果质量终身负责，全程接受采购人及主管部门监督检查，按要求完成成果整改完善。项目</w:t>
            </w:r>
            <w:r>
              <w:rPr>
                <w:rFonts w:ascii="仿宋_GB2312" w:hAnsi="仿宋_GB2312" w:cs="仿宋_GB2312" w:eastAsia="仿宋_GB2312"/>
                <w:sz w:val="22"/>
                <w:b/>
              </w:rPr>
              <w:t>以成果通过省级审查、成功纳入省级地质灾害数据库</w:t>
            </w:r>
            <w:r>
              <w:rPr>
                <w:rFonts w:ascii="仿宋_GB2312" w:hAnsi="仿宋_GB2312" w:cs="仿宋_GB2312" w:eastAsia="仿宋_GB2312"/>
                <w:sz w:val="22"/>
              </w:rPr>
              <w:t>为最终验收合格标准。</w:t>
            </w:r>
          </w:p>
          <w:p>
            <w:pPr>
              <w:pStyle w:val="null3"/>
              <w:spacing w:before="315" w:after="120"/>
              <w:jc w:val="left"/>
            </w:pPr>
            <w:r>
              <w:rPr>
                <w:rFonts w:ascii="仿宋_GB2312" w:hAnsi="仿宋_GB2312" w:cs="仿宋_GB2312" w:eastAsia="仿宋_GB2312"/>
                <w:sz w:val="32"/>
                <w:b/>
              </w:rPr>
              <w:t>六、实施管控要求</w:t>
            </w:r>
          </w:p>
          <w:p>
            <w:pPr>
              <w:pStyle w:val="null3"/>
              <w:spacing w:before="120" w:after="120"/>
              <w:jc w:val="left"/>
            </w:pPr>
            <w:r>
              <w:rPr>
                <w:rFonts w:ascii="仿宋_GB2312" w:hAnsi="仿宋_GB2312" w:cs="仿宋_GB2312" w:eastAsia="仿宋_GB2312"/>
                <w:sz w:val="22"/>
              </w:rPr>
              <w:t xml:space="preserve">1. </w:t>
            </w:r>
            <w:r>
              <w:rPr>
                <w:rFonts w:ascii="仿宋_GB2312" w:hAnsi="仿宋_GB2312" w:cs="仿宋_GB2312" w:eastAsia="仿宋_GB2312"/>
                <w:sz w:val="22"/>
                <w:b/>
              </w:rPr>
              <w:t>人员设备</w:t>
            </w:r>
            <w:r>
              <w:rPr>
                <w:rFonts w:ascii="仿宋_GB2312" w:hAnsi="仿宋_GB2312" w:cs="仿宋_GB2312" w:eastAsia="仿宋_GB2312"/>
                <w:sz w:val="22"/>
              </w:rPr>
              <w:t>：配备具备同类项目经验、中级及以上职称项目负责人，核心人员不得随意更换；作业设备校验合格、精度达标，严格落实安全生产和生态保护要求。</w:t>
            </w:r>
          </w:p>
          <w:p>
            <w:pPr>
              <w:pStyle w:val="null3"/>
              <w:spacing w:before="120" w:after="120"/>
              <w:jc w:val="left"/>
            </w:pPr>
            <w:r>
              <w:rPr>
                <w:rFonts w:ascii="仿宋_GB2312" w:hAnsi="仿宋_GB2312" w:cs="仿宋_GB2312" w:eastAsia="仿宋_GB2312"/>
                <w:sz w:val="22"/>
              </w:rPr>
              <w:t xml:space="preserve">2. </w:t>
            </w:r>
            <w:r>
              <w:rPr>
                <w:rFonts w:ascii="仿宋_GB2312" w:hAnsi="仿宋_GB2312" w:cs="仿宋_GB2312" w:eastAsia="仿宋_GB2312"/>
                <w:sz w:val="22"/>
                <w:b/>
              </w:rPr>
              <w:t>进度质量</w:t>
            </w:r>
            <w:r>
              <w:rPr>
                <w:rFonts w:ascii="仿宋_GB2312" w:hAnsi="仿宋_GB2312" w:cs="仿宋_GB2312" w:eastAsia="仿宋_GB2312"/>
                <w:sz w:val="22"/>
              </w:rPr>
              <w:t>：严格按照工期节点推进项目，定期汇报进度；所有成果数据真实准确，无条件配合各级质量核查与整改工作。</w:t>
            </w:r>
          </w:p>
          <w:p>
            <w:pPr>
              <w:pStyle w:val="null3"/>
              <w:spacing w:before="120" w:after="120"/>
              <w:jc w:val="left"/>
            </w:pPr>
            <w:r>
              <w:rPr>
                <w:rFonts w:ascii="仿宋_GB2312" w:hAnsi="仿宋_GB2312" w:cs="仿宋_GB2312" w:eastAsia="仿宋_GB2312"/>
                <w:sz w:val="22"/>
              </w:rPr>
              <w:t xml:space="preserve">3. </w:t>
            </w:r>
            <w:r>
              <w:rPr>
                <w:rFonts w:ascii="仿宋_GB2312" w:hAnsi="仿宋_GB2312" w:cs="仿宋_GB2312" w:eastAsia="仿宋_GB2312"/>
                <w:sz w:val="22"/>
                <w:b/>
              </w:rPr>
              <w:t>权属保密</w:t>
            </w:r>
            <w:r>
              <w:rPr>
                <w:rFonts w:ascii="仿宋_GB2312" w:hAnsi="仿宋_GB2312" w:cs="仿宋_GB2312" w:eastAsia="仿宋_GB2312"/>
                <w:sz w:val="22"/>
              </w:rPr>
              <w:t>：项目所有成果知识产权归采购人所有，中标单位严守涉密地质数据保密规定，不得私自使用、传播项目资料。</w:t>
            </w:r>
          </w:p>
          <w:p>
            <w:pPr>
              <w:pStyle w:val="null3"/>
              <w:spacing w:before="120" w:after="120"/>
              <w:jc w:val="left"/>
            </w:pPr>
            <w:r>
              <w:rPr>
                <w:rFonts w:ascii="仿宋_GB2312" w:hAnsi="仿宋_GB2312" w:cs="仿宋_GB2312" w:eastAsia="仿宋_GB2312"/>
                <w:sz w:val="22"/>
              </w:rPr>
              <w:t xml:space="preserve">4. </w:t>
            </w:r>
            <w:r>
              <w:rPr>
                <w:rFonts w:ascii="仿宋_GB2312" w:hAnsi="仿宋_GB2312" w:cs="仿宋_GB2312" w:eastAsia="仿宋_GB2312"/>
                <w:sz w:val="22"/>
                <w:b/>
              </w:rPr>
              <w:t>后期服务</w:t>
            </w:r>
            <w:r>
              <w:rPr>
                <w:rFonts w:ascii="仿宋_GB2312" w:hAnsi="仿宋_GB2312" w:cs="仿宋_GB2312" w:eastAsia="仿宋_GB2312"/>
                <w:sz w:val="22"/>
              </w:rPr>
              <w:t>：全程配合评审入库工作，项目验收后提供不少于</w:t>
            </w:r>
            <w:r>
              <w:rPr>
                <w:rFonts w:ascii="仿宋_GB2312" w:hAnsi="仿宋_GB2312" w:cs="仿宋_GB2312" w:eastAsia="仿宋_GB2312"/>
                <w:sz w:val="22"/>
              </w:rPr>
              <w:t>1</w:t>
            </w:r>
            <w:r>
              <w:rPr>
                <w:rFonts w:ascii="仿宋_GB2312" w:hAnsi="仿宋_GB2312" w:cs="仿宋_GB2312" w:eastAsia="仿宋_GB2312"/>
                <w:sz w:val="22"/>
              </w:rPr>
              <w:t>年的免费技术答疑、数据维护等质保服务，违规作业造成的损失由中标单位全权承担。</w:t>
            </w:r>
          </w:p>
          <w:p>
            <w:pPr>
              <w:pStyle w:val="null3"/>
              <w:spacing w:before="120" w:after="12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供应商提供满⾜本项⽬实施的设施设备。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和方法：乙方提交完整报告、图件、附表、原始资料及标准化数据库；成果须符合国家及陕西省地质灾害调查评价现行技术规范；经采购人初步核查后，乙方完成上报评审、整改，以成果通过省级审查并完成省级地质灾害数据库入库为最终验收合格标准。验收不合格乙方无偿限期整改，整改费用乙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进度款，乙方完成全部外业、内业工作，提交全套送审成果，经采购人资料核查通过后，达到付款条件起30个工作日内，支付合同总金额的40.0%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进度款，项目成果通过省级专家审查、取得省级数据库入库凭证，完成政府采购履约验收合格后，达到付款条件起30个工作日内，支付合同总金额的60.0%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乙方逾期提交成果按日计付违约金；因乙方质量原因不能通过省级审查入库，甲方可解除合同，乙方退还已收款项并承担合同总价款 10% 违约金；乙方泄露项目涉密成果，承担相应违约金及损失。甲方逾期付款按约定承担违约金。双方发生争议优先协商，协商不成向项目所在地人民法院提起诉讼。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供应商需具备有效的地质灾害评估和治理工程勘查设计甲级资质。（材料应清晰可辨并进行电子签章）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服务内容及服务要求应答表 报价表 （项目负责人）业绩一览表.docx （企业业绩）业绩一览表.docx 响应文件封面 供应商应提交的相关资格证明材料.docx 残疾人福利性单位声明函 标的清单 项目组人员配备表.docx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（项目负责人）业绩一览表.docx （企业业绩）业绩一览表.docx 响应文件封面 供应商应提交的相关资格证明材料.docx 残疾人福利性单位声明函 标的清单 项目组人员配备表.docx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针对本项目服务内容制定整体实施方案，包括①工作任务及要求；②技术路线与要求；③工作部署；④项目进度计划；⑤数据采集及现场调查方案；⑥风险评价计算及划分；⑦风险评价结果分析；⑧成果文件及交付；⑨内部质量控制及审核；⑩后续服务及成果更新。上述内容齐全且无缺陷得30分，每有1项内容缺失扣3分，每有1项中存在1处缺陷扣1.5分，每项分值扣完为止。未提供不得分。注:内容未针对本项目、与本项目需求无关；仅有框架标题，无实质可落地内容；方案标题与实际内容不匹配；直接照搬套用其他项目模板；内容前后逻辑矛盾；引用国家、行业及本省技术规范标准错误等以上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重点、难点分析及措施</w:t>
            </w:r>
          </w:p>
        </w:tc>
        <w:tc>
          <w:tcPr>
            <w:tcW w:type="dxa" w:w="2492"/>
          </w:tcPr>
          <w:p>
            <w:pPr>
              <w:pStyle w:val="null3"/>
            </w:pPr>
            <w:r>
              <w:rPr>
                <w:rFonts w:ascii="仿宋_GB2312" w:hAnsi="仿宋_GB2312" w:cs="仿宋_GB2312" w:eastAsia="仿宋_GB2312"/>
              </w:rPr>
              <w:t>一、评审内容：针对本项目服务内容进行重点、难点分析，包括①重难点分析；②重难点的应对措施 。上述内容齐全且无缺陷得5分，每有1项内容缺失扣2.5分，每有1项中存在1处缺陷扣1分，每项分值扣完为止。未提供不得分。注:内容未针对本项目、与本项目需求无关；仅有框架标题，无实质可落地内容；方案标题与实际内容不匹配；直接照搬套用其他项目模板；内容前后逻辑矛盾；引用国家、行业及本省技术规范标准错误等以上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一、评审内容：针对本项目服务内容提供合理化建议，包括①方案内容优化建议；②项目实施合理化建议 。上述内容齐全且无缺陷得5分，每有1项内容缺失扣2.5分，每有1项中存在1处缺陷扣1分，每项分值扣完为止。未提供不得分。注:内容未针对本项目、与本项目需求无关；仅有框架标题，无实质可落地内容；方案标题与实际内容不匹配；直接照搬套用其他项目模板；内容前后逻辑矛盾；引用国家、行业及本省技术规范标准错误等以上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供应商针对本项目提供合理可行的管理措施，包括但不限于以下内容：①质量保证措施；②进度保证措施；③项目管理措施；④外业作业安全措施。二、评审标准：每小项1.5分，共4小项，满分6分；缺项扣1.5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供应商针对本项目提供合理可行的工作制度，包括但不限于以下内容：①技术方案编制及审核制度；②外业调查操作制度；③数据采集、录入管理制度；④成果编制与图件制作规范制度；⑤成果验收及交付管理制度；⑥数据资料保密制度 。二、评审标准：每小项1.5分，共6小项，满分9分；缺项扣1.5分，扣完为止。未提供不得分。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1.具备类似专业高级及以上职称得5分，中级职称得3分，未提供得0分。（ 注：类似专业包含水文地质、工程地质、环境地质、水工环地质、地质工程、岩土工程等地质相关专业，响应文件内附技术职称证书复印件并加盖企业公章。） 2.提供2023年7月1日至今类似项目业绩，每提供1份有效业绩得2.5分，满分5分，未提供得0分。（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项目组人员配备表.docx</w:t>
            </w:r>
          </w:p>
          <w:p>
            <w:pPr>
              <w:pStyle w:val="null3"/>
            </w:pPr>
            <w:r>
              <w:rPr>
                <w:rFonts w:ascii="仿宋_GB2312" w:hAnsi="仿宋_GB2312" w:cs="仿宋_GB2312" w:eastAsia="仿宋_GB2312"/>
              </w:rPr>
              <w:t>（项目负责人）业绩一览表.docx</w:t>
            </w:r>
          </w:p>
        </w:tc>
      </w:tr>
      <w:tr>
        <w:tc>
          <w:tcPr>
            <w:tcW w:type="dxa" w:w="831"/>
            <w:vMerge/>
          </w:tcPr>
          <w:p/>
        </w:tc>
        <w:tc>
          <w:tcPr>
            <w:tcW w:type="dxa" w:w="1661"/>
          </w:tcPr>
          <w:p>
            <w:pPr>
              <w:pStyle w:val="null3"/>
            </w:pPr>
            <w:r>
              <w:rPr>
                <w:rFonts w:ascii="仿宋_GB2312" w:hAnsi="仿宋_GB2312" w:cs="仿宋_GB2312" w:eastAsia="仿宋_GB2312"/>
              </w:rPr>
              <w:t>项目组人员配备（不含项目负责人）</w:t>
            </w:r>
          </w:p>
        </w:tc>
        <w:tc>
          <w:tcPr>
            <w:tcW w:type="dxa" w:w="2492"/>
          </w:tcPr>
          <w:p>
            <w:pPr>
              <w:pStyle w:val="null3"/>
            </w:pPr>
            <w:r>
              <w:rPr>
                <w:rFonts w:ascii="仿宋_GB2312" w:hAnsi="仿宋_GB2312" w:cs="仿宋_GB2312" w:eastAsia="仿宋_GB2312"/>
              </w:rPr>
              <w:t>拟投入团队人员中，具有类似专业高级及以上职称得2分，中级职称得1分，本项最高得10分。注：类似专业包含水文地质、工程地质、环境地质、水工环地质、地质工程、岩土工程等地质相关专业，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详见附件：项目组人员配备表.docx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详见附件：（项目负责人）业绩一览表.docx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