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AD911C">
      <w:pPr>
        <w:numPr>
          <w:ilvl w:val="0"/>
          <w:numId w:val="0"/>
        </w:numPr>
        <w:shd w:val="clear"/>
        <w:spacing w:before="156" w:beforeLines="50" w:line="360" w:lineRule="auto"/>
        <w:jc w:val="center"/>
        <w:outlineLvl w:val="0"/>
        <w:rPr>
          <w:rFonts w:hint="eastAsia" w:ascii="黑体" w:hAnsi="黑体" w:eastAsia="黑体" w:cs="黑体"/>
          <w:b/>
          <w:bCs/>
          <w:color w:val="auto"/>
          <w:sz w:val="32"/>
          <w:szCs w:val="32"/>
          <w:highlight w:val="none"/>
        </w:rPr>
      </w:pPr>
      <w:bookmarkStart w:id="0" w:name="_Toc4496"/>
      <w:r>
        <w:rPr>
          <w:rFonts w:hint="eastAsia" w:ascii="黑体" w:hAnsi="黑体" w:eastAsia="黑体" w:cs="黑体"/>
          <w:b/>
          <w:bCs/>
          <w:color w:val="auto"/>
          <w:sz w:val="32"/>
          <w:szCs w:val="32"/>
          <w:highlight w:val="none"/>
        </w:rPr>
        <w:t>拟签订采购合同文本</w:t>
      </w:r>
      <w:bookmarkEnd w:id="0"/>
    </w:p>
    <w:p w14:paraId="55E49FC8">
      <w:pPr>
        <w:shd w:val="clear"/>
        <w:autoSpaceDE w:val="0"/>
        <w:autoSpaceDN w:val="0"/>
        <w:adjustRightInd w:val="0"/>
        <w:snapToGrid w:val="0"/>
        <w:spacing w:line="360" w:lineRule="auto"/>
        <w:ind w:firstLine="440" w:firstLineChars="200"/>
        <w:jc w:val="center"/>
        <w:outlineLvl w:val="0"/>
        <w:rPr>
          <w:rFonts w:hint="eastAsia" w:ascii="黑体" w:hAnsi="黑体" w:eastAsia="黑体" w:cs="黑体"/>
          <w:bCs/>
          <w:sz w:val="22"/>
          <w:szCs w:val="22"/>
        </w:rPr>
      </w:pPr>
      <w:r>
        <w:rPr>
          <w:rFonts w:hint="eastAsia" w:ascii="黑体" w:hAnsi="黑体" w:eastAsia="黑体" w:cs="黑体"/>
          <w:bCs/>
          <w:sz w:val="22"/>
          <w:szCs w:val="22"/>
        </w:rPr>
        <w:t>（注：合同格式仅供参考，具体以实际签订内容为准）</w:t>
      </w:r>
    </w:p>
    <w:p w14:paraId="7637397B">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 xml:space="preserve">合同编号： </w:t>
      </w:r>
    </w:p>
    <w:p w14:paraId="3B815D36">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 xml:space="preserve">签订地点： </w:t>
      </w:r>
    </w:p>
    <w:p w14:paraId="583D06BC">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签订时间：</w:t>
      </w:r>
    </w:p>
    <w:p w14:paraId="49374E0E">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采购人（甲方）：</w:t>
      </w:r>
    </w:p>
    <w:p w14:paraId="3BA9CBA3">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供应商（乙方）：</w:t>
      </w:r>
    </w:p>
    <w:p w14:paraId="745C7D5C">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u w:val="single"/>
          <w:lang w:val="en-US" w:eastAsia="zh-CN"/>
        </w:rPr>
      </w:pPr>
      <w:r>
        <w:rPr>
          <w:rFonts w:hint="eastAsia" w:ascii="黑体" w:hAnsi="黑体" w:eastAsia="黑体" w:cs="黑体"/>
          <w:bCs/>
          <w:sz w:val="22"/>
          <w:szCs w:val="22"/>
        </w:rPr>
        <w:t>根据《中华人民共和国政府采购法》及实施条例、《中华人民共和国民法典》和</w:t>
      </w:r>
      <w:r>
        <w:rPr>
          <w:rFonts w:hint="eastAsia" w:ascii="黑体" w:hAnsi="黑体" w:eastAsia="黑体" w:cs="黑体"/>
          <w:bCs/>
          <w:sz w:val="22"/>
          <w:szCs w:val="22"/>
          <w:u w:val="single"/>
          <w:lang w:val="en-US" w:eastAsia="zh-CN"/>
        </w:rPr>
        <w:t xml:space="preserve"> </w:t>
      </w:r>
    </w:p>
    <w:p w14:paraId="0F22B4F1">
      <w:pPr>
        <w:shd w:val="clear"/>
        <w:autoSpaceDE w:val="0"/>
        <w:autoSpaceDN w:val="0"/>
        <w:adjustRightInd w:val="0"/>
        <w:snapToGrid w:val="0"/>
        <w:spacing w:line="360" w:lineRule="auto"/>
        <w:jc w:val="left"/>
        <w:outlineLvl w:val="0"/>
        <w:rPr>
          <w:rFonts w:hint="eastAsia" w:ascii="黑体" w:hAnsi="黑体" w:eastAsia="黑体" w:cs="黑体"/>
          <w:bCs/>
          <w:sz w:val="22"/>
          <w:szCs w:val="22"/>
        </w:rPr>
      </w:pPr>
      <w:r>
        <w:rPr>
          <w:rFonts w:hint="eastAsia" w:ascii="黑体" w:hAnsi="黑体" w:eastAsia="黑体" w:cs="黑体"/>
          <w:bCs/>
          <w:sz w:val="22"/>
          <w:szCs w:val="22"/>
          <w:u w:val="single"/>
          <w:lang w:val="en-US" w:eastAsia="zh-CN"/>
        </w:rPr>
        <w:t xml:space="preserve">（项目名称）                                    </w:t>
      </w:r>
      <w:r>
        <w:rPr>
          <w:rFonts w:hint="eastAsia" w:ascii="黑体" w:hAnsi="黑体" w:eastAsia="黑体" w:cs="黑体"/>
          <w:bCs/>
          <w:sz w:val="22"/>
          <w:szCs w:val="22"/>
        </w:rPr>
        <w:t>（采购项目编号：</w:t>
      </w:r>
      <w:r>
        <w:rPr>
          <w:rFonts w:hint="eastAsia" w:ascii="黑体" w:hAnsi="黑体" w:eastAsia="黑体" w:cs="黑体"/>
          <w:bCs/>
          <w:sz w:val="22"/>
          <w:szCs w:val="22"/>
          <w:lang w:val="en-US" w:eastAsia="zh-CN"/>
        </w:rPr>
        <w:t xml:space="preserve">         </w:t>
      </w:r>
      <w:bookmarkStart w:id="53" w:name="_GoBack"/>
      <w:bookmarkEnd w:id="53"/>
      <w:r>
        <w:rPr>
          <w:rFonts w:hint="eastAsia" w:ascii="黑体" w:hAnsi="黑体" w:eastAsia="黑体" w:cs="黑体"/>
          <w:bCs/>
          <w:sz w:val="22"/>
          <w:szCs w:val="22"/>
        </w:rPr>
        <w:t>）的竞争性磋商文件、竞争性磋商响应文件等有关规定，为确保甲方采购项目的顺利实施，甲、乙双方在平等自愿原则下签订本合同，并共同遵守如下条款：</w:t>
      </w:r>
    </w:p>
    <w:p w14:paraId="7A25E57A">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第一条 项目基本情况</w:t>
      </w:r>
    </w:p>
    <w:p w14:paraId="10661B41">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第二条 合同期限</w:t>
      </w:r>
    </w:p>
    <w:p w14:paraId="468B34F3">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bookmarkStart w:id="1" w:name="_Toc225670751"/>
      <w:bookmarkStart w:id="2" w:name="_Toc185395249"/>
      <w:bookmarkStart w:id="3" w:name="_Toc283019214"/>
      <w:bookmarkStart w:id="4" w:name="_Toc251768862"/>
      <w:bookmarkStart w:id="5" w:name="_Toc241833903"/>
      <w:bookmarkStart w:id="6" w:name="_Toc232492928"/>
      <w:bookmarkStart w:id="7" w:name="_Toc282696226"/>
      <w:bookmarkStart w:id="8" w:name="_Toc286993786"/>
      <w:bookmarkStart w:id="9" w:name="_Toc238984975"/>
      <w:bookmarkStart w:id="10" w:name="_Toc239568418"/>
      <w:bookmarkStart w:id="11" w:name="_Toc211911348"/>
      <w:bookmarkStart w:id="12" w:name="_Toc211854449"/>
      <w:bookmarkStart w:id="13" w:name="_Toc239233914"/>
      <w:bookmarkStart w:id="14" w:name="_Toc225654644"/>
      <w:bookmarkStart w:id="15" w:name="_Toc247334841"/>
      <w:bookmarkStart w:id="16" w:name="_Toc237145406"/>
      <w:bookmarkStart w:id="17" w:name="_Toc212019594"/>
      <w:bookmarkStart w:id="18" w:name="_Toc225244852"/>
      <w:r>
        <w:rPr>
          <w:rFonts w:hint="eastAsia" w:ascii="黑体" w:hAnsi="黑体" w:eastAsia="黑体" w:cs="黑体"/>
          <w:bCs/>
          <w:sz w:val="22"/>
          <w:szCs w:val="22"/>
        </w:rPr>
        <w:t>第三条 服务内容与质量标准</w:t>
      </w:r>
    </w:p>
    <w:p w14:paraId="1D8D570C">
      <w:pPr>
        <w:shd w:val="clear"/>
        <w:snapToGrid w:val="0"/>
        <w:spacing w:line="360" w:lineRule="auto"/>
        <w:ind w:firstLine="482"/>
        <w:rPr>
          <w:rFonts w:hint="eastAsia" w:ascii="黑体" w:hAnsi="黑体" w:eastAsia="黑体" w:cs="黑体"/>
          <w:bCs/>
          <w:sz w:val="22"/>
          <w:szCs w:val="22"/>
        </w:rPr>
      </w:pPr>
      <w:r>
        <w:rPr>
          <w:rFonts w:hint="eastAsia" w:ascii="黑体" w:hAnsi="黑体" w:eastAsia="黑体" w:cs="黑体"/>
          <w:bCs/>
          <w:sz w:val="22"/>
          <w:szCs w:val="22"/>
        </w:rPr>
        <w:t>本合同所提供的服务项目内容：</w:t>
      </w:r>
      <w:r>
        <w:rPr>
          <w:rFonts w:hint="eastAsia" w:ascii="黑体" w:hAnsi="黑体" w:eastAsia="黑体" w:cs="黑体"/>
          <w:bCs/>
          <w:sz w:val="22"/>
          <w:szCs w:val="22"/>
          <w:u w:val="single"/>
        </w:rPr>
        <w:t xml:space="preserve">                </w:t>
      </w:r>
      <w:r>
        <w:rPr>
          <w:rFonts w:hint="eastAsia" w:ascii="黑体" w:hAnsi="黑体" w:eastAsia="黑体" w:cs="黑体"/>
          <w:bCs/>
          <w:sz w:val="22"/>
          <w:szCs w:val="22"/>
        </w:rPr>
        <w:t>（与响应文件中服务及设备明细表一致）。</w:t>
      </w:r>
    </w:p>
    <w:p w14:paraId="33AEF83B">
      <w:pPr>
        <w:shd w:val="clear"/>
        <w:snapToGrid w:val="0"/>
        <w:spacing w:line="360" w:lineRule="auto"/>
        <w:ind w:firstLine="482"/>
        <w:rPr>
          <w:rFonts w:hint="eastAsia" w:ascii="黑体" w:hAnsi="黑体" w:eastAsia="黑体" w:cs="黑体"/>
          <w:bCs/>
          <w:sz w:val="22"/>
          <w:szCs w:val="22"/>
        </w:rPr>
      </w:pPr>
      <w:r>
        <w:rPr>
          <w:rFonts w:hint="eastAsia" w:ascii="黑体" w:hAnsi="黑体" w:eastAsia="黑体" w:cs="黑体"/>
          <w:bCs/>
          <w:sz w:val="22"/>
          <w:szCs w:val="22"/>
        </w:rPr>
        <w:t>1、</w:t>
      </w:r>
      <w:r>
        <w:rPr>
          <w:rFonts w:hint="eastAsia" w:ascii="黑体" w:hAnsi="黑体" w:eastAsia="黑体" w:cs="黑体"/>
          <w:bCs/>
          <w:sz w:val="22"/>
          <w:szCs w:val="22"/>
          <w:lang w:eastAsia="zh-CN"/>
        </w:rPr>
        <w:t>服务期限</w:t>
      </w:r>
      <w:r>
        <w:rPr>
          <w:rFonts w:hint="eastAsia" w:ascii="黑体" w:hAnsi="黑体" w:eastAsia="黑体" w:cs="黑体"/>
          <w:bCs/>
          <w:sz w:val="22"/>
          <w:szCs w:val="22"/>
        </w:rPr>
        <w:t>：</w:t>
      </w:r>
      <w:r>
        <w:rPr>
          <w:rFonts w:hint="eastAsia" w:ascii="黑体" w:hAnsi="黑体" w:eastAsia="黑体" w:cs="黑体"/>
          <w:bCs/>
          <w:sz w:val="22"/>
          <w:szCs w:val="22"/>
          <w:u w:val="single"/>
        </w:rPr>
        <w:t xml:space="preserve">                                </w:t>
      </w:r>
      <w:r>
        <w:rPr>
          <w:rFonts w:hint="eastAsia" w:ascii="黑体" w:hAnsi="黑体" w:eastAsia="黑体" w:cs="黑体"/>
          <w:bCs/>
          <w:sz w:val="22"/>
          <w:szCs w:val="22"/>
        </w:rPr>
        <w:t>。</w:t>
      </w:r>
    </w:p>
    <w:p w14:paraId="34584F81">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w:t>
      </w:r>
    </w:p>
    <w:p w14:paraId="021394B6">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第四条 服务费用</w:t>
      </w:r>
    </w:p>
    <w:p w14:paraId="6062E622">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1、服务总费用为人民币大写：</w:t>
      </w:r>
      <w:r>
        <w:rPr>
          <w:rFonts w:hint="eastAsia" w:ascii="黑体" w:hAnsi="黑体" w:eastAsia="黑体" w:cs="黑体"/>
          <w:bCs/>
          <w:sz w:val="22"/>
          <w:szCs w:val="22"/>
          <w:u w:val="single"/>
        </w:rPr>
        <w:t xml:space="preserve">        </w:t>
      </w:r>
      <w:r>
        <w:rPr>
          <w:rFonts w:hint="eastAsia" w:ascii="黑体" w:hAnsi="黑体" w:eastAsia="黑体" w:cs="黑体"/>
          <w:bCs/>
          <w:sz w:val="22"/>
          <w:szCs w:val="22"/>
        </w:rPr>
        <w:t>元， RMB¥</w:t>
      </w:r>
      <w:r>
        <w:rPr>
          <w:rFonts w:hint="eastAsia" w:ascii="黑体" w:hAnsi="黑体" w:eastAsia="黑体" w:cs="黑体"/>
          <w:bCs/>
          <w:sz w:val="22"/>
          <w:szCs w:val="22"/>
          <w:u w:val="single"/>
        </w:rPr>
        <w:t xml:space="preserve">       </w:t>
      </w:r>
      <w:r>
        <w:rPr>
          <w:rFonts w:hint="eastAsia" w:ascii="黑体" w:hAnsi="黑体" w:eastAsia="黑体" w:cs="黑体"/>
          <w:bCs/>
          <w:sz w:val="22"/>
          <w:szCs w:val="22"/>
        </w:rPr>
        <w:t xml:space="preserve"> 。</w:t>
      </w:r>
    </w:p>
    <w:p w14:paraId="2E1B116B">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2、本项目服务费用由以下组成：</w:t>
      </w:r>
    </w:p>
    <w:p w14:paraId="2DD9D1FB">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（1）XX万元；</w:t>
      </w:r>
    </w:p>
    <w:p w14:paraId="711DBA8E">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（2）XX万元；</w:t>
      </w:r>
    </w:p>
    <w:p w14:paraId="6DB38021">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w:t>
      </w:r>
    </w:p>
    <w:p w14:paraId="78071190">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3、本合同执行期间服务总费用不变，甲方无须另向乙方支付本合同规定之外的其他任何费用。</w:t>
      </w:r>
    </w:p>
    <w:p w14:paraId="73B67D0E">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第五条  服务费支付方式</w:t>
      </w:r>
    </w:p>
    <w:p w14:paraId="5E819B8F">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color w:val="auto"/>
          <w:sz w:val="22"/>
          <w:szCs w:val="22"/>
          <w:highlight w:val="none"/>
          <w:lang w:val="en-US" w:eastAsia="zh-CN"/>
        </w:rPr>
      </w:pPr>
      <w:r>
        <w:rPr>
          <w:rFonts w:hint="eastAsia" w:ascii="黑体" w:hAnsi="黑体" w:eastAsia="黑体" w:cs="黑体"/>
          <w:color w:val="auto"/>
          <w:sz w:val="22"/>
          <w:szCs w:val="22"/>
          <w:highlight w:val="none"/>
          <w:lang w:val="en-US" w:eastAsia="zh-CN"/>
        </w:rPr>
        <w:t>按磋商文件执行</w:t>
      </w:r>
    </w:p>
    <w:p w14:paraId="1C870ED6">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第六条   知识产权</w:t>
      </w:r>
    </w:p>
    <w:p w14:paraId="3AEF591A">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乙方应保证所提供的服务或其任何一部分均不会侵犯任何第三方的专利权、商标权或著作权。</w:t>
      </w:r>
    </w:p>
    <w:p w14:paraId="7ABB4DCF">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第七条  无产权瑕疵条款</w:t>
      </w:r>
    </w:p>
    <w:p w14:paraId="2C89FC44">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乙方保证所提供的服务的所有权完全属于乙方且无任何抵押、查封等产权瑕疵。如有产权瑕疵的，视为乙方违约。乙方应负担由此而产生的一切损失。</w:t>
      </w:r>
    </w:p>
    <w:p w14:paraId="1A38F9EB">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第八条  甲方的权利和义务</w:t>
      </w:r>
    </w:p>
    <w:p w14:paraId="25356CD5">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1、甲方有权对合同规定范围内乙方的服务行为进行监督和检查，拥有监管权。有权定期核对乙方提供服务所配备的人员数量。对甲方认为不合理的部分有权下达整改通知书，并要求乙方限期整改。</w:t>
      </w:r>
    </w:p>
    <w:p w14:paraId="4B7C564F">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2、甲方有权依据双方签订的考评办法对乙方提供的服务进行定期考评。</w:t>
      </w:r>
    </w:p>
    <w:p w14:paraId="10E05B25">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3、负责检查监督乙方管理工作的实施及制度的执行情况。</w:t>
      </w:r>
    </w:p>
    <w:p w14:paraId="1AF08FA1">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4、根据本合同规定，按时向乙方支付应付服务费用。</w:t>
      </w:r>
    </w:p>
    <w:p w14:paraId="0CB72E33">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5、国家法律、法规所规定由甲方承担的其它责任。</w:t>
      </w:r>
    </w:p>
    <w:p w14:paraId="7CD03772">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第九条  乙方的权利和义务</w:t>
      </w:r>
    </w:p>
    <w:p w14:paraId="33F27E2B">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1、对本合同规定的委托服务范围内的项目享有管理权及服务义务。</w:t>
      </w:r>
    </w:p>
    <w:p w14:paraId="7688D648">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2、根据本合同的规定向甲方收取相关服务费用，并有权在本项目管理范围内管理及合理使用。</w:t>
      </w:r>
    </w:p>
    <w:p w14:paraId="7E4A0D13">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3、及时向甲方通告本项目服务范围内有关服务的重大事项，及时配合处理投诉。</w:t>
      </w:r>
    </w:p>
    <w:p w14:paraId="33C928F9">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4、接受项目行业管理部门及政府有关部门的指导，接受甲方的监督。</w:t>
      </w:r>
    </w:p>
    <w:p w14:paraId="303CA538">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5、国家法律、法规所规定由乙方承担的其它责任。</w:t>
      </w:r>
    </w:p>
    <w:p w14:paraId="0F08C1DB">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第十条  违约责任</w:t>
      </w:r>
    </w:p>
    <w:p w14:paraId="56680879">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1、甲乙双方必须遵守本合同并执行合同中的各项规定，保证本合同的正常履行。</w:t>
      </w:r>
    </w:p>
    <w:p w14:paraId="151A1DE9">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40649E16">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第十一条  不可抗力事件处理</w:t>
      </w:r>
    </w:p>
    <w:p w14:paraId="4F17176F">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1、在合同有效期内，任何一方因不可抗力事件导致不能履行合同，则合同履行期可延长，其延长期与不可抗力影响期相同。</w:t>
      </w:r>
    </w:p>
    <w:p w14:paraId="2F907634">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2、不可抗力事件发生后，应立即通知对方，并寄送有关权威机构出具的证明。</w:t>
      </w:r>
    </w:p>
    <w:p w14:paraId="6429F48D">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3、不可抗力事件延续XX天以上，双方应通过友好协商，确定是否继续履行合同。</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8FBF373">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bookmarkStart w:id="19" w:name="_Toc237145411"/>
      <w:bookmarkStart w:id="20" w:name="_Toc225670756"/>
      <w:bookmarkStart w:id="21" w:name="_Toc239233919"/>
      <w:bookmarkStart w:id="22" w:name="_Toc185395254"/>
      <w:bookmarkStart w:id="23" w:name="_Toc225654649"/>
      <w:bookmarkStart w:id="24" w:name="_Toc225244857"/>
      <w:bookmarkStart w:id="25" w:name="_Toc238984980"/>
      <w:bookmarkStart w:id="26" w:name="_Toc251768867"/>
      <w:bookmarkStart w:id="27" w:name="_Toc212019599"/>
      <w:bookmarkStart w:id="28" w:name="_Toc211854454"/>
      <w:bookmarkStart w:id="29" w:name="_Toc286993792"/>
      <w:bookmarkStart w:id="30" w:name="_Toc232492933"/>
      <w:bookmarkStart w:id="31" w:name="_Toc239568423"/>
      <w:bookmarkStart w:id="32" w:name="_Toc211911353"/>
      <w:bookmarkStart w:id="33" w:name="_Toc247334846"/>
      <w:bookmarkStart w:id="34" w:name="_Toc241833908"/>
      <w:r>
        <w:rPr>
          <w:rFonts w:hint="eastAsia" w:ascii="黑体" w:hAnsi="黑体" w:eastAsia="黑体" w:cs="黑体"/>
          <w:bCs/>
          <w:sz w:val="22"/>
          <w:szCs w:val="22"/>
        </w:rPr>
        <w:t>第十二条  合同的变更和终止</w:t>
      </w:r>
    </w:p>
    <w:p w14:paraId="0CDE26EF">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除《中华人民共和国政府采购法》第49条、第50条第二款规定的情形外，本合同一经签订，甲乙双方不得擅自变更、中止或终止合同。</w:t>
      </w:r>
    </w:p>
    <w:p w14:paraId="31DC4D98">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第十三条  解决合同纠纷的方式</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0E59AD3">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1、在执行本合同中发生的或与本合同有关的争端，双方应通过友好协商解决，经协商在XX天内不能达成协议时，则采取以下第____种方式解决争议：</w:t>
      </w:r>
    </w:p>
    <w:p w14:paraId="399B9B46">
      <w:pPr>
        <w:shd w:val="clear"/>
        <w:autoSpaceDE w:val="0"/>
        <w:autoSpaceDN w:val="0"/>
        <w:adjustRightInd w:val="0"/>
        <w:snapToGrid w:val="0"/>
        <w:spacing w:line="360" w:lineRule="auto"/>
        <w:ind w:firstLine="220" w:firstLineChars="100"/>
        <w:jc w:val="left"/>
        <w:outlineLvl w:val="0"/>
        <w:rPr>
          <w:rFonts w:hint="eastAsia" w:ascii="黑体" w:hAnsi="黑体" w:eastAsia="黑体" w:cs="黑体"/>
          <w:bCs/>
          <w:sz w:val="22"/>
          <w:szCs w:val="22"/>
        </w:rPr>
      </w:pPr>
      <w:r>
        <w:rPr>
          <w:rFonts w:hint="eastAsia" w:ascii="黑体" w:hAnsi="黑体" w:eastAsia="黑体" w:cs="黑体"/>
          <w:bCs/>
          <w:sz w:val="22"/>
          <w:szCs w:val="22"/>
        </w:rPr>
        <w:t>（1）向甲方所在地有管辖权的人民法院提起诉讼；</w:t>
      </w:r>
    </w:p>
    <w:p w14:paraId="794A048A">
      <w:pPr>
        <w:shd w:val="clear"/>
        <w:autoSpaceDE w:val="0"/>
        <w:autoSpaceDN w:val="0"/>
        <w:adjustRightInd w:val="0"/>
        <w:snapToGrid w:val="0"/>
        <w:spacing w:line="360" w:lineRule="auto"/>
        <w:ind w:firstLine="220" w:firstLineChars="100"/>
        <w:jc w:val="left"/>
        <w:outlineLvl w:val="0"/>
        <w:rPr>
          <w:rFonts w:hint="eastAsia" w:ascii="黑体" w:hAnsi="黑体" w:eastAsia="黑体" w:cs="黑体"/>
          <w:bCs/>
          <w:sz w:val="22"/>
          <w:szCs w:val="22"/>
        </w:rPr>
      </w:pPr>
      <w:r>
        <w:rPr>
          <w:rFonts w:hint="eastAsia" w:ascii="黑体" w:hAnsi="黑体" w:eastAsia="黑体" w:cs="黑体"/>
          <w:bCs/>
          <w:sz w:val="22"/>
          <w:szCs w:val="22"/>
        </w:rPr>
        <w:t>（2）向____________仲裁委员会按其仲裁规则申请仲裁。</w:t>
      </w:r>
    </w:p>
    <w:p w14:paraId="57C322E2">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2、在仲裁期间，本合同应继续履行。</w:t>
      </w:r>
    </w:p>
    <w:p w14:paraId="1664C4A9">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bookmarkStart w:id="35" w:name="_Toc237145412"/>
      <w:bookmarkStart w:id="36" w:name="_Toc185395255"/>
      <w:bookmarkStart w:id="37" w:name="_Toc225654650"/>
      <w:bookmarkStart w:id="38" w:name="_Toc211911354"/>
      <w:bookmarkStart w:id="39" w:name="_Toc251768868"/>
      <w:bookmarkStart w:id="40" w:name="_Toc282696231"/>
      <w:bookmarkStart w:id="41" w:name="_Toc238984981"/>
      <w:bookmarkStart w:id="42" w:name="_Toc239233920"/>
      <w:bookmarkStart w:id="43" w:name="_Toc286993793"/>
      <w:bookmarkStart w:id="44" w:name="_Toc232492934"/>
      <w:bookmarkStart w:id="45" w:name="_Toc212019600"/>
      <w:bookmarkStart w:id="46" w:name="_Toc225244858"/>
      <w:bookmarkStart w:id="47" w:name="_Toc225670757"/>
      <w:bookmarkStart w:id="48" w:name="_Toc283019219"/>
      <w:bookmarkStart w:id="49" w:name="_Toc239568424"/>
      <w:bookmarkStart w:id="50" w:name="_Toc211854455"/>
      <w:bookmarkStart w:id="51" w:name="_Toc241833909"/>
      <w:bookmarkStart w:id="52" w:name="_Toc247334847"/>
      <w:r>
        <w:rPr>
          <w:rFonts w:hint="eastAsia" w:ascii="黑体" w:hAnsi="黑体" w:eastAsia="黑体" w:cs="黑体"/>
          <w:bCs/>
          <w:sz w:val="22"/>
          <w:szCs w:val="22"/>
        </w:rPr>
        <w:t>第十四条  合同</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hint="eastAsia" w:ascii="黑体" w:hAnsi="黑体" w:eastAsia="黑体" w:cs="黑体"/>
          <w:bCs/>
          <w:sz w:val="22"/>
          <w:szCs w:val="22"/>
        </w:rPr>
        <w:t>生效及其他</w:t>
      </w:r>
    </w:p>
    <w:p w14:paraId="3C778F01">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1、合同经双方法定代表人或授权委托代理人签字并加盖单位公章后生效。</w:t>
      </w:r>
    </w:p>
    <w:p w14:paraId="728F98E0">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2、合同执行中涉及采购资金和采购内容修改或补充的，须经政府采购监管部门审批，并签书面补充协议报政府采购监督管理部门备案，方可作为主合同不可分割的一部分。</w:t>
      </w:r>
    </w:p>
    <w:p w14:paraId="28912D9F">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3、本合同一式XX份，自双方签章之日起起效。甲方XX份，乙方XX份，政府采购代理机构XX份，同级财政部门备案XX份，具有同等法律效力。</w:t>
      </w:r>
    </w:p>
    <w:p w14:paraId="3664589C">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第十五条  附件</w:t>
      </w:r>
    </w:p>
    <w:p w14:paraId="6F25EE3A">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1、项目竞争性磋商文件</w:t>
      </w:r>
    </w:p>
    <w:p w14:paraId="15D0D6C7">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2、项目修改澄清文件</w:t>
      </w:r>
    </w:p>
    <w:p w14:paraId="6ACDC73D">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3、项目响应文件</w:t>
      </w:r>
    </w:p>
    <w:p w14:paraId="6C8C87D2">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4、成交通知书</w:t>
      </w:r>
    </w:p>
    <w:p w14:paraId="2E9D314E">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5、其他</w:t>
      </w:r>
    </w:p>
    <w:p w14:paraId="09408DC0">
      <w:pPr>
        <w:pStyle w:val="2"/>
        <w:shd w:val="clear"/>
        <w:snapToGrid w:val="0"/>
        <w:spacing w:after="0" w:line="360" w:lineRule="auto"/>
        <w:ind w:left="0" w:leftChars="0" w:firstLine="0" w:firstLineChars="0"/>
        <w:rPr>
          <w:rFonts w:hint="eastAsia" w:ascii="黑体" w:hAnsi="黑体" w:eastAsia="黑体" w:cs="黑体"/>
          <w:bCs/>
          <w:sz w:val="22"/>
          <w:szCs w:val="22"/>
        </w:rPr>
      </w:pPr>
    </w:p>
    <w:p w14:paraId="719ECB07">
      <w:pPr>
        <w:shd w:val="clear"/>
        <w:rPr>
          <w:rFonts w:hint="eastAsia" w:ascii="黑体" w:hAnsi="黑体" w:eastAsia="黑体" w:cs="黑体"/>
          <w:bCs/>
          <w:sz w:val="22"/>
          <w:szCs w:val="22"/>
        </w:rPr>
      </w:pPr>
    </w:p>
    <w:p w14:paraId="6CE1BA14">
      <w:pPr>
        <w:shd w:val="clear"/>
        <w:rPr>
          <w:rFonts w:hint="eastAsia" w:ascii="黑体" w:hAnsi="黑体" w:eastAsia="黑体" w:cs="黑体"/>
          <w:bCs/>
          <w:sz w:val="22"/>
          <w:szCs w:val="22"/>
        </w:rPr>
      </w:pPr>
    </w:p>
    <w:p w14:paraId="49579591">
      <w:pPr>
        <w:shd w:val="clear"/>
        <w:rPr>
          <w:rFonts w:hint="eastAsia" w:ascii="黑体" w:hAnsi="黑体" w:eastAsia="黑体" w:cs="黑体"/>
          <w:bCs/>
          <w:sz w:val="22"/>
          <w:szCs w:val="22"/>
        </w:rPr>
      </w:pPr>
    </w:p>
    <w:p w14:paraId="67323F26">
      <w:pPr>
        <w:shd w:val="clear"/>
        <w:autoSpaceDE w:val="0"/>
        <w:autoSpaceDN w:val="0"/>
        <w:adjustRightInd w:val="0"/>
        <w:snapToGrid w:val="0"/>
        <w:spacing w:line="360" w:lineRule="auto"/>
        <w:jc w:val="left"/>
        <w:outlineLvl w:val="0"/>
        <w:rPr>
          <w:rFonts w:hint="eastAsia" w:ascii="黑体" w:hAnsi="黑体" w:eastAsia="黑体" w:cs="黑体"/>
          <w:bCs/>
          <w:sz w:val="22"/>
          <w:szCs w:val="22"/>
        </w:rPr>
      </w:pPr>
      <w:r>
        <w:rPr>
          <w:rFonts w:hint="eastAsia" w:ascii="黑体" w:hAnsi="黑体" w:eastAsia="黑体" w:cs="黑体"/>
          <w:bCs/>
          <w:sz w:val="22"/>
          <w:szCs w:val="22"/>
        </w:rPr>
        <w:t xml:space="preserve">甲方：   （盖章）   </w:t>
      </w:r>
      <w:r>
        <w:rPr>
          <w:rFonts w:hint="eastAsia" w:ascii="黑体" w:hAnsi="黑体" w:eastAsia="黑体" w:cs="黑体"/>
          <w:bCs/>
          <w:sz w:val="22"/>
          <w:szCs w:val="22"/>
        </w:rPr>
        <w:tab/>
      </w:r>
      <w:r>
        <w:rPr>
          <w:rFonts w:hint="eastAsia" w:ascii="黑体" w:hAnsi="黑体" w:eastAsia="黑体" w:cs="黑体"/>
          <w:bCs/>
          <w:sz w:val="22"/>
          <w:szCs w:val="22"/>
        </w:rPr>
        <w:tab/>
      </w:r>
      <w:r>
        <w:rPr>
          <w:rFonts w:hint="eastAsia" w:ascii="黑体" w:hAnsi="黑体" w:eastAsia="黑体" w:cs="黑体"/>
          <w:bCs/>
          <w:sz w:val="22"/>
          <w:szCs w:val="22"/>
        </w:rPr>
        <w:tab/>
      </w:r>
      <w:r>
        <w:rPr>
          <w:rFonts w:hint="eastAsia" w:ascii="黑体" w:hAnsi="黑体" w:eastAsia="黑体" w:cs="黑体"/>
          <w:bCs/>
          <w:sz w:val="22"/>
          <w:szCs w:val="22"/>
        </w:rPr>
        <w:t xml:space="preserve">       乙方：   （盖章）</w:t>
      </w:r>
    </w:p>
    <w:p w14:paraId="336E3BB7">
      <w:pPr>
        <w:shd w:val="clear"/>
        <w:autoSpaceDE w:val="0"/>
        <w:autoSpaceDN w:val="0"/>
        <w:adjustRightInd w:val="0"/>
        <w:snapToGrid w:val="0"/>
        <w:spacing w:line="360" w:lineRule="auto"/>
        <w:jc w:val="left"/>
        <w:outlineLvl w:val="0"/>
        <w:rPr>
          <w:rFonts w:hint="eastAsia" w:ascii="黑体" w:hAnsi="黑体" w:eastAsia="黑体" w:cs="黑体"/>
          <w:bCs/>
          <w:sz w:val="22"/>
          <w:szCs w:val="22"/>
        </w:rPr>
      </w:pPr>
      <w:r>
        <w:rPr>
          <w:rFonts w:hint="eastAsia" w:ascii="黑体" w:hAnsi="黑体" w:eastAsia="黑体" w:cs="黑体"/>
          <w:bCs/>
          <w:sz w:val="22"/>
          <w:szCs w:val="22"/>
        </w:rPr>
        <w:t>法定代表人（授权代表）：              法定代表人（授权代表）：</w:t>
      </w:r>
    </w:p>
    <w:p w14:paraId="2E52E759">
      <w:pPr>
        <w:shd w:val="clear"/>
        <w:autoSpaceDE w:val="0"/>
        <w:autoSpaceDN w:val="0"/>
        <w:adjustRightInd w:val="0"/>
        <w:snapToGrid w:val="0"/>
        <w:spacing w:line="360" w:lineRule="auto"/>
        <w:jc w:val="left"/>
        <w:outlineLvl w:val="0"/>
        <w:rPr>
          <w:rFonts w:hint="eastAsia" w:ascii="黑体" w:hAnsi="黑体" w:eastAsia="黑体" w:cs="黑体"/>
          <w:bCs/>
          <w:sz w:val="22"/>
          <w:szCs w:val="22"/>
        </w:rPr>
      </w:pPr>
      <w:r>
        <w:rPr>
          <w:rFonts w:hint="eastAsia" w:ascii="黑体" w:hAnsi="黑体" w:eastAsia="黑体" w:cs="黑体"/>
          <w:bCs/>
          <w:sz w:val="22"/>
          <w:szCs w:val="22"/>
        </w:rPr>
        <w:t>地    址：                            地    址：</w:t>
      </w:r>
    </w:p>
    <w:p w14:paraId="3F175665">
      <w:pPr>
        <w:shd w:val="clear"/>
        <w:autoSpaceDE w:val="0"/>
        <w:autoSpaceDN w:val="0"/>
        <w:adjustRightInd w:val="0"/>
        <w:snapToGrid w:val="0"/>
        <w:spacing w:line="360" w:lineRule="auto"/>
        <w:jc w:val="left"/>
        <w:outlineLvl w:val="0"/>
        <w:rPr>
          <w:rFonts w:hint="eastAsia" w:ascii="黑体" w:hAnsi="黑体" w:eastAsia="黑体" w:cs="黑体"/>
          <w:bCs/>
          <w:sz w:val="22"/>
          <w:szCs w:val="22"/>
        </w:rPr>
      </w:pPr>
      <w:r>
        <w:rPr>
          <w:rFonts w:hint="eastAsia" w:ascii="黑体" w:hAnsi="黑体" w:eastAsia="黑体" w:cs="黑体"/>
          <w:bCs/>
          <w:sz w:val="22"/>
          <w:szCs w:val="22"/>
        </w:rPr>
        <w:t>开户银行：                            开户银行：</w:t>
      </w:r>
    </w:p>
    <w:p w14:paraId="2E7FB771">
      <w:pPr>
        <w:shd w:val="clear"/>
        <w:autoSpaceDE w:val="0"/>
        <w:autoSpaceDN w:val="0"/>
        <w:adjustRightInd w:val="0"/>
        <w:snapToGrid w:val="0"/>
        <w:spacing w:line="360" w:lineRule="auto"/>
        <w:jc w:val="left"/>
        <w:outlineLvl w:val="0"/>
        <w:rPr>
          <w:rFonts w:hint="eastAsia" w:ascii="黑体" w:hAnsi="黑体" w:eastAsia="黑体" w:cs="黑体"/>
          <w:bCs/>
          <w:sz w:val="22"/>
          <w:szCs w:val="22"/>
        </w:rPr>
      </w:pPr>
      <w:r>
        <w:rPr>
          <w:rFonts w:hint="eastAsia" w:ascii="黑体" w:hAnsi="黑体" w:eastAsia="黑体" w:cs="黑体"/>
          <w:bCs/>
          <w:sz w:val="22"/>
          <w:szCs w:val="22"/>
        </w:rPr>
        <w:t>账号：                                账号：</w:t>
      </w:r>
    </w:p>
    <w:p w14:paraId="76028AC1">
      <w:pPr>
        <w:shd w:val="clear"/>
        <w:autoSpaceDE w:val="0"/>
        <w:autoSpaceDN w:val="0"/>
        <w:adjustRightInd w:val="0"/>
        <w:snapToGrid w:val="0"/>
        <w:spacing w:line="360" w:lineRule="auto"/>
        <w:jc w:val="left"/>
        <w:outlineLvl w:val="0"/>
        <w:rPr>
          <w:rFonts w:hint="eastAsia" w:ascii="黑体" w:hAnsi="黑体" w:eastAsia="黑体" w:cs="黑体"/>
          <w:bCs/>
          <w:sz w:val="22"/>
          <w:szCs w:val="22"/>
        </w:rPr>
      </w:pPr>
      <w:r>
        <w:rPr>
          <w:rFonts w:hint="eastAsia" w:ascii="黑体" w:hAnsi="黑体" w:eastAsia="黑体" w:cs="黑体"/>
          <w:bCs/>
          <w:sz w:val="22"/>
          <w:szCs w:val="22"/>
        </w:rPr>
        <w:t>电    话：                            电    话：</w:t>
      </w:r>
    </w:p>
    <w:p w14:paraId="50274180">
      <w:pPr>
        <w:shd w:val="clear"/>
        <w:autoSpaceDE w:val="0"/>
        <w:autoSpaceDN w:val="0"/>
        <w:adjustRightInd w:val="0"/>
        <w:snapToGrid w:val="0"/>
        <w:spacing w:line="360" w:lineRule="auto"/>
        <w:jc w:val="left"/>
        <w:outlineLvl w:val="0"/>
        <w:rPr>
          <w:rFonts w:hint="eastAsia" w:ascii="黑体" w:hAnsi="黑体" w:eastAsia="黑体" w:cs="黑体"/>
          <w:bCs/>
          <w:sz w:val="22"/>
          <w:szCs w:val="22"/>
        </w:rPr>
      </w:pPr>
      <w:r>
        <w:rPr>
          <w:rFonts w:hint="eastAsia" w:ascii="黑体" w:hAnsi="黑体" w:eastAsia="黑体" w:cs="黑体"/>
          <w:bCs/>
          <w:sz w:val="22"/>
          <w:szCs w:val="22"/>
        </w:rPr>
        <w:t>传    真：                            传    真：</w:t>
      </w:r>
    </w:p>
    <w:p w14:paraId="7683C20E">
      <w:pPr>
        <w:shd w:val="clear"/>
        <w:autoSpaceDE w:val="0"/>
        <w:autoSpaceDN w:val="0"/>
        <w:adjustRightInd w:val="0"/>
        <w:snapToGrid w:val="0"/>
        <w:spacing w:line="360" w:lineRule="auto"/>
        <w:jc w:val="left"/>
        <w:outlineLvl w:val="0"/>
        <w:rPr>
          <w:rFonts w:hint="eastAsia" w:ascii="黑体" w:hAnsi="黑体" w:eastAsia="黑体" w:cs="黑体"/>
          <w:b/>
          <w:bCs/>
          <w:sz w:val="36"/>
          <w:szCs w:val="36"/>
        </w:rPr>
      </w:pPr>
      <w:r>
        <w:rPr>
          <w:rFonts w:hint="eastAsia" w:ascii="黑体" w:hAnsi="黑体" w:eastAsia="黑体" w:cs="黑体"/>
          <w:bCs/>
          <w:sz w:val="22"/>
          <w:szCs w:val="22"/>
        </w:rPr>
        <w:t xml:space="preserve">签约日期：  年  月  日 </w:t>
      </w:r>
      <w:r>
        <w:rPr>
          <w:rFonts w:hint="eastAsia" w:ascii="黑体" w:hAnsi="黑体" w:eastAsia="黑体" w:cs="黑体"/>
          <w:bCs/>
          <w:sz w:val="22"/>
          <w:szCs w:val="22"/>
        </w:rPr>
        <w:tab/>
      </w:r>
      <w:r>
        <w:rPr>
          <w:rFonts w:hint="eastAsia" w:ascii="黑体" w:hAnsi="黑体" w:eastAsia="黑体" w:cs="黑体"/>
          <w:bCs/>
          <w:sz w:val="22"/>
          <w:szCs w:val="22"/>
        </w:rPr>
        <w:tab/>
      </w:r>
      <w:r>
        <w:rPr>
          <w:rFonts w:hint="eastAsia" w:ascii="黑体" w:hAnsi="黑体" w:eastAsia="黑体" w:cs="黑体"/>
          <w:bCs/>
          <w:sz w:val="22"/>
          <w:szCs w:val="22"/>
        </w:rPr>
        <w:tab/>
      </w:r>
      <w:r>
        <w:rPr>
          <w:rFonts w:hint="eastAsia" w:ascii="黑体" w:hAnsi="黑体" w:eastAsia="黑体" w:cs="黑体"/>
          <w:bCs/>
          <w:sz w:val="22"/>
          <w:szCs w:val="22"/>
        </w:rPr>
        <w:t xml:space="preserve">    签约日期：  年  月  日</w:t>
      </w:r>
    </w:p>
    <w:p w14:paraId="6B9B936C">
      <w:pPr>
        <w:rPr>
          <w:rFonts w:hint="eastAsia" w:ascii="黑体" w:hAnsi="黑体" w:eastAsia="黑体" w:cs="黑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083FF1"/>
    <w:rsid w:val="13974966"/>
    <w:rsid w:val="147273E4"/>
    <w:rsid w:val="1F5D7EA7"/>
    <w:rsid w:val="21DC6DA2"/>
    <w:rsid w:val="25B07EA4"/>
    <w:rsid w:val="2DBC01E7"/>
    <w:rsid w:val="49BF4090"/>
    <w:rsid w:val="4E624E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5">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6">
    <w:name w:val="heading 4"/>
    <w:basedOn w:val="1"/>
    <w:next w:val="1"/>
    <w:qFormat/>
    <w:uiPriority w:val="0"/>
    <w:pPr>
      <w:keepNext/>
      <w:keepLines/>
      <w:spacing w:before="280" w:after="290" w:line="376" w:lineRule="auto"/>
      <w:outlineLvl w:val="3"/>
    </w:pPr>
    <w:rPr>
      <w:rFonts w:ascii="Cambria" w:hAnsi="Cambria"/>
      <w:b/>
      <w:bCs/>
      <w:sz w:val="28"/>
      <w:szCs w:val="28"/>
      <w:lang w:eastAsia="en-US"/>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spacing w:line="240" w:lineRule="auto"/>
      <w:ind w:left="420" w:leftChars="200" w:firstLine="420" w:firstLineChars="200"/>
    </w:pPr>
    <w:rPr>
      <w:rFonts w:ascii="Times New Roman"/>
      <w:sz w:val="21"/>
      <w:szCs w:val="24"/>
    </w:rPr>
  </w:style>
  <w:style w:type="paragraph" w:styleId="3">
    <w:name w:val="Body Text Indent"/>
    <w:basedOn w:val="1"/>
    <w:next w:val="4"/>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4">
    <w:name w:val="envelope return"/>
    <w:qFormat/>
    <w:uiPriority w:val="0"/>
    <w:pPr>
      <w:widowControl w:val="0"/>
      <w:snapToGrid w:val="0"/>
      <w:jc w:val="both"/>
    </w:pPr>
    <w:rPr>
      <w:rFonts w:ascii="Arial" w:hAnsi="Arial"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1697</Words>
  <Characters>1740</Characters>
  <Lines>0</Lines>
  <Paragraphs>0</Paragraphs>
  <TotalTime>2</TotalTime>
  <ScaleCrop>false</ScaleCrop>
  <LinksUpToDate>false</LinksUpToDate>
  <CharactersWithSpaces>2062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2026-04-07T08:04:00Z</dcterms:created>
  <dc:creator>0002</dc:creator>
  <cp:lastModifiedBy>WPS_1470104768</cp:lastModifiedBy>
  <dcterms:modified xsi:type="dcterms:W3CDTF">2026-08-16T10:16:19Z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eyJoZGlkIjoiMTNiMWZlZjk2ZWIxNzFmMWI0ZGE3NDIxODUyNmE1NGIiLCJ1c2VySWQiOiIyMzI4OTY0ODIifQ==</vt:lpwstr>
  </property>
  <property fmtid="{D5CDD505-2E9C-101B-9397-08002B2CF9AE}" pid="4" name="ICV">
    <vt:lpwstr>64AA0C01E0DB4F93BC3527743658F0C4_12</vt:lpwstr>
  </property>
</Properties>
</file>