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合同包1(物业服务):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合同包预算金额：930,000.00元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合同包最高限价：930,000.00元</w:t>
      </w:r>
    </w:p>
    <w:tbl>
      <w:tblPr>
        <w:tblW w:w="76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1"/>
        <w:gridCol w:w="1846"/>
        <w:gridCol w:w="1846"/>
        <w:gridCol w:w="753"/>
        <w:gridCol w:w="1401"/>
        <w:gridCol w:w="1290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  <w:tblHeader/>
        </w:trPr>
        <w:tc>
          <w:tcPr>
            <w:tcW w:w="5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bookmarkStart w:id="0" w:name="OLE_LINK1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0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0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7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3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9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物业管理服务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930000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930,000.00</w:t>
            </w:r>
          </w:p>
        </w:tc>
      </w:tr>
      <w:bookmarkEnd w:id="0"/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zZjgwZGU1MmVhYjViZjE2MDQ3MTk5YmIzZmFlNDAifQ=="/>
  </w:docVars>
  <w:rsids>
    <w:rsidRoot w:val="00000000"/>
    <w:rsid w:val="5A37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2026-05-21T07:37:27Z</dcterms:created>
  <dc:creator>Administrator</dc:creator>
  <cp:lastModifiedBy>哈喽你好</cp:lastModifiedBy>
  <dcterms:modified xsi:type="dcterms:W3CDTF">2026-05-21T07:37:48Z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4055FB0B7D414F7AAB29B97339E1F7BE_12</vt:lpwstr>
  </property>
</Properties>
</file>