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健全的财务会计制度</w:t>
      </w:r>
    </w:p>
    <w:p w14:paraId="0289BD7F">
      <w:pPr>
        <w:ind w:firstLine="560" w:firstLineChars="200"/>
        <w:rPr>
          <w:rFonts w:hint="eastAsia" w:ascii="仿宋_GB2312" w:hAnsi="仿宋_GB2312" w:eastAsia="仿宋_GB2312" w:cs="仿宋_GB2312"/>
          <w:sz w:val="28"/>
          <w:szCs w:val="28"/>
        </w:rPr>
      </w:pPr>
    </w:p>
    <w:p w14:paraId="3C80659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财务状况报告（以下三种资料提供任意一种即可）</w:t>
      </w:r>
    </w:p>
    <w:p w14:paraId="2BC5900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w:t>
      </w:r>
    </w:p>
    <w:p w14:paraId="4F551C6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（2）其开标前三个月内基本开户银行出具的资信证明；</w:t>
      </w:r>
    </w:p>
    <w:p w14:paraId="6ECE9A62">
      <w:pPr>
        <w:ind w:firstLine="560" w:firstLineChars="200"/>
      </w:pPr>
      <w:r>
        <w:rPr>
          <w:rFonts w:hint="eastAsia" w:ascii="仿宋_GB2312" w:hAnsi="仿宋_GB2312" w:eastAsia="仿宋_GB2312" w:cs="仿宋_GB2312"/>
          <w:sz w:val="28"/>
          <w:szCs w:val="28"/>
        </w:rPr>
        <w:t>（3）信用担保机构出具的投标担保函。</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219F1439"/>
    <w:rsid w:val="355B7D16"/>
    <w:rsid w:val="414A4154"/>
    <w:rsid w:val="425E1812"/>
    <w:rsid w:val="49CC64A2"/>
    <w:rsid w:val="4FDA0958"/>
    <w:rsid w:val="6D9E14F4"/>
    <w:rsid w:val="76916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259</Words>
  <Characters>265</Characters>
  <Lines>0</Lines>
  <Paragraphs>0</Paragraphs>
  <TotalTime>0</TotalTime>
  <ScaleCrop>false</ScaleCrop>
  <LinksUpToDate>false</LinksUpToDate>
  <CharactersWithSpaces>267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2026-06-22T09:41:06Z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B71F2C63B95245D5B92DA7EDC0FACE7B_13</vt:lpwstr>
  </property>
  <property fmtid="{D5CDD505-2E9C-101B-9397-08002B2CF9AE}" pid="4" name="KSOTemplateDocerSaveRecord">
    <vt:lpwstr>eyJoZGlkIjoiZWMxNWU5MTM1NDJhMzM3NzZlNjAyMmRiMjcyMmY4OWYiLCJ1c2VySWQiOiI5MzY1NjA0ODAifQ==</vt:lpwstr>
  </property>
</Properties>
</file>