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0B99D">
      <w:pPr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52"/>
          <w:lang w:eastAsia="zh-CN"/>
        </w:rPr>
        <w:t>整体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52"/>
          <w:lang w:eastAsia="zh-CN"/>
        </w:rPr>
        <w:t>方案</w:t>
      </w:r>
    </w:p>
    <w:p w14:paraId="244AF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各供应商根据以下内容自行提供：</w:t>
      </w:r>
    </w:p>
    <w:p w14:paraId="4634B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1.针对本项⽬提供整体租赁⽅案，包括但不限于①总体项⽬租赁⽅案；②⼯作流程、⼯作⽅法；③项⽬进度计划安排；④配套设备安排实施；⑤现场突发状况的预防处理。</w:t>
      </w:r>
    </w:p>
    <w:p w14:paraId="4E20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2.针对本项⽬提供项⽬团队⼈员配备⽅案，包括但不限于①项⽬服务团队架构；②项⽬⼈员岗位划分及职责。</w:t>
      </w:r>
    </w:p>
    <w:p w14:paraId="4ADC7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3.针对本项⽬提供针对性的应急预案，包括但不限于①器材损坏、破损应急处置；②器材故障应急处置；③纠纷与舆情应急（租赁争议冲突）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26DB3275"/>
    <w:rsid w:val="27BB0F5E"/>
    <w:rsid w:val="34882C55"/>
    <w:rsid w:val="34F940DC"/>
    <w:rsid w:val="377A3A50"/>
    <w:rsid w:val="46144318"/>
    <w:rsid w:val="516E3403"/>
    <w:rsid w:val="5F28212C"/>
    <w:rsid w:val="74AD308D"/>
    <w:rsid w:val="762E3946"/>
    <w:rsid w:val="764A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 w:val="0"/>
      <w:keepLines w:val="0"/>
      <w:pageBreakBefore/>
      <w:spacing w:line="360" w:lineRule="auto"/>
      <w:ind w:left="0" w:right="0" w:firstLine="0"/>
      <w:jc w:val="center"/>
      <w:outlineLvl w:val="1"/>
    </w:pPr>
    <w:rPr>
      <w:rFonts w:cs="宋体"/>
      <w:b/>
      <w:sz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Body Text First Indent"/>
    <w:basedOn w:val="3"/>
    <w:next w:val="1"/>
    <w:qFormat/>
    <w:uiPriority w:val="0"/>
    <w:pPr>
      <w:spacing w:after="120"/>
      <w:ind w:firstLine="420" w:firstLineChars="100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2026-07-02T00:52:59Z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