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版本号：SXZJ-2026-008.1.2B220260702001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陕西省第十八届运动会举重、摔跤、柔道竞赛器材租赁服务(三次)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SXZJ-2026-008.1.2B2</w:t>
      </w:r>
      <w:r>
        <w:br/>
      </w:r>
      <w:r>
        <w:br/>
      </w:r>
      <w:r>
        <w:br/>
      </w:r>
    </w:p>
    <w:p>
      <w:pPr>
        <w:pStyle w:val="null3"/>
        <w:jc w:val="center"/>
        <w:outlineLvl w:val="2"/>
      </w:pPr>
      <w:r>
        <w:rPr>
          <w:rFonts w:ascii="仿宋_GB2312" w:hAnsi="仿宋_GB2312" w:cs="仿宋_GB2312" w:eastAsia="仿宋_GB2312"/>
          <w:sz w:val="28"/>
          <w:b/>
        </w:rPr>
        <w:t>合阳县体育运动中心</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合阳县体育运动中心</w:t>
      </w:r>
      <w:r>
        <w:rPr>
          <w:rFonts w:ascii="仿宋_GB2312" w:hAnsi="仿宋_GB2312" w:cs="仿宋_GB2312" w:eastAsia="仿宋_GB2312"/>
        </w:rPr>
        <w:t>委托，拟对</w:t>
      </w:r>
      <w:r>
        <w:rPr>
          <w:rFonts w:ascii="仿宋_GB2312" w:hAnsi="仿宋_GB2312" w:cs="仿宋_GB2312" w:eastAsia="仿宋_GB2312"/>
        </w:rPr>
        <w:t>陕西省第十八届运动会举重、摔跤、柔道竞赛器材租赁服务(三次)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SXZJ-2026-008.1.2B2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陕西省第十八届运动会举重、摔跤、柔道竞赛器材租赁服务(三次)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运动会举重、摔跤、柔道竞赛器材租赁。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采购包1（举重竞赛器材租赁）：属于专门面向中小企业采购。</w:t>
      </w:r>
    </w:p>
    <w:p>
      <w:pPr>
        <w:pStyle w:val="null3"/>
      </w:pPr>
      <w:r>
        <w:rPr>
          <w:rFonts w:ascii="仿宋_GB2312" w:hAnsi="仿宋_GB2312" w:cs="仿宋_GB2312" w:eastAsia="仿宋_GB2312"/>
        </w:rPr>
        <w:t>采购包2（摔跤、柔道竞赛器材租赁）：属于专门面向中小企业采购。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要求：供应商为响应谈判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2、供应商授权合法的人员参加投标全过程：法定代表人直接参加投标，须提交法定代表人身份证明书和身份证。法定代表人授权代表参加投标的，须出具法定代表人授权书及法人和授权代表身份证。</w:t>
      </w:r>
    </w:p>
    <w:p>
      <w:pPr>
        <w:pStyle w:val="null3"/>
      </w:pPr>
      <w:r>
        <w:rPr>
          <w:rFonts w:ascii="仿宋_GB2312" w:hAnsi="仿宋_GB2312" w:cs="仿宋_GB2312" w:eastAsia="仿宋_GB2312"/>
        </w:rPr>
        <w:t>3、财务状况：供应商提供2025年度的财务审计报告（至少包括资产负债表、利润表和现金流量表），或其开标前三个月内基本存款账户开户银行出具的资信证明及基本存款账户开户许可证。</w:t>
      </w:r>
    </w:p>
    <w:p>
      <w:pPr>
        <w:pStyle w:val="null3"/>
      </w:pPr>
      <w:r>
        <w:rPr>
          <w:rFonts w:ascii="仿宋_GB2312" w:hAnsi="仿宋_GB2312" w:cs="仿宋_GB2312" w:eastAsia="仿宋_GB2312"/>
        </w:rPr>
        <w:t>4、社会保障资金缴纳证明：供应商提供2025年6月至今任意一个月的社保机构开具的社会保险参保缴费情况证明，依法不需要缴纳社会保障资金的供应商应提供相关文件证明。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5、税收缴纳证明：供应商提供2025年6月至今任意一个月的纳税证明或完税证明，纳税证明或完税证明上应有代收机构或税务机关的公章，依法免税的供应商应提供相关文件证明。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6、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企业名单”。</w:t>
      </w:r>
    </w:p>
    <w:p>
      <w:pPr>
        <w:pStyle w:val="null3"/>
      </w:pPr>
      <w:r>
        <w:rPr>
          <w:rFonts w:ascii="仿宋_GB2312" w:hAnsi="仿宋_GB2312" w:cs="仿宋_GB2312" w:eastAsia="仿宋_GB2312"/>
        </w:rPr>
        <w:t>7、书面声明：参加本次采购活动前三年内在经营活动中没有重大违纪的书面声明。</w:t>
      </w:r>
    </w:p>
    <w:p>
      <w:pPr>
        <w:pStyle w:val="null3"/>
      </w:pPr>
      <w:r>
        <w:rPr>
          <w:rFonts w:ascii="仿宋_GB2312" w:hAnsi="仿宋_GB2312" w:cs="仿宋_GB2312" w:eastAsia="仿宋_GB2312"/>
        </w:rPr>
        <w:t>8、关联关系：单位负责人为同一人或者存在直接控股、管理关系的不同供应商不得同时参加本次采购。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要求：供应商为响应谈判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2、供应商授权合法的人员参加投标全过程：法定代表人直接参加投标，须提交法定代表人身份证明书和身份证。法定代表人授权代表参加投标的，须出具法定代表人授权书及法人和授权代表身份证。</w:t>
      </w:r>
    </w:p>
    <w:p>
      <w:pPr>
        <w:pStyle w:val="null3"/>
      </w:pPr>
      <w:r>
        <w:rPr>
          <w:rFonts w:ascii="仿宋_GB2312" w:hAnsi="仿宋_GB2312" w:cs="仿宋_GB2312" w:eastAsia="仿宋_GB2312"/>
        </w:rPr>
        <w:t>3、财务状况：供应商提供2025年度的财务审计报告（至少包括资产负债表、利润表和现金流量表），或其开标前三个月内基本存款账户开户银行出具的资信证明及基本存款账户开户许可证。</w:t>
      </w:r>
    </w:p>
    <w:p>
      <w:pPr>
        <w:pStyle w:val="null3"/>
      </w:pPr>
      <w:r>
        <w:rPr>
          <w:rFonts w:ascii="仿宋_GB2312" w:hAnsi="仿宋_GB2312" w:cs="仿宋_GB2312" w:eastAsia="仿宋_GB2312"/>
        </w:rPr>
        <w:t>4、社会保障资金缴纳证明：供应商提供2025年6月至今任意一个月的社保机构开具的社会保险参保缴费情况证明，依法不需要缴纳社会保障资金的供应商应提供相关文件证明。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5、税收缴纳证明：供应商提供2025年6月至今任意一个月的纳税证明或完税证明，纳税证明或完税证明上应有代收机构或税务机关的公章，依法免税的供应商应提供相关文件证明。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6、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企业名单”。</w:t>
      </w:r>
    </w:p>
    <w:p>
      <w:pPr>
        <w:pStyle w:val="null3"/>
      </w:pPr>
      <w:r>
        <w:rPr>
          <w:rFonts w:ascii="仿宋_GB2312" w:hAnsi="仿宋_GB2312" w:cs="仿宋_GB2312" w:eastAsia="仿宋_GB2312"/>
        </w:rPr>
        <w:t>7、书面声明：参加本次采购活动前三年内在经营活动中没有重大违纪的书面声明。</w:t>
      </w:r>
    </w:p>
    <w:p>
      <w:pPr>
        <w:pStyle w:val="null3"/>
      </w:pPr>
      <w:r>
        <w:rPr>
          <w:rFonts w:ascii="仿宋_GB2312" w:hAnsi="仿宋_GB2312" w:cs="仿宋_GB2312" w:eastAsia="仿宋_GB2312"/>
        </w:rPr>
        <w:t>8、关联关系：单位负责人为同一人或者存在直接控股、管理关系的不同供应商不得同时参加本次采购。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合阳县凤凰北路与泰山东路交汇处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孙海英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15592228810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陕西省韩城市新城区盘河北路秦东商务5楼508室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13201996600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成文强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13409130025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采购包2：510,000.00元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开户名称：致君项目管理有限公司</w:t>
            </w:r>
          </w:p>
          <w:p>
            <w:pPr>
              <w:pStyle w:val="null3"/>
            </w:pPr>
            <w:r>
              <w:rPr>
                <w:rFonts w:ascii="仿宋_GB2312" w:hAnsi="仿宋_GB2312" w:cs="仿宋_GB2312" w:eastAsia="仿宋_GB2312"/>
              </w:rPr>
              <w:t>开户银行：中国建设银行股份有限公司延安分行营业部</w:t>
            </w:r>
          </w:p>
          <w:p>
            <w:pPr>
              <w:pStyle w:val="null3"/>
            </w:pPr>
            <w:r>
              <w:rPr>
                <w:rFonts w:ascii="仿宋_GB2312" w:hAnsi="仿宋_GB2312" w:cs="仿宋_GB2312" w:eastAsia="仿宋_GB2312"/>
              </w:rPr>
              <w:t>银行账号：61050168003109999999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说明：账户名称：合阳县体育运动中心财政代管账户 开户银行：中国建设银行股份有限公司合阳县支行 银行账号：61050164820800000347-220055 转账备注：项目名称+包号+履约保证金 注：成交供应商在签订政府采购合同时，应同时向采购人提交履约保证金（合同生效前完成缴纳），如能按合同要求完成履约，采购人将于该活动结束后全额退还履约保证金；如成交供应商未能按合同规定时间完成履约，将全额扣除履约保证金，并被列入政府采购严重违法失信记录名单及追究其相关责任。</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说明：账户名称：合阳县体育运动中心财政代管账户 开户银行：中国建设银行股份有限公司合阳县支行 银行账号：61050164820800000347-220055 转账备注：项目名称+包号+履约保证金 注：成交供应商在签订政府采购合同时，应同时向采购人提交履约保证金（合同生效前完成缴纳），如能按合同要求完成履约，采购人将于该活动结束后全额退还履约保证金；如成交供应商未能按合同规定时间完成履约，将全额扣除履约保证金，并被列入政府采购严重违法失信记录名单及追究其相关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代理服务费收费标准：依据《国家计委关于印发&lt;招标代理服务收费管理暂行办法&gt;的通知》(计价格【2002】1980号)文件100%收取。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合阳县体育运动中心</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合阳县体育运动中心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合阳县体育运动中心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致君项目管理有限公司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联系人：薛瑶</w:t>
      </w:r>
    </w:p>
    <w:p>
      <w:pPr>
        <w:pStyle w:val="null3"/>
      </w:pPr>
      <w:r>
        <w:rPr>
          <w:rFonts w:ascii="仿宋_GB2312" w:hAnsi="仿宋_GB2312" w:cs="仿宋_GB2312" w:eastAsia="仿宋_GB2312"/>
        </w:rPr>
        <w:t>联系电话：13201996600</w:t>
      </w:r>
    </w:p>
    <w:p>
      <w:pPr>
        <w:pStyle w:val="null3"/>
      </w:pPr>
      <w:r>
        <w:rPr>
          <w:rFonts w:ascii="仿宋_GB2312" w:hAnsi="仿宋_GB2312" w:cs="仿宋_GB2312" w:eastAsia="仿宋_GB2312"/>
        </w:rPr>
        <w:t>地址：陕西省韩城市新城区盘河北路秦东商务5楼508室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运动会举重、摔跤、柔道竞赛器材租赁。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举重器材租赁（省运会举重器材）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509,550.00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国际式摔跤、柔道器材租赁（省运会摔跤、柔道器材）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标的名称：举重器材租赁（省运会举重器材）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器材名称</w:t>
                  </w:r>
                </w:p>
              </w:tc>
              <w:tc>
                <w:tcPr>
                  <w:tcW w:type="dxa" w:w="851"/>
                </w:tcPr>
                <w:p>
                  <w:pPr>
                    <w:pStyle w:val="null3"/>
                  </w:pPr>
                  <w:r>
                    <w:rPr>
                      <w:rFonts w:ascii="仿宋_GB2312" w:hAnsi="仿宋_GB2312" w:cs="仿宋_GB2312" w:eastAsia="仿宋_GB2312"/>
                      <w:sz w:val="19"/>
                      <w:b/>
                      <w:color w:val="000000"/>
                    </w:rPr>
                    <w:t>功能、规格、说明</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比赛高台</w:t>
                  </w:r>
                </w:p>
              </w:tc>
              <w:tc>
                <w:tcPr>
                  <w:tcW w:type="dxa" w:w="851"/>
                </w:tcPr>
                <w:p>
                  <w:pPr>
                    <w:pStyle w:val="null3"/>
                  </w:pPr>
                  <w:r>
                    <w:rPr>
                      <w:rFonts w:ascii="仿宋_GB2312" w:hAnsi="仿宋_GB2312" w:cs="仿宋_GB2312" w:eastAsia="仿宋_GB2312"/>
                      <w:sz w:val="19"/>
                      <w:color w:val="000000"/>
                    </w:rPr>
                    <w:t>木制、4M×4M×0.1M</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后场热身台和训练台</w:t>
                  </w:r>
                </w:p>
              </w:tc>
              <w:tc>
                <w:tcPr>
                  <w:tcW w:type="dxa" w:w="851"/>
                </w:tcPr>
                <w:p>
                  <w:pPr>
                    <w:pStyle w:val="null3"/>
                  </w:pPr>
                  <w:r>
                    <w:rPr>
                      <w:rFonts w:ascii="仿宋_GB2312" w:hAnsi="仿宋_GB2312" w:cs="仿宋_GB2312" w:eastAsia="仿宋_GB2312"/>
                      <w:sz w:val="19"/>
                      <w:color w:val="000000"/>
                    </w:rPr>
                    <w:t>3M×3M×0.05M</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比赛杠铃片、竞赛标准杠铃片</w:t>
                  </w:r>
                </w:p>
              </w:tc>
              <w:tc>
                <w:tcPr>
                  <w:tcW w:type="dxa" w:w="851"/>
                </w:tcPr>
                <w:p>
                  <w:pPr>
                    <w:pStyle w:val="null3"/>
                  </w:pPr>
                  <w:r>
                    <w:rPr>
                      <w:rFonts w:ascii="仿宋_GB2312" w:hAnsi="仿宋_GB2312" w:cs="仿宋_GB2312" w:eastAsia="仿宋_GB2312"/>
                      <w:sz w:val="20"/>
                      <w:color w:val="000000"/>
                    </w:rPr>
                    <w:t>颜色要求：</w:t>
                  </w:r>
                  <w:r>
                    <w:rPr>
                      <w:rFonts w:ascii="仿宋_GB2312" w:hAnsi="仿宋_GB2312" w:cs="仿宋_GB2312" w:eastAsia="仿宋_GB2312"/>
                      <w:sz w:val="20"/>
                      <w:color w:val="000000"/>
                    </w:rPr>
                    <w:t>25千克*：红色，20千克：蓝色，15千克：黄色，10千克：绿色，5千克：白色，2.5千克：红色，2千克：蓝色，1.5千克：黄色，1千克：绿色，0.5千克：白色</w:t>
                  </w:r>
                  <w:r>
                    <w:rPr>
                      <w:rFonts w:ascii="仿宋_GB2312" w:hAnsi="仿宋_GB2312" w:cs="仿宋_GB2312" w:eastAsia="仿宋_GB2312"/>
                      <w:sz w:val="20"/>
                      <w:color w:val="000000"/>
                    </w:rPr>
                    <w:t>，</w:t>
                  </w:r>
                  <w:r>
                    <w:rPr>
                      <w:rFonts w:ascii="仿宋_GB2312" w:hAnsi="仿宋_GB2312" w:cs="仿宋_GB2312" w:eastAsia="仿宋_GB2312"/>
                      <w:sz w:val="20"/>
                      <w:color w:val="000000"/>
                    </w:rPr>
                    <w:t>卡头一对，杠铃杆一根有蓝色标记。</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训练/热身杠铃片、训练标准杠铃片</w:t>
                  </w:r>
                </w:p>
              </w:tc>
              <w:tc>
                <w:tcPr>
                  <w:tcW w:type="dxa" w:w="851"/>
                </w:tcPr>
                <w:p>
                  <w:pPr>
                    <w:pStyle w:val="null3"/>
                  </w:pPr>
                  <w:r>
                    <w:rPr>
                      <w:rFonts w:ascii="仿宋_GB2312" w:hAnsi="仿宋_GB2312" w:cs="仿宋_GB2312" w:eastAsia="仿宋_GB2312"/>
                      <w:sz w:val="20"/>
                      <w:color w:val="000000"/>
                    </w:rPr>
                    <w:t>颜色要求：</w:t>
                  </w:r>
                  <w:r>
                    <w:rPr>
                      <w:rFonts w:ascii="仿宋_GB2312" w:hAnsi="仿宋_GB2312" w:cs="仿宋_GB2312" w:eastAsia="仿宋_GB2312"/>
                      <w:sz w:val="20"/>
                      <w:color w:val="000000"/>
                    </w:rPr>
                    <w:t>25千克*：红色，20千克：蓝色，15千克：黄色，10千克：绿色，5千克：白色，2.5千克：红色，2千克：蓝色，1.5千克：黄色，1千克：绿色，0.5千克：白色</w:t>
                  </w:r>
                  <w:r>
                    <w:rPr>
                      <w:rFonts w:ascii="仿宋_GB2312" w:hAnsi="仿宋_GB2312" w:cs="仿宋_GB2312" w:eastAsia="仿宋_GB2312"/>
                      <w:sz w:val="20"/>
                      <w:color w:val="000000"/>
                    </w:rPr>
                    <w:t>，</w:t>
                  </w:r>
                  <w:r>
                    <w:rPr>
                      <w:rFonts w:ascii="仿宋_GB2312" w:hAnsi="仿宋_GB2312" w:cs="仿宋_GB2312" w:eastAsia="仿宋_GB2312"/>
                      <w:sz w:val="20"/>
                      <w:color w:val="000000"/>
                    </w:rPr>
                    <w:t>卡头一对</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杠铃杆、竞赛标准杠铃杆</w:t>
                  </w:r>
                </w:p>
              </w:tc>
              <w:tc>
                <w:tcPr>
                  <w:tcW w:type="dxa" w:w="851"/>
                </w:tcPr>
                <w:p>
                  <w:pPr>
                    <w:pStyle w:val="null3"/>
                  </w:pPr>
                  <w:r>
                    <w:rPr>
                      <w:rFonts w:ascii="仿宋_GB2312" w:hAnsi="仿宋_GB2312" w:cs="仿宋_GB2312" w:eastAsia="仿宋_GB2312"/>
                      <w:sz w:val="20"/>
                      <w:color w:val="000000"/>
                    </w:rPr>
                    <w:t>男子举重比赛备用，标记为蓝色，</w:t>
                  </w:r>
                  <w:r>
                    <w:rPr>
                      <w:rFonts w:ascii="仿宋_GB2312" w:hAnsi="仿宋_GB2312" w:cs="仿宋_GB2312" w:eastAsia="仿宋_GB2312"/>
                      <w:sz w:val="20"/>
                      <w:color w:val="000000"/>
                    </w:rPr>
                    <w:t>20kg</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杠铃杆、竞赛标准杠铃杆</w:t>
                  </w:r>
                </w:p>
              </w:tc>
              <w:tc>
                <w:tcPr>
                  <w:tcW w:type="dxa" w:w="851"/>
                </w:tcPr>
                <w:p>
                  <w:pPr>
                    <w:pStyle w:val="null3"/>
                  </w:pPr>
                  <w:r>
                    <w:rPr>
                      <w:rFonts w:ascii="仿宋_GB2312" w:hAnsi="仿宋_GB2312" w:cs="仿宋_GB2312" w:eastAsia="仿宋_GB2312"/>
                      <w:sz w:val="20"/>
                      <w:color w:val="000000"/>
                    </w:rPr>
                    <w:t>女子举重比赛备用，标记为黄色，</w:t>
                  </w:r>
                  <w:r>
                    <w:rPr>
                      <w:rFonts w:ascii="仿宋_GB2312" w:hAnsi="仿宋_GB2312" w:cs="仿宋_GB2312" w:eastAsia="仿宋_GB2312"/>
                      <w:sz w:val="20"/>
                      <w:color w:val="000000"/>
                    </w:rPr>
                    <w:t>15kg</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男子杠铃杆（比赛标准杠铃杆）</w:t>
                  </w:r>
                </w:p>
              </w:tc>
              <w:tc>
                <w:tcPr>
                  <w:tcW w:type="dxa" w:w="851"/>
                </w:tcPr>
                <w:p>
                  <w:pPr>
                    <w:pStyle w:val="null3"/>
                  </w:pPr>
                  <w:r>
                    <w:rPr>
                      <w:rFonts w:ascii="仿宋_GB2312" w:hAnsi="仿宋_GB2312" w:cs="仿宋_GB2312" w:eastAsia="仿宋_GB2312"/>
                      <w:sz w:val="20"/>
                      <w:color w:val="000000"/>
                    </w:rPr>
                    <w:t>男子热身用，用十备二；男子训练用，用十备二</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女子杠铃杆（比赛标准杠铃杆）</w:t>
                  </w:r>
                </w:p>
              </w:tc>
              <w:tc>
                <w:tcPr>
                  <w:tcW w:type="dxa" w:w="851"/>
                </w:tcPr>
                <w:p>
                  <w:pPr>
                    <w:pStyle w:val="null3"/>
                  </w:pPr>
                  <w:r>
                    <w:rPr>
                      <w:rFonts w:ascii="仿宋_GB2312" w:hAnsi="仿宋_GB2312" w:cs="仿宋_GB2312" w:eastAsia="仿宋_GB2312"/>
                      <w:sz w:val="20"/>
                      <w:color w:val="000000"/>
                    </w:rPr>
                    <w:t>女子热身用，用十备二；女子训练用，用十备二</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竞赛使用杠铃片搁置架（杠铃片手推车支架）</w:t>
                  </w:r>
                </w:p>
              </w:tc>
              <w:tc>
                <w:tcPr>
                  <w:tcW w:type="dxa" w:w="851"/>
                </w:tcPr>
                <w:p>
                  <w:pPr>
                    <w:pStyle w:val="null3"/>
                  </w:pPr>
                  <w:r>
                    <w:rPr>
                      <w:rFonts w:ascii="仿宋_GB2312" w:hAnsi="仿宋_GB2312" w:cs="仿宋_GB2312" w:eastAsia="仿宋_GB2312"/>
                      <w:sz w:val="20"/>
                      <w:color w:val="000000"/>
                    </w:rPr>
                    <w:t>带有轮子，可以快速拉动，比赛台用高度必须小于</w:t>
                  </w:r>
                  <w:r>
                    <w:rPr>
                      <w:rFonts w:ascii="仿宋_GB2312" w:hAnsi="仿宋_GB2312" w:cs="仿宋_GB2312" w:eastAsia="仿宋_GB2312"/>
                      <w:sz w:val="20"/>
                      <w:color w:val="000000"/>
                    </w:rPr>
                    <w:t>200mm,宽度必须小于200mm</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sz w:val="20"/>
                      <w:color w:val="000000"/>
                    </w:rPr>
                    <w:t>训练</w:t>
                  </w:r>
                  <w:r>
                    <w:rPr>
                      <w:rFonts w:ascii="仿宋_GB2312" w:hAnsi="仿宋_GB2312" w:cs="仿宋_GB2312" w:eastAsia="仿宋_GB2312"/>
                      <w:sz w:val="20"/>
                      <w:color w:val="000000"/>
                    </w:rPr>
                    <w:t>/热身使用杠铃片搁置架（杠铃片手推车支架）</w:t>
                  </w:r>
                </w:p>
              </w:tc>
              <w:tc>
                <w:tcPr>
                  <w:tcW w:type="dxa" w:w="851"/>
                </w:tcPr>
                <w:p>
                  <w:pPr>
                    <w:pStyle w:val="null3"/>
                  </w:pPr>
                  <w:r>
                    <w:rPr>
                      <w:rFonts w:ascii="仿宋_GB2312" w:hAnsi="仿宋_GB2312" w:cs="仿宋_GB2312" w:eastAsia="仿宋_GB2312"/>
                      <w:sz w:val="20"/>
                      <w:color w:val="000000"/>
                    </w:rPr>
                    <w:t>架子自带镁粉盒、带有轮子，可以快速拉动，比赛台用高度必须小于</w:t>
                  </w:r>
                  <w:r>
                    <w:rPr>
                      <w:rFonts w:ascii="仿宋_GB2312" w:hAnsi="仿宋_GB2312" w:cs="仿宋_GB2312" w:eastAsia="仿宋_GB2312"/>
                      <w:sz w:val="20"/>
                      <w:color w:val="000000"/>
                    </w:rPr>
                    <w:t>200mm,宽度必须小于200mm</w:t>
                  </w:r>
                </w:p>
              </w:tc>
            </w:tr>
            <w:tr>
              <w:tc>
                <w:tcPr>
                  <w:tcW w:type="dxa" w:w="851"/>
                </w:tcPr>
                <w:p>
                  <w:pPr>
                    <w:pStyle w:val="null3"/>
                  </w:pPr>
                  <w:r>
                    <w:rPr>
                      <w:rFonts w:ascii="仿宋_GB2312" w:hAnsi="仿宋_GB2312" w:cs="仿宋_GB2312" w:eastAsia="仿宋_GB2312"/>
                    </w:rPr>
                    <w:t>11</w:t>
                  </w:r>
                </w:p>
              </w:tc>
              <w:tc>
                <w:tcPr>
                  <w:tcW w:type="dxa" w:w="851"/>
                </w:tcPr>
                <w:p>
                  <w:pPr>
                    <w:pStyle w:val="null3"/>
                  </w:pPr>
                  <w:r>
                    <w:rPr>
                      <w:rFonts w:ascii="仿宋_GB2312" w:hAnsi="仿宋_GB2312" w:cs="仿宋_GB2312" w:eastAsia="仿宋_GB2312"/>
                      <w:sz w:val="20"/>
                      <w:color w:val="000000"/>
                    </w:rPr>
                    <w:t>比赛高台和两侧台阶、前后护杠</w:t>
                  </w:r>
                </w:p>
              </w:tc>
              <w:tc>
                <w:tcPr>
                  <w:tcW w:type="dxa" w:w="851"/>
                </w:tcPr>
                <w:p>
                  <w:pPr>
                    <w:pStyle w:val="null3"/>
                  </w:pPr>
                  <w:r>
                    <w:rPr>
                      <w:rFonts w:ascii="仿宋_GB2312" w:hAnsi="仿宋_GB2312" w:cs="仿宋_GB2312" w:eastAsia="仿宋_GB2312"/>
                      <w:sz w:val="20"/>
                      <w:color w:val="000000"/>
                    </w:rPr>
                    <w:t>12米×10米×0.8米（高台上方的垫板厚度需达到3CM）</w:t>
                  </w:r>
                </w:p>
              </w:tc>
            </w:tr>
            <w:tr>
              <w:tc>
                <w:tcPr>
                  <w:tcW w:type="dxa" w:w="851"/>
                </w:tcPr>
                <w:p>
                  <w:pPr>
                    <w:pStyle w:val="null3"/>
                  </w:pPr>
                  <w:r>
                    <w:rPr>
                      <w:rFonts w:ascii="仿宋_GB2312" w:hAnsi="仿宋_GB2312" w:cs="仿宋_GB2312" w:eastAsia="仿宋_GB2312"/>
                    </w:rPr>
                    <w:t>12</w:t>
                  </w:r>
                </w:p>
              </w:tc>
              <w:tc>
                <w:tcPr>
                  <w:tcW w:type="dxa" w:w="851"/>
                </w:tcPr>
                <w:p>
                  <w:pPr>
                    <w:pStyle w:val="null3"/>
                  </w:pPr>
                  <w:r>
                    <w:rPr>
                      <w:rFonts w:ascii="仿宋_GB2312" w:hAnsi="仿宋_GB2312" w:cs="仿宋_GB2312" w:eastAsia="仿宋_GB2312"/>
                      <w:sz w:val="20"/>
                      <w:color w:val="000000"/>
                    </w:rPr>
                    <w:t>竞赛使用镁粉盒</w:t>
                  </w:r>
                </w:p>
              </w:tc>
              <w:tc>
                <w:tcPr>
                  <w:tcW w:type="dxa" w:w="851"/>
                </w:tcPr>
                <w:p>
                  <w:pPr>
                    <w:pStyle w:val="null3"/>
                  </w:pPr>
                  <w:r>
                    <w:rPr>
                      <w:rFonts w:ascii="仿宋_GB2312" w:hAnsi="仿宋_GB2312" w:cs="仿宋_GB2312" w:eastAsia="仿宋_GB2312"/>
                      <w:sz w:val="20"/>
                      <w:color w:val="000000"/>
                    </w:rPr>
                    <w:t>举重赛事专用耗材</w:t>
                  </w:r>
                </w:p>
              </w:tc>
            </w:tr>
            <w:tr>
              <w:tc>
                <w:tcPr>
                  <w:tcW w:type="dxa" w:w="851"/>
                </w:tcPr>
                <w:p>
                  <w:pPr>
                    <w:pStyle w:val="null3"/>
                  </w:pPr>
                  <w:r>
                    <w:rPr>
                      <w:rFonts w:ascii="仿宋_GB2312" w:hAnsi="仿宋_GB2312" w:cs="仿宋_GB2312" w:eastAsia="仿宋_GB2312"/>
                    </w:rPr>
                    <w:t>13</w:t>
                  </w:r>
                </w:p>
              </w:tc>
              <w:tc>
                <w:tcPr>
                  <w:tcW w:type="dxa" w:w="851"/>
                </w:tcPr>
                <w:p>
                  <w:pPr>
                    <w:pStyle w:val="null3"/>
                  </w:pPr>
                  <w:r>
                    <w:rPr>
                      <w:rFonts w:ascii="仿宋_GB2312" w:hAnsi="仿宋_GB2312" w:cs="仿宋_GB2312" w:eastAsia="仿宋_GB2312"/>
                      <w:sz w:val="20"/>
                      <w:color w:val="000000"/>
                    </w:rPr>
                    <w:t>竞赛使用松香粉盒</w:t>
                  </w:r>
                </w:p>
              </w:tc>
              <w:tc>
                <w:tcPr>
                  <w:tcW w:type="dxa" w:w="851"/>
                </w:tcPr>
                <w:p>
                  <w:pPr>
                    <w:pStyle w:val="null3"/>
                  </w:pPr>
                  <w:r>
                    <w:rPr>
                      <w:rFonts w:ascii="仿宋_GB2312" w:hAnsi="仿宋_GB2312" w:cs="仿宋_GB2312" w:eastAsia="仿宋_GB2312"/>
                      <w:sz w:val="20"/>
                      <w:color w:val="000000"/>
                    </w:rPr>
                    <w:t>举重赛事专用耗材</w:t>
                  </w:r>
                </w:p>
              </w:tc>
            </w:tr>
            <w:tr>
              <w:tc>
                <w:tcPr>
                  <w:tcW w:type="dxa" w:w="851"/>
                </w:tcPr>
                <w:p>
                  <w:pPr>
                    <w:pStyle w:val="null3"/>
                  </w:pPr>
                  <w:r>
                    <w:rPr>
                      <w:rFonts w:ascii="仿宋_GB2312" w:hAnsi="仿宋_GB2312" w:cs="仿宋_GB2312" w:eastAsia="仿宋_GB2312"/>
                    </w:rPr>
                    <w:t>14</w:t>
                  </w:r>
                </w:p>
              </w:tc>
              <w:tc>
                <w:tcPr>
                  <w:tcW w:type="dxa" w:w="851"/>
                </w:tcPr>
                <w:p>
                  <w:pPr>
                    <w:pStyle w:val="null3"/>
                  </w:pPr>
                  <w:r>
                    <w:rPr>
                      <w:rFonts w:ascii="仿宋_GB2312" w:hAnsi="仿宋_GB2312" w:cs="仿宋_GB2312" w:eastAsia="仿宋_GB2312"/>
                      <w:sz w:val="20"/>
                      <w:color w:val="000000"/>
                    </w:rPr>
                    <w:t>杠铃清理刷</w:t>
                  </w:r>
                </w:p>
              </w:tc>
              <w:tc>
                <w:tcPr>
                  <w:tcW w:type="dxa" w:w="851"/>
                </w:tcPr>
                <w:p>
                  <w:pPr>
                    <w:pStyle w:val="null3"/>
                  </w:pPr>
                  <w:r>
                    <w:rPr>
                      <w:rFonts w:ascii="仿宋_GB2312" w:hAnsi="仿宋_GB2312" w:cs="仿宋_GB2312" w:eastAsia="仿宋_GB2312"/>
                      <w:sz w:val="20"/>
                      <w:color w:val="000000"/>
                    </w:rPr>
                    <w:t>举重赛事专用耗材</w:t>
                  </w:r>
                </w:p>
              </w:tc>
            </w:tr>
            <w:tr>
              <w:tc>
                <w:tcPr>
                  <w:tcW w:type="dxa" w:w="851"/>
                </w:tcPr>
                <w:p>
                  <w:pPr>
                    <w:pStyle w:val="null3"/>
                  </w:pPr>
                  <w:r>
                    <w:rPr>
                      <w:rFonts w:ascii="仿宋_GB2312" w:hAnsi="仿宋_GB2312" w:cs="仿宋_GB2312" w:eastAsia="仿宋_GB2312"/>
                    </w:rPr>
                    <w:t>15</w:t>
                  </w:r>
                </w:p>
              </w:tc>
              <w:tc>
                <w:tcPr>
                  <w:tcW w:type="dxa" w:w="851"/>
                </w:tcPr>
                <w:p>
                  <w:pPr>
                    <w:pStyle w:val="null3"/>
                  </w:pPr>
                  <w:r>
                    <w:rPr>
                      <w:rFonts w:ascii="仿宋_GB2312" w:hAnsi="仿宋_GB2312" w:cs="仿宋_GB2312" w:eastAsia="仿宋_GB2312"/>
                      <w:sz w:val="20"/>
                      <w:color w:val="000000"/>
                    </w:rPr>
                    <w:t>深蹲架</w:t>
                  </w:r>
                </w:p>
              </w:tc>
              <w:tc>
                <w:tcPr>
                  <w:tcW w:type="dxa" w:w="851"/>
                </w:tcPr>
                <w:p>
                  <w:pPr>
                    <w:pStyle w:val="null3"/>
                  </w:pPr>
                  <w:r>
                    <w:rPr>
                      <w:rFonts w:ascii="仿宋_GB2312" w:hAnsi="仿宋_GB2312" w:cs="仿宋_GB2312" w:eastAsia="仿宋_GB2312"/>
                      <w:sz w:val="20"/>
                      <w:color w:val="000000"/>
                    </w:rPr>
                    <w:t>高度：</w:t>
                  </w:r>
                  <w:r>
                    <w:rPr>
                      <w:rFonts w:ascii="仿宋_GB2312" w:hAnsi="仿宋_GB2312" w:cs="仿宋_GB2312" w:eastAsia="仿宋_GB2312"/>
                      <w:sz w:val="20"/>
                      <w:color w:val="000000"/>
                    </w:rPr>
                    <w:t>87cm~117cm；</w:t>
                  </w:r>
                </w:p>
                <w:p>
                  <w:pPr>
                    <w:pStyle w:val="null3"/>
                  </w:pPr>
                  <w:r>
                    <w:rPr>
                      <w:rFonts w:ascii="仿宋_GB2312" w:hAnsi="仿宋_GB2312" w:cs="仿宋_GB2312" w:eastAsia="仿宋_GB2312"/>
                      <w:sz w:val="20"/>
                      <w:color w:val="000000"/>
                    </w:rPr>
                    <w:t>放杠铃后高度：</w:t>
                  </w:r>
                  <w:r>
                    <w:rPr>
                      <w:rFonts w:ascii="仿宋_GB2312" w:hAnsi="仿宋_GB2312" w:cs="仿宋_GB2312" w:eastAsia="仿宋_GB2312"/>
                      <w:sz w:val="20"/>
                      <w:color w:val="000000"/>
                    </w:rPr>
                    <w:t>107.5cm~138cm；</w:t>
                  </w:r>
                </w:p>
                <w:p>
                  <w:pPr>
                    <w:pStyle w:val="null3"/>
                  </w:pPr>
                  <w:r>
                    <w:rPr>
                      <w:rFonts w:ascii="仿宋_GB2312" w:hAnsi="仿宋_GB2312" w:cs="仿宋_GB2312" w:eastAsia="仿宋_GB2312"/>
                      <w:sz w:val="20"/>
                      <w:color w:val="000000"/>
                    </w:rPr>
                    <w:t>橡胶台面：46.3cm*30cm*7.5cm，凹陷部位厚3cm训练使用</w:t>
                  </w:r>
                </w:p>
              </w:tc>
            </w:tr>
            <w:tr>
              <w:tc>
                <w:tcPr>
                  <w:tcW w:type="dxa" w:w="851"/>
                </w:tcPr>
                <w:p>
                  <w:pPr>
                    <w:pStyle w:val="null3"/>
                  </w:pPr>
                  <w:r>
                    <w:rPr>
                      <w:rFonts w:ascii="仿宋_GB2312" w:hAnsi="仿宋_GB2312" w:cs="仿宋_GB2312" w:eastAsia="仿宋_GB2312"/>
                    </w:rPr>
                    <w:t>16</w:t>
                  </w:r>
                </w:p>
              </w:tc>
              <w:tc>
                <w:tcPr>
                  <w:tcW w:type="dxa" w:w="851"/>
                </w:tcPr>
                <w:p>
                  <w:pPr>
                    <w:pStyle w:val="null3"/>
                  </w:pPr>
                  <w:r>
                    <w:rPr>
                      <w:rFonts w:ascii="仿宋_GB2312" w:hAnsi="仿宋_GB2312" w:cs="仿宋_GB2312" w:eastAsia="仿宋_GB2312"/>
                      <w:sz w:val="20"/>
                      <w:color w:val="000000"/>
                    </w:rPr>
                    <w:t>LED屏</w:t>
                  </w:r>
                </w:p>
              </w:tc>
              <w:tc>
                <w:tcPr>
                  <w:tcW w:type="dxa" w:w="851"/>
                </w:tcPr>
                <w:p>
                  <w:pPr>
                    <w:pStyle w:val="null3"/>
                  </w:pPr>
                  <w:r>
                    <w:rPr>
                      <w:rFonts w:ascii="仿宋_GB2312" w:hAnsi="仿宋_GB2312" w:cs="仿宋_GB2312" w:eastAsia="仿宋_GB2312"/>
                      <w:sz w:val="20"/>
                      <w:color w:val="000000"/>
                    </w:rPr>
                    <w:t>安装服务费、设备由举摔柔中心提供</w:t>
                  </w:r>
                </w:p>
              </w:tc>
            </w:tr>
            <w:tr>
              <w:tc>
                <w:tcPr>
                  <w:tcW w:type="dxa" w:w="851"/>
                </w:tcPr>
                <w:p>
                  <w:pPr>
                    <w:pStyle w:val="null3"/>
                  </w:pPr>
                  <w:r>
                    <w:rPr>
                      <w:rFonts w:ascii="仿宋_GB2312" w:hAnsi="仿宋_GB2312" w:cs="仿宋_GB2312" w:eastAsia="仿宋_GB2312"/>
                    </w:rPr>
                    <w:t>17</w:t>
                  </w:r>
                </w:p>
              </w:tc>
              <w:tc>
                <w:tcPr>
                  <w:tcW w:type="dxa" w:w="851"/>
                </w:tcPr>
                <w:p>
                  <w:pPr>
                    <w:pStyle w:val="null3"/>
                  </w:pPr>
                  <w:r>
                    <w:rPr>
                      <w:rFonts w:ascii="仿宋_GB2312" w:hAnsi="仿宋_GB2312" w:cs="仿宋_GB2312" w:eastAsia="仿宋_GB2312"/>
                      <w:sz w:val="20"/>
                      <w:color w:val="000000"/>
                    </w:rPr>
                    <w:t>裁判台</w:t>
                  </w:r>
                </w:p>
              </w:tc>
              <w:tc>
                <w:tcPr>
                  <w:tcW w:type="dxa" w:w="851"/>
                </w:tcPr>
                <w:p>
                  <w:pPr>
                    <w:pStyle w:val="null3"/>
                  </w:pPr>
                  <w:r>
                    <w:rPr>
                      <w:rFonts w:ascii="仿宋_GB2312" w:hAnsi="仿宋_GB2312" w:cs="仿宋_GB2312" w:eastAsia="仿宋_GB2312"/>
                      <w:sz w:val="20"/>
                      <w:color w:val="000000"/>
                    </w:rPr>
                    <w:t>执裁台为</w:t>
                  </w:r>
                  <w:r>
                    <w:rPr>
                      <w:rFonts w:ascii="仿宋_GB2312" w:hAnsi="仿宋_GB2312" w:cs="仿宋_GB2312" w:eastAsia="仿宋_GB2312"/>
                      <w:sz w:val="20"/>
                      <w:color w:val="000000"/>
                    </w:rPr>
                    <w:t>2M×2M×20CM，仲裁台为2M×6M×20CM</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标的名称：国际式摔跤、柔道器材租赁（省运会摔跤、柔道器材）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器材名称</w:t>
                  </w:r>
                </w:p>
              </w:tc>
              <w:tc>
                <w:tcPr>
                  <w:tcW w:type="dxa" w:w="851"/>
                </w:tcPr>
                <w:p>
                  <w:pPr>
                    <w:pStyle w:val="null3"/>
                  </w:pPr>
                  <w:r>
                    <w:rPr>
                      <w:rFonts w:ascii="仿宋_GB2312" w:hAnsi="仿宋_GB2312" w:cs="仿宋_GB2312" w:eastAsia="仿宋_GB2312"/>
                    </w:rPr>
                    <w:t>功能、规格、说明</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sz w:val="20"/>
                      <w:color w:val="000000"/>
                    </w:rPr>
                    <w:t>比赛高台</w:t>
                  </w:r>
                </w:p>
              </w:tc>
              <w:tc>
                <w:tcPr>
                  <w:tcW w:type="dxa" w:w="851"/>
                </w:tcPr>
                <w:p>
                  <w:pPr>
                    <w:pStyle w:val="null3"/>
                  </w:pPr>
                  <w:r>
                    <w:rPr>
                      <w:rFonts w:ascii="仿宋_GB2312" w:hAnsi="仿宋_GB2312" w:cs="仿宋_GB2312" w:eastAsia="仿宋_GB2312"/>
                      <w:sz w:val="20"/>
                      <w:color w:val="000000"/>
                    </w:rPr>
                    <w:t>1、规格尺寸32M*18M高0.6-0.8M1</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主要材质：优质焊接钢管、多层胶合板</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产品特点：采用单元式结构，水平可调节，易拆卸、安装，可包含地毯、围子、梯子等配件。（国际式摔跤、柔道比赛专用高台）</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sz w:val="20"/>
                      <w:color w:val="000000"/>
                    </w:rPr>
                    <w:t>摔跤用垫</w:t>
                  </w:r>
                </w:p>
              </w:tc>
              <w:tc>
                <w:tcPr>
                  <w:tcW w:type="dxa" w:w="851"/>
                </w:tcPr>
                <w:p>
                  <w:pPr>
                    <w:pStyle w:val="null3"/>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12000×12000×60mm</w:t>
                  </w:r>
                  <w:r>
                    <w:br/>
                  </w:r>
                  <w:r>
                    <w:rPr>
                      <w:rFonts w:ascii="仿宋_GB2312" w:hAnsi="仿宋_GB2312" w:cs="仿宋_GB2312" w:eastAsia="仿宋_GB2312"/>
                      <w:sz w:val="20"/>
                      <w:color w:val="000000"/>
                    </w:rPr>
                    <w:t>1.柔性层由72块柔性块组成，柔性快单元规格:2000×1000×60mm；</w:t>
                  </w:r>
                  <w:r>
                    <w:br/>
                  </w:r>
                  <w:r>
                    <w:rPr>
                      <w:rFonts w:ascii="仿宋_GB2312" w:hAnsi="仿宋_GB2312" w:cs="仿宋_GB2312" w:eastAsia="仿宋_GB2312"/>
                      <w:sz w:val="20"/>
                      <w:color w:val="000000"/>
                    </w:rPr>
                    <w:t>2.盖单规格：12200×12200mm。</w:t>
                  </w:r>
                  <w:r>
                    <w:br/>
                  </w:r>
                  <w:r>
                    <w:rPr>
                      <w:rFonts w:ascii="仿宋_GB2312" w:hAnsi="仿宋_GB2312" w:cs="仿宋_GB2312" w:eastAsia="仿宋_GB2312"/>
                      <w:sz w:val="20"/>
                      <w:color w:val="000000"/>
                    </w:rPr>
                    <w:t>材质：盖单为</w:t>
                  </w:r>
                  <w:r>
                    <w:rPr>
                      <w:rFonts w:ascii="仿宋_GB2312" w:hAnsi="仿宋_GB2312" w:cs="仿宋_GB2312" w:eastAsia="仿宋_GB2312"/>
                      <w:sz w:val="20"/>
                      <w:color w:val="000000"/>
                    </w:rPr>
                    <w:t>PVC机织布，采用高频热合工艺，柔性层为XPE、海绵、双面绒布热合结构。盖单的粘合采用高频热合机热合，热合牢固，无味。绒布层用TPE材料采用流延技术与内胎表层复合，内胎各层之间采用火焰热合工艺。结实、耐用、环保。</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sz w:val="20"/>
                      <w:color w:val="000000"/>
                    </w:rPr>
                    <w:t>柔道垫子</w:t>
                  </w:r>
                </w:p>
              </w:tc>
              <w:tc>
                <w:tcPr>
                  <w:tcW w:type="dxa" w:w="851"/>
                </w:tcPr>
                <w:p>
                  <w:pPr>
                    <w:pStyle w:val="null3"/>
                  </w:pPr>
                  <w:r>
                    <w:rPr>
                      <w:rFonts w:ascii="仿宋_GB2312" w:hAnsi="仿宋_GB2312" w:cs="仿宋_GB2312" w:eastAsia="仿宋_GB2312"/>
                      <w:sz w:val="20"/>
                      <w:color w:val="000000"/>
                    </w:rPr>
                    <w:t>1、规格：14000×14000×50mm</w:t>
                  </w:r>
                  <w:r>
                    <w:br/>
                  </w:r>
                  <w:r>
                    <w:rPr>
                      <w:rFonts w:ascii="仿宋_GB2312" w:hAnsi="仿宋_GB2312" w:cs="仿宋_GB2312" w:eastAsia="仿宋_GB2312"/>
                      <w:sz w:val="20"/>
                      <w:color w:val="000000"/>
                    </w:rPr>
                    <w:t>比赛区</w:t>
                  </w:r>
                  <w:r>
                    <w:rPr>
                      <w:rFonts w:ascii="仿宋_GB2312" w:hAnsi="仿宋_GB2312" w:cs="仿宋_GB2312" w:eastAsia="仿宋_GB2312"/>
                      <w:sz w:val="20"/>
                      <w:color w:val="000000"/>
                    </w:rPr>
                    <w:t>10000×10000mm；场地由98个单元垫子组成。单元尺寸：2000×1000×50mm；柔道框架由56单元组成。单元规格尺寸：护角4件360×236×38mm；短管件2250×60×38mm；长管件4700×60×38mm；管接4件4950×60×38mm；内箍带件19300×50mm；外箍带件9500×50mm；紧绳器4件；紧绳器护套4件。；比赛区为黄色50块；外围保护区为红色112块。</w:t>
                  </w:r>
                  <w:r>
                    <w:br/>
                  </w:r>
                  <w:r>
                    <w:rPr>
                      <w:rFonts w:ascii="仿宋_GB2312" w:hAnsi="仿宋_GB2312" w:cs="仿宋_GB2312" w:eastAsia="仿宋_GB2312"/>
                      <w:sz w:val="20"/>
                      <w:color w:val="000000"/>
                    </w:rPr>
                    <w:t>2、上表层为黄色和红色PVC柔道布；内胎上层为压缩海绵、中层纤维板防止热胀冷缩变形、下层为压缩海绵，底部设计有TPE流延防滑层。</w:t>
                  </w:r>
                  <w:r>
                    <w:br/>
                  </w:r>
                  <w:r>
                    <w:rPr>
                      <w:rFonts w:ascii="仿宋_GB2312" w:hAnsi="仿宋_GB2312" w:cs="仿宋_GB2312" w:eastAsia="仿宋_GB2312"/>
                      <w:sz w:val="20"/>
                      <w:color w:val="000000"/>
                    </w:rPr>
                    <w:t>3、表面平整，无裂纹、破损、油污、杂质，边缘整齐无毛刺。</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sz w:val="20"/>
                      <w:color w:val="000000"/>
                    </w:rPr>
                    <w:t>教练员指挥席</w:t>
                  </w:r>
                </w:p>
              </w:tc>
              <w:tc>
                <w:tcPr>
                  <w:tcW w:type="dxa" w:w="851"/>
                </w:tcPr>
                <w:p>
                  <w:pPr>
                    <w:pStyle w:val="null3"/>
                  </w:pPr>
                  <w:r>
                    <w:rPr>
                      <w:rFonts w:ascii="仿宋_GB2312" w:hAnsi="仿宋_GB2312" w:cs="仿宋_GB2312" w:eastAsia="仿宋_GB2312"/>
                      <w:sz w:val="20"/>
                      <w:color w:val="000000"/>
                    </w:rPr>
                    <w:t>规格按国际柔联数据制作，蓝白各</w:t>
                  </w:r>
                  <w:r>
                    <w:rPr>
                      <w:rFonts w:ascii="仿宋_GB2312" w:hAnsi="仿宋_GB2312" w:cs="仿宋_GB2312" w:eastAsia="仿宋_GB2312"/>
                      <w:sz w:val="20"/>
                      <w:color w:val="000000"/>
                    </w:rPr>
                    <w:t>2个</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sz w:val="20"/>
                      <w:color w:val="000000"/>
                    </w:rPr>
                    <w:t>裁判台</w:t>
                  </w:r>
                </w:p>
              </w:tc>
              <w:tc>
                <w:tcPr>
                  <w:tcW w:type="dxa" w:w="851"/>
                </w:tcPr>
                <w:p>
                  <w:pPr>
                    <w:pStyle w:val="null3"/>
                  </w:pPr>
                  <w:r>
                    <w:rPr>
                      <w:rFonts w:ascii="仿宋_GB2312" w:hAnsi="仿宋_GB2312" w:cs="仿宋_GB2312" w:eastAsia="仿宋_GB2312"/>
                      <w:sz w:val="20"/>
                      <w:color w:val="000000"/>
                    </w:rPr>
                    <w:t>12M*4M*(0.6-0.8)M</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sz w:val="20"/>
                      <w:color w:val="000000"/>
                    </w:rPr>
                    <w:t>裁判台</w:t>
                  </w:r>
                </w:p>
              </w:tc>
              <w:tc>
                <w:tcPr>
                  <w:tcW w:type="dxa" w:w="851"/>
                </w:tcPr>
                <w:p>
                  <w:pPr>
                    <w:pStyle w:val="null3"/>
                  </w:pPr>
                  <w:r>
                    <w:rPr>
                      <w:rFonts w:ascii="仿宋_GB2312" w:hAnsi="仿宋_GB2312" w:cs="仿宋_GB2312" w:eastAsia="仿宋_GB2312"/>
                      <w:sz w:val="20"/>
                      <w:color w:val="000000"/>
                    </w:rPr>
                    <w:t>7M*2M*(0.6)M</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sz w:val="20"/>
                      <w:color w:val="000000"/>
                    </w:rPr>
                    <w:t>裁判台</w:t>
                  </w:r>
                </w:p>
              </w:tc>
              <w:tc>
                <w:tcPr>
                  <w:tcW w:type="dxa" w:w="851"/>
                </w:tcPr>
                <w:p>
                  <w:pPr>
                    <w:pStyle w:val="null3"/>
                  </w:pPr>
                  <w:r>
                    <w:rPr>
                      <w:rFonts w:ascii="仿宋_GB2312" w:hAnsi="仿宋_GB2312" w:cs="仿宋_GB2312" w:eastAsia="仿宋_GB2312"/>
                      <w:sz w:val="20"/>
                      <w:color w:val="000000"/>
                    </w:rPr>
                    <w:t>3M*2M*(0.6)M</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sz w:val="20"/>
                      <w:color w:val="000000"/>
                    </w:rPr>
                    <w:t>计时钟（篮球表）带支架</w:t>
                  </w:r>
                </w:p>
              </w:tc>
              <w:tc>
                <w:tcPr>
                  <w:tcW w:type="dxa" w:w="851"/>
                </w:tcPr>
                <w:p>
                  <w:pPr>
                    <w:pStyle w:val="null3"/>
                  </w:pPr>
                  <w:r>
                    <w:rPr>
                      <w:rFonts w:ascii="仿宋_GB2312" w:hAnsi="仿宋_GB2312" w:cs="仿宋_GB2312" w:eastAsia="仿宋_GB2312"/>
                      <w:sz w:val="20"/>
                      <w:color w:val="000000"/>
                    </w:rPr>
                    <w:t>省运会专用计时、高</w:t>
                  </w:r>
                  <w:r>
                    <w:rPr>
                      <w:rFonts w:ascii="仿宋_GB2312" w:hAnsi="仿宋_GB2312" w:cs="仿宋_GB2312" w:eastAsia="仿宋_GB2312"/>
                      <w:sz w:val="20"/>
                      <w:color w:val="000000"/>
                    </w:rPr>
                    <w:t>1.6 m</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sz w:val="20"/>
                      <w:color w:val="000000"/>
                    </w:rPr>
                    <w:t>运动员称重电子磅秤</w:t>
                  </w:r>
                </w:p>
              </w:tc>
              <w:tc>
                <w:tcPr>
                  <w:tcW w:type="dxa" w:w="851"/>
                </w:tcPr>
                <w:p>
                  <w:pPr>
                    <w:pStyle w:val="null3"/>
                  </w:pPr>
                  <w:r>
                    <w:rPr>
                      <w:rFonts w:ascii="仿宋_GB2312" w:hAnsi="仿宋_GB2312" w:cs="仿宋_GB2312" w:eastAsia="仿宋_GB2312"/>
                      <w:sz w:val="20"/>
                      <w:color w:val="000000"/>
                    </w:rPr>
                    <w:t>体重称，最大刻度</w:t>
                  </w:r>
                  <w:r>
                    <w:rPr>
                      <w:rFonts w:ascii="仿宋_GB2312" w:hAnsi="仿宋_GB2312" w:cs="仿宋_GB2312" w:eastAsia="仿宋_GB2312"/>
                      <w:sz w:val="20"/>
                      <w:color w:val="000000"/>
                    </w:rPr>
                    <w:t>150kg，精确度为0.01kg，同一品牌规格</w:t>
                  </w:r>
                </w:p>
              </w:tc>
            </w:tr>
            <w:tr>
              <w:tc>
                <w:tcPr>
                  <w:tcW w:type="dxa" w:w="851"/>
                </w:tcPr>
                <w:p>
                  <w:pPr>
                    <w:pStyle w:val="null3"/>
                  </w:pPr>
                  <w:r>
                    <w:rPr>
                      <w:rFonts w:ascii="仿宋_GB2312" w:hAnsi="仿宋_GB2312" w:cs="仿宋_GB2312" w:eastAsia="仿宋_GB2312"/>
                    </w:rPr>
                    <w:t>10</w:t>
                  </w:r>
                </w:p>
              </w:tc>
              <w:tc>
                <w:tcPr>
                  <w:tcW w:type="dxa" w:w="851"/>
                </w:tcPr>
                <w:p>
                  <w:pPr>
                    <w:pStyle w:val="null3"/>
                  </w:pPr>
                  <w:r>
                    <w:rPr>
                      <w:rFonts w:ascii="仿宋_GB2312" w:hAnsi="仿宋_GB2312" w:cs="仿宋_GB2312" w:eastAsia="仿宋_GB2312"/>
                      <w:sz w:val="20"/>
                      <w:color w:val="000000"/>
                    </w:rPr>
                    <w:t>测量道服尺</w:t>
                  </w:r>
                </w:p>
              </w:tc>
              <w:tc>
                <w:tcPr>
                  <w:tcW w:type="dxa" w:w="851"/>
                </w:tcPr>
                <w:p>
                  <w:pPr>
                    <w:pStyle w:val="null3"/>
                  </w:pPr>
                  <w:r>
                    <w:rPr>
                      <w:rFonts w:ascii="仿宋_GB2312" w:hAnsi="仿宋_GB2312" w:cs="仿宋_GB2312" w:eastAsia="仿宋_GB2312"/>
                      <w:sz w:val="20"/>
                      <w:color w:val="000000"/>
                    </w:rPr>
                    <w:t>1.主要材质：金属</w:t>
                  </w:r>
                  <w:r>
                    <w:br/>
                  </w:r>
                  <w:r>
                    <w:rPr>
                      <w:rFonts w:ascii="仿宋_GB2312" w:hAnsi="仿宋_GB2312" w:cs="仿宋_GB2312" w:eastAsia="仿宋_GB2312"/>
                      <w:sz w:val="20"/>
                      <w:color w:val="000000"/>
                    </w:rPr>
                    <w:t>2.产品特点：测量精准，使用方便，耐腐蚀。</w:t>
                  </w:r>
                </w:p>
              </w:tc>
            </w:tr>
          </w:tbl>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能够满足竞赛器材安装调试及采购人要求。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能够满足竞赛器材安装调试及采购人要求。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能够满足竞赛器材安装调试及采购人要求。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能够满足竞赛器材安装调试及采购人要求。</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自合同签订之日起至陕西省十八届运动会结束（具体以运动会赛程实际情况为准）。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自合同签订之日起至陕西省十八届运动会结束（具体以运动会赛程实际情况为准）。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合阳县体育馆内。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合阳县体育馆内。</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其他，活动结束后，达到付款条件起15个工作日内，支付合同总金额的100.0%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其他，活动结束后，达到付款条件起15个工作日内，支付合同总金额的100.0%</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由于本项目时间紧、任务重，要求成交供应商在合同签订后，于2026年7月12日12:00前将所有竞赛器材安装调试到位；如最终成交供应商未能按规定时间完成要求，将被列入政府采购严重违法失信记录名单并追究其相关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供应商应提交的资格证明文件1包</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供应商应提交的资格证明文件2包</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主体资格要求</w:t>
            </w:r>
          </w:p>
        </w:tc>
        <w:tc>
          <w:tcPr>
            <w:tcW w:type="dxa" w:w="3322"/>
          </w:tcPr>
          <w:p>
            <w:pPr>
              <w:pStyle w:val="null3"/>
            </w:pPr>
            <w:r>
              <w:rPr>
                <w:rFonts w:ascii="仿宋_GB2312" w:hAnsi="仿宋_GB2312" w:cs="仿宋_GB2312" w:eastAsia="仿宋_GB2312"/>
              </w:rPr>
              <w:t>供应商为响应谈判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供应商应提交的资格证明文件1包</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法定代表人直接参加投标，须提交法定代表人身份证明书和身份证。法定代表人授权代表参加投标的，须出具法定代表人授权书及法人和授权代表身份证。</w:t>
            </w:r>
          </w:p>
        </w:tc>
        <w:tc>
          <w:tcPr>
            <w:tcW w:type="dxa" w:w="1661"/>
          </w:tcPr>
          <w:p>
            <w:pPr>
              <w:pStyle w:val="null3"/>
            </w:pPr>
            <w:r>
              <w:rPr>
                <w:rFonts w:ascii="仿宋_GB2312" w:hAnsi="仿宋_GB2312" w:cs="仿宋_GB2312" w:eastAsia="仿宋_GB2312"/>
              </w:rPr>
              <w:t>供应商应提交的资格证明文件1包</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供应商提供2025年度的财务审计报告（至少包括资产负债表、利润表和现金流量表），或其开标前三个月内基本存款账户开户银行出具的资信证明及基本存款账户开户许可证。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供应商应提交的资格证明文件1包</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供应商提供2025年6月至今任意一个月的社保机构开具的社会保险参保缴费情况证明，依法不需要缴纳社会保障资金的供应商应提供相关文件证明。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供应商应提交的资格证明文件1包</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供应商提供2025年6月至今任意一个月的纳税证明或完税证明，纳税证明或完税证明上应有代收机构或税务机关的公章，依法免税的供应商应提供相关文件证明。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供应商应提交的资格证明文件1包</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企业名单”。</w:t>
            </w:r>
          </w:p>
        </w:tc>
        <w:tc>
          <w:tcPr>
            <w:tcW w:type="dxa" w:w="1661"/>
          </w:tcPr>
          <w:p>
            <w:pPr>
              <w:pStyle w:val="null3"/>
            </w:pPr>
            <w:r>
              <w:rPr>
                <w:rFonts w:ascii="仿宋_GB2312" w:hAnsi="仿宋_GB2312" w:cs="仿宋_GB2312" w:eastAsia="仿宋_GB2312"/>
              </w:rPr>
              <w:t>供应商应提交的资格证明文件1包</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参加本次采购活动前三年内在经营活动中没有重大违纪的书面声明。</w:t>
            </w:r>
          </w:p>
        </w:tc>
        <w:tc>
          <w:tcPr>
            <w:tcW w:type="dxa" w:w="1661"/>
          </w:tcPr>
          <w:p>
            <w:pPr>
              <w:pStyle w:val="null3"/>
            </w:pPr>
            <w:r>
              <w:rPr>
                <w:rFonts w:ascii="仿宋_GB2312" w:hAnsi="仿宋_GB2312" w:cs="仿宋_GB2312" w:eastAsia="仿宋_GB2312"/>
              </w:rPr>
              <w:t>供应商应提交的资格证明文件1包</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单位负责人为同一人或者存在直接控股、管理关系的不同供应商不得同时参加本次采购。</w:t>
            </w:r>
          </w:p>
        </w:tc>
        <w:tc>
          <w:tcPr>
            <w:tcW w:type="dxa" w:w="1661"/>
          </w:tcPr>
          <w:p>
            <w:pPr>
              <w:pStyle w:val="null3"/>
            </w:pPr>
            <w:r>
              <w:rPr>
                <w:rFonts w:ascii="仿宋_GB2312" w:hAnsi="仿宋_GB2312" w:cs="仿宋_GB2312" w:eastAsia="仿宋_GB2312"/>
              </w:rPr>
              <w:t>供应商应提交的资格证明文件1包</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主体资格要求</w:t>
            </w:r>
          </w:p>
        </w:tc>
        <w:tc>
          <w:tcPr>
            <w:tcW w:type="dxa" w:w="3322"/>
          </w:tcPr>
          <w:p>
            <w:pPr>
              <w:pStyle w:val="null3"/>
            </w:pPr>
            <w:r>
              <w:rPr>
                <w:rFonts w:ascii="仿宋_GB2312" w:hAnsi="仿宋_GB2312" w:cs="仿宋_GB2312" w:eastAsia="仿宋_GB2312"/>
              </w:rPr>
              <w:t>供应商为响应谈判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供应商应提交的资格证明文件2包</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法定代表人直接参加投标，须提交法定代表人身份证明书和身份证。法定代表人授权代表参加投标的，须出具法定代表人授权书及法人和授权代表身份证。</w:t>
            </w:r>
          </w:p>
        </w:tc>
        <w:tc>
          <w:tcPr>
            <w:tcW w:type="dxa" w:w="1661"/>
          </w:tcPr>
          <w:p>
            <w:pPr>
              <w:pStyle w:val="null3"/>
            </w:pPr>
            <w:r>
              <w:rPr>
                <w:rFonts w:ascii="仿宋_GB2312" w:hAnsi="仿宋_GB2312" w:cs="仿宋_GB2312" w:eastAsia="仿宋_GB2312"/>
              </w:rPr>
              <w:t>供应商应提交的资格证明文件2包</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供应商提供2025年度的财务审计报告（至少包括资产负债表、利润表和现金流量表），或其开标前三个月内基本存款账户开户银行出具的资信证明及基本存款账户开户许可证。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供应商应提交的资格证明文件2包</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供应商提供2025年6月至今任意一个月的社保机构开具的社会保险参保缴费情况证明，依法不需要缴纳社会保障资金的供应商应提供相关文件证明。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供应商应提交的资格证明文件2包</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供应商提供2025年6月至今任意一个月的纳税证明或完税证明，纳税证明或完税证明上应有代收机构或税务机关的公章，依法免税的供应商应提供相关文件证明。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供应商应提交的资格证明文件2包</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企业名单”。</w:t>
            </w:r>
          </w:p>
        </w:tc>
        <w:tc>
          <w:tcPr>
            <w:tcW w:type="dxa" w:w="1661"/>
          </w:tcPr>
          <w:p>
            <w:pPr>
              <w:pStyle w:val="null3"/>
            </w:pPr>
            <w:r>
              <w:rPr>
                <w:rFonts w:ascii="仿宋_GB2312" w:hAnsi="仿宋_GB2312" w:cs="仿宋_GB2312" w:eastAsia="仿宋_GB2312"/>
              </w:rPr>
              <w:t>供应商应提交的资格证明文件2包</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参加本次采购活动前三年内在经营活动中没有重大违纪的书面声明。</w:t>
            </w:r>
          </w:p>
        </w:tc>
        <w:tc>
          <w:tcPr>
            <w:tcW w:type="dxa" w:w="1661"/>
          </w:tcPr>
          <w:p>
            <w:pPr>
              <w:pStyle w:val="null3"/>
            </w:pPr>
            <w:r>
              <w:rPr>
                <w:rFonts w:ascii="仿宋_GB2312" w:hAnsi="仿宋_GB2312" w:cs="仿宋_GB2312" w:eastAsia="仿宋_GB2312"/>
              </w:rPr>
              <w:t>供应商应提交的资格证明文件2包</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单位负责人为同一人或者存在直接控股、管理关系的不同供应商不得同时参加本次采购。</w:t>
            </w:r>
          </w:p>
        </w:tc>
        <w:tc>
          <w:tcPr>
            <w:tcW w:type="dxa" w:w="1661"/>
          </w:tcPr>
          <w:p>
            <w:pPr>
              <w:pStyle w:val="null3"/>
            </w:pPr>
            <w:r>
              <w:rPr>
                <w:rFonts w:ascii="仿宋_GB2312" w:hAnsi="仿宋_GB2312" w:cs="仿宋_GB2312" w:eastAsia="仿宋_GB2312"/>
              </w:rPr>
              <w:t>供应商应提交的资格证明文件2包</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竞争性谈判文件要求盖公章及要求法人或委托代理人盖章或签字的位置必须盖章或签字。</w:t>
            </w:r>
          </w:p>
        </w:tc>
        <w:tc>
          <w:tcPr>
            <w:tcW w:type="dxa" w:w="1661"/>
          </w:tcPr>
          <w:p>
            <w:pPr>
              <w:pStyle w:val="null3"/>
            </w:pPr>
            <w:r>
              <w:rPr>
                <w:rFonts w:ascii="仿宋_GB2312" w:hAnsi="仿宋_GB2312" w:cs="仿宋_GB2312" w:eastAsia="仿宋_GB2312"/>
              </w:rPr>
              <w:t>响应文件封面 中小企业声明函 残疾人福利性单位声明函 商务应答表 标的清单 整体方案 供应商应提交的资格证明文件1包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标的清单 整体方案 供应商应提交的资格证明文件1包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只能有一个有效报价，不得提交选择性报价，且报价不超过采购最高限价；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自开标之日起不少于90日历天；</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竞争性谈判文件要求盖公章及要求法人或委托代理人盖章或签字的位置必须盖章或签字。</w:t>
            </w:r>
          </w:p>
        </w:tc>
        <w:tc>
          <w:tcPr>
            <w:tcW w:type="dxa" w:w="1661"/>
          </w:tcPr>
          <w:p>
            <w:pPr>
              <w:pStyle w:val="null3"/>
            </w:pPr>
            <w:r>
              <w:rPr>
                <w:rFonts w:ascii="仿宋_GB2312" w:hAnsi="仿宋_GB2312" w:cs="仿宋_GB2312" w:eastAsia="仿宋_GB2312"/>
              </w:rPr>
              <w:t>响应文件封面 中小企业声明函 残疾人福利性单位声明函 商务应答表 标的清单 整体方案 响应函 供应商应提交的资格证明文件2包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标的清单 整体方案 响应函 供应商应提交的资格证明文件2包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只能有一个有效报价，不得提交选择性报价，且报价不超过采购最高限价；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自开标之日起不少于90日历天；</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当报价相同时由谈判小组按照供应商提供的整体方案的优劣顺序进行排序确定。</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当报价相同时由谈判小组按照供应商提供的整体方案的优劣顺序进行排序确定。</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详见附件：供应商应提交的资格证明文件1包</w:t>
      </w:r>
    </w:p>
    <w:p>
      <w:pPr>
        <w:pStyle w:val="null3"/>
        <w:ind w:firstLine="960"/>
      </w:pPr>
      <w:r>
        <w:rPr>
          <w:rFonts w:ascii="仿宋_GB2312" w:hAnsi="仿宋_GB2312" w:cs="仿宋_GB2312" w:eastAsia="仿宋_GB2312"/>
        </w:rPr>
        <w:t>详见附件：整体方案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详见附件：供应商应提交的资格证明文件2包</w:t>
      </w:r>
    </w:p>
    <w:p>
      <w:pPr>
        <w:pStyle w:val="null3"/>
        <w:ind w:firstLine="960"/>
      </w:pPr>
      <w:r>
        <w:rPr>
          <w:rFonts w:ascii="仿宋_GB2312" w:hAnsi="仿宋_GB2312" w:cs="仿宋_GB2312" w:eastAsia="仿宋_GB2312"/>
        </w:rPr>
        <w:t>详见附件：整体方案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详见附件：租赁合同.docx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