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版本号：新天宏THZ2026－32220260706001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新天宏THZ2026－322</w:t>
      </w:r>
      <w:r>
        <w:br/>
      </w:r>
      <w:r>
        <w:br/>
      </w:r>
      <w:r>
        <w:br/>
      </w:r>
    </w:p>
    <w:p>
      <w:pPr>
        <w:pStyle w:val="null3"/>
        <w:jc w:val="center"/>
        <w:outlineLvl w:val="2"/>
      </w:pPr>
      <w:r>
        <w:rPr>
          <w:rFonts w:ascii="仿宋_GB2312" w:hAnsi="仿宋_GB2312" w:cs="仿宋_GB2312" w:eastAsia="仿宋_GB2312"/>
          <w:sz w:val="28"/>
          <w:b/>
        </w:rPr>
        <w:t>西安高新区第五十三幼儿园</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西安高新区第五十三幼儿园</w:t>
      </w:r>
      <w:r>
        <w:rPr>
          <w:rFonts w:ascii="仿宋_GB2312" w:hAnsi="仿宋_GB2312" w:cs="仿宋_GB2312" w:eastAsia="仿宋_GB2312"/>
        </w:rPr>
        <w:t>委托，拟对</w:t>
      </w:r>
      <w:r>
        <w:rPr>
          <w:rFonts w:ascii="仿宋_GB2312" w:hAnsi="仿宋_GB2312" w:cs="仿宋_GB2312" w:eastAsia="仿宋_GB2312"/>
        </w:rPr>
        <w:t>后勤服务外包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新天宏THZ2026－322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基本情况：幼儿园位于高新区云上路，园所建筑面积 5470.5平方米，现有幼儿184人，教职工33人。服务范围：保洁服务、安保服务、综合维修等。服务人数：11人。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采购包1（勤服务外包）：属于专门面向中小企业采购。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1、身份证明文件：法定代表人授权书及被授权人身份证复印件 ( 被授权人参与投标需提供投标截止时间前三个月的本单位社保证明（不含当月），法定代表人直接参加投标，须提供法定代表人身份证明及身份证复印件）。</w:t>
      </w:r>
    </w:p>
    <w:p>
      <w:pPr>
        <w:pStyle w:val="null3"/>
      </w:pPr>
      <w:r>
        <w:rPr>
          <w:rFonts w:ascii="仿宋_GB2312" w:hAnsi="仿宋_GB2312" w:cs="仿宋_GB2312" w:eastAsia="仿宋_GB2312"/>
        </w:rPr>
        <w:t>2、信用证明：供应商不得为“信用中国”网站（www.creditchina.gov.cn）中列入失信被执行人和重大税收违法失信主 体名单的供应商，不得为中国政府采购网（www.ccgp.gov.cn）政府采购严重违法失信行为记录名单中被财政部门禁止参加 政府采购活动的供应商。以开标当天查询截图为准。</w:t>
      </w:r>
    </w:p>
    <w:p>
      <w:pPr>
        <w:pStyle w:val="null3"/>
      </w:pPr>
      <w:r>
        <w:rPr>
          <w:rFonts w:ascii="仿宋_GB2312" w:hAnsi="仿宋_GB2312" w:cs="仿宋_GB2312" w:eastAsia="仿宋_GB2312"/>
        </w:rPr>
        <w:t>3、非联合体声明：本项目不接受联合体磋商，提供非联合体声明函。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西安高新区第五十三幼儿园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西安市高新技术产业开发区云上路北，兴隆鑫苑小区内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西安高新区第五十三幼儿园经办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029-81140568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代理服务费收费标准：中标/成交供应商 代理服务费收费标准：1.本项目收取代理服务费代理 服务费用收取对象：中标/成交供应商代理服务费收费标准： 成交供应商在领取成交通知书前， 由成交人向采购代理机构按国家计委颁发的 《 招标代理服务收费管理暂行办法 》（计价格[20 02]1980号）《关于招标代理服务收费有关问题的通知》 （ 发改办价格[2003]857号）的有关规定一次性支付采购 代理服务费。不足5000.00元的按5 000.00元收取。2.成交供应商在领取成交通知书前，应一次性支付采购代理服务费。 西安新天宏项目管理有限责任公司，中国银行西安高新技术开发区支行营业部 103264576539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西安高新区第五十三幼儿园</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西安高新区第五十三幼儿园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西安高新区第五十三幼儿园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按照磋商文件和采购合同的约定执行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地址：西安市高新区高新路52号高科大厦4楼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幼儿园位于高新区云上路，园所建筑面积 5470.5平方米，现有幼儿184人，教职工33人。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462,000.00</w:t>
      </w:r>
    </w:p>
    <w:p>
      <w:pPr>
        <w:pStyle w:val="null3"/>
      </w:pPr>
      <w:r>
        <w:rPr>
          <w:rFonts w:ascii="仿宋_GB2312" w:hAnsi="仿宋_GB2312" w:cs="仿宋_GB2312" w:eastAsia="仿宋_GB2312"/>
        </w:rPr>
        <w:t>采购包最高限价（元）: 462,000.00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西安高新区第五十三幼儿园后勤服务外包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标的名称：西安高新区第五十三幼儿园后勤服务外包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44"/>
                <w:b/>
                <w:color w:val="000000"/>
              </w:rPr>
              <w:t>西安高新区第五十三幼儿园</w:t>
            </w:r>
            <w:r>
              <w:rPr>
                <w:rFonts w:ascii="仿宋_GB2312" w:hAnsi="仿宋_GB2312" w:cs="仿宋_GB2312" w:eastAsia="仿宋_GB2312"/>
                <w:sz w:val="21"/>
                <w:color w:val="000000"/>
              </w:rPr>
              <w:t xml:space="preserve"> </w:t>
            </w:r>
            <w:r>
              <w:rPr>
                <w:rFonts w:ascii="仿宋_GB2312" w:hAnsi="仿宋_GB2312" w:cs="仿宋_GB2312" w:eastAsia="仿宋_GB2312"/>
                <w:sz w:val="44"/>
                <w:b/>
                <w:color w:val="000000"/>
              </w:rPr>
              <w:t>后勤服务外包采购说明</w:t>
            </w:r>
          </w:p>
          <w:p>
            <w:pPr>
              <w:pStyle w:val="null3"/>
              <w:jc w:val="left"/>
            </w:pPr>
            <w:r>
              <w:rPr>
                <w:rFonts w:ascii="仿宋_GB2312" w:hAnsi="仿宋_GB2312" w:cs="仿宋_GB2312" w:eastAsia="仿宋_GB2312"/>
                <w:sz w:val="30"/>
                <w:color w:val="000000"/>
              </w:rPr>
              <w:t>根据区财政局、区教体局等有关要求，我园</w:t>
            </w:r>
            <w:r>
              <w:rPr>
                <w:rFonts w:ascii="仿宋_GB2312" w:hAnsi="仿宋_GB2312" w:cs="仿宋_GB2312" w:eastAsia="仿宋_GB2312"/>
                <w:sz w:val="30"/>
                <w:color w:val="000000"/>
              </w:rPr>
              <w:t>2026年度</w:t>
            </w:r>
            <w:r>
              <w:rPr>
                <w:rFonts w:ascii="仿宋_GB2312" w:hAnsi="仿宋_GB2312" w:cs="仿宋_GB2312" w:eastAsia="仿宋_GB2312"/>
                <w:sz w:val="30"/>
                <w:color w:val="000000"/>
              </w:rPr>
              <w:t>校园后勤服务外包拟执行政府采购流程，现</w:t>
            </w:r>
            <w:r>
              <w:rPr>
                <w:rFonts w:ascii="仿宋_GB2312" w:hAnsi="仿宋_GB2312" w:cs="仿宋_GB2312" w:eastAsia="仿宋_GB2312"/>
                <w:sz w:val="30"/>
                <w:color w:val="000000"/>
              </w:rPr>
              <w:t>结合幼儿园实际，</w:t>
            </w:r>
            <w:r>
              <w:rPr>
                <w:rFonts w:ascii="仿宋_GB2312" w:hAnsi="仿宋_GB2312" w:cs="仿宋_GB2312" w:eastAsia="仿宋_GB2312"/>
                <w:sz w:val="30"/>
                <w:color w:val="000000"/>
              </w:rPr>
              <w:t>就</w:t>
            </w:r>
            <w:r>
              <w:rPr>
                <w:rFonts w:ascii="仿宋_GB2312" w:hAnsi="仿宋_GB2312" w:cs="仿宋_GB2312" w:eastAsia="仿宋_GB2312"/>
                <w:sz w:val="30"/>
                <w:color w:val="000000"/>
              </w:rPr>
              <w:t>2026年度校园后勤服务外包做以下说明：</w:t>
            </w:r>
          </w:p>
          <w:p>
            <w:pPr>
              <w:pStyle w:val="null3"/>
              <w:spacing w:before="15"/>
              <w:ind w:left="1080"/>
              <w:jc w:val="left"/>
            </w:pPr>
            <w:r>
              <w:rPr>
                <w:rFonts w:ascii="仿宋_GB2312" w:hAnsi="仿宋_GB2312" w:cs="仿宋_GB2312" w:eastAsia="仿宋_GB2312"/>
                <w:sz w:val="29"/>
                <w:color w:val="000000"/>
              </w:rPr>
              <w:t>一</w:t>
            </w:r>
            <w:r>
              <w:rPr>
                <w:rFonts w:ascii="仿宋_GB2312" w:hAnsi="仿宋_GB2312" w:cs="仿宋_GB2312" w:eastAsia="仿宋_GB2312"/>
                <w:sz w:val="30"/>
                <w:color w:val="000000"/>
              </w:rPr>
              <w:t xml:space="preserve"> </w:t>
            </w:r>
            <w:r>
              <w:rPr>
                <w:rFonts w:ascii="仿宋_GB2312" w:hAnsi="仿宋_GB2312" w:cs="仿宋_GB2312" w:eastAsia="仿宋_GB2312"/>
                <w:sz w:val="29"/>
                <w:color w:val="000000"/>
              </w:rPr>
              <w:t>、</w:t>
            </w:r>
            <w:r>
              <w:rPr>
                <w:rFonts w:ascii="仿宋_GB2312" w:hAnsi="仿宋_GB2312" w:cs="仿宋_GB2312" w:eastAsia="仿宋_GB2312"/>
                <w:sz w:val="29"/>
                <w:color w:val="000000"/>
              </w:rPr>
              <w:t>项目概述</w:t>
            </w:r>
          </w:p>
          <w:p>
            <w:pPr>
              <w:pStyle w:val="null3"/>
              <w:spacing w:before="120"/>
              <w:ind w:left="510" w:right="1920" w:firstLine="560"/>
              <w:jc w:val="left"/>
            </w:pPr>
            <w:r>
              <w:rPr>
                <w:rFonts w:ascii="仿宋_GB2312" w:hAnsi="仿宋_GB2312" w:cs="仿宋_GB2312" w:eastAsia="仿宋_GB2312"/>
                <w:sz w:val="30"/>
                <w:color w:val="000000"/>
              </w:rPr>
              <w:t xml:space="preserve">1. </w:t>
            </w:r>
            <w:r>
              <w:rPr>
                <w:rFonts w:ascii="仿宋_GB2312" w:hAnsi="仿宋_GB2312" w:cs="仿宋_GB2312" w:eastAsia="仿宋_GB2312"/>
                <w:sz w:val="30"/>
                <w:color w:val="000000"/>
              </w:rPr>
              <w:t>基本情况：幼儿园位于高新区云上路，园所建筑</w:t>
            </w:r>
            <w:r>
              <w:rPr>
                <w:rFonts w:ascii="仿宋_GB2312" w:hAnsi="仿宋_GB2312" w:cs="仿宋_GB2312" w:eastAsia="仿宋_GB2312"/>
                <w:sz w:val="30"/>
                <w:color w:val="000000"/>
              </w:rPr>
              <w:t>面积</w:t>
            </w:r>
            <w:r>
              <w:rPr>
                <w:rFonts w:ascii="仿宋_GB2312" w:hAnsi="仿宋_GB2312" w:cs="仿宋_GB2312" w:eastAsia="仿宋_GB2312"/>
                <w:sz w:val="30"/>
                <w:color w:val="000000"/>
              </w:rPr>
              <w:t xml:space="preserve"> </w:t>
            </w:r>
            <w:r>
              <w:rPr>
                <w:rFonts w:ascii="仿宋_GB2312" w:hAnsi="仿宋_GB2312" w:cs="仿宋_GB2312" w:eastAsia="仿宋_GB2312"/>
                <w:sz w:val="30"/>
                <w:color w:val="000000"/>
              </w:rPr>
              <w:t>5470.5平方米，现有幼儿184人，教职工33人。</w:t>
            </w:r>
          </w:p>
          <w:p>
            <w:pPr>
              <w:pStyle w:val="null3"/>
              <w:spacing w:before="150"/>
              <w:ind w:left="1080"/>
              <w:jc w:val="left"/>
            </w:pPr>
            <w:r>
              <w:rPr>
                <w:rFonts w:ascii="仿宋_GB2312" w:hAnsi="仿宋_GB2312" w:cs="仿宋_GB2312" w:eastAsia="仿宋_GB2312"/>
                <w:sz w:val="32"/>
                <w:color w:val="000000"/>
              </w:rPr>
              <w:t>2.</w:t>
            </w:r>
            <w:r>
              <w:rPr>
                <w:rFonts w:ascii="仿宋_GB2312" w:hAnsi="仿宋_GB2312" w:cs="仿宋_GB2312" w:eastAsia="仿宋_GB2312"/>
                <w:sz w:val="32"/>
                <w:color w:val="000000"/>
              </w:rPr>
              <w:t>服务范围：保洁服务、安保服务、综合维修等。</w:t>
            </w:r>
          </w:p>
          <w:p>
            <w:pPr>
              <w:pStyle w:val="null3"/>
              <w:spacing w:before="165"/>
              <w:ind w:left="1080"/>
              <w:jc w:val="left"/>
            </w:pPr>
            <w:r>
              <w:rPr>
                <w:rFonts w:ascii="仿宋_GB2312" w:hAnsi="仿宋_GB2312" w:cs="仿宋_GB2312" w:eastAsia="仿宋_GB2312"/>
                <w:sz w:val="32"/>
                <w:color w:val="000000"/>
              </w:rPr>
              <w:t>3.</w:t>
            </w:r>
            <w:r>
              <w:rPr>
                <w:rFonts w:ascii="仿宋_GB2312" w:hAnsi="仿宋_GB2312" w:cs="仿宋_GB2312" w:eastAsia="仿宋_GB2312"/>
                <w:sz w:val="32"/>
                <w:color w:val="000000"/>
              </w:rPr>
              <w:t>服务人数：</w:t>
            </w:r>
            <w:r>
              <w:rPr>
                <w:rFonts w:ascii="仿宋_GB2312" w:hAnsi="仿宋_GB2312" w:cs="仿宋_GB2312" w:eastAsia="仿宋_GB2312"/>
                <w:sz w:val="32"/>
                <w:color w:val="000000"/>
              </w:rPr>
              <w:t>11人。</w:t>
            </w:r>
          </w:p>
          <w:p>
            <w:pPr>
              <w:pStyle w:val="null3"/>
              <w:spacing w:before="135"/>
              <w:ind w:left="1080"/>
              <w:jc w:val="left"/>
            </w:pPr>
            <w:r>
              <w:rPr>
                <w:rFonts w:ascii="仿宋_GB2312" w:hAnsi="仿宋_GB2312" w:cs="仿宋_GB2312" w:eastAsia="仿宋_GB2312"/>
                <w:sz w:val="32"/>
                <w:color w:val="000000"/>
              </w:rPr>
              <w:t>二、采购预算</w:t>
            </w:r>
          </w:p>
          <w:p>
            <w:pPr>
              <w:pStyle w:val="null3"/>
              <w:spacing w:before="180"/>
              <w:ind w:left="1080"/>
              <w:jc w:val="left"/>
            </w:pPr>
            <w:r>
              <w:rPr>
                <w:rFonts w:ascii="仿宋_GB2312" w:hAnsi="仿宋_GB2312" w:cs="仿宋_GB2312" w:eastAsia="仿宋_GB2312"/>
                <w:sz w:val="30"/>
                <w:color w:val="000000"/>
              </w:rPr>
              <w:t xml:space="preserve">1. </w:t>
            </w:r>
            <w:r>
              <w:rPr>
                <w:rFonts w:ascii="仿宋_GB2312" w:hAnsi="仿宋_GB2312" w:cs="仿宋_GB2312" w:eastAsia="仿宋_GB2312"/>
                <w:sz w:val="30"/>
                <w:color w:val="000000"/>
              </w:rPr>
              <w:t>约</w:t>
            </w:r>
            <w:r>
              <w:rPr>
                <w:rFonts w:ascii="仿宋_GB2312" w:hAnsi="仿宋_GB2312" w:cs="仿宋_GB2312" w:eastAsia="仿宋_GB2312"/>
                <w:sz w:val="30"/>
                <w:color w:val="000000"/>
              </w:rPr>
              <w:t>462000元，大写：肆拾陆万贰仟元整。</w:t>
            </w:r>
          </w:p>
          <w:p>
            <w:pPr>
              <w:pStyle w:val="null3"/>
              <w:spacing w:before="180"/>
              <w:ind w:left="1080"/>
              <w:jc w:val="left"/>
            </w:pPr>
            <w:r>
              <w:rPr>
                <w:rFonts w:ascii="仿宋_GB2312" w:hAnsi="仿宋_GB2312" w:cs="仿宋_GB2312" w:eastAsia="仿宋_GB2312"/>
                <w:sz w:val="31"/>
                <w:color w:val="000000"/>
              </w:rPr>
              <w:t>三、</w:t>
            </w:r>
            <w:r>
              <w:rPr>
                <w:rFonts w:ascii="仿宋_GB2312" w:hAnsi="仿宋_GB2312" w:cs="仿宋_GB2312" w:eastAsia="仿宋_GB2312"/>
                <w:sz w:val="31"/>
                <w:color w:val="000000"/>
              </w:rPr>
              <w:t>付款要求</w:t>
            </w:r>
          </w:p>
          <w:p>
            <w:pPr>
              <w:pStyle w:val="null3"/>
              <w:spacing w:before="150"/>
              <w:ind w:left="930"/>
              <w:jc w:val="left"/>
            </w:pPr>
            <w:r>
              <w:rPr>
                <w:rFonts w:ascii="仿宋_GB2312" w:hAnsi="仿宋_GB2312" w:cs="仿宋_GB2312" w:eastAsia="仿宋_GB2312"/>
                <w:sz w:val="32"/>
                <w:color w:val="000000"/>
              </w:rPr>
              <w:t>1.</w:t>
            </w:r>
            <w:r>
              <w:rPr>
                <w:rFonts w:ascii="仿宋_GB2312" w:hAnsi="仿宋_GB2312" w:cs="仿宋_GB2312" w:eastAsia="仿宋_GB2312"/>
                <w:sz w:val="30"/>
                <w:color w:val="000000"/>
              </w:rPr>
              <w:t xml:space="preserve"> </w:t>
            </w:r>
            <w:r>
              <w:rPr>
                <w:rFonts w:ascii="仿宋_GB2312" w:hAnsi="仿宋_GB2312" w:cs="仿宋_GB2312" w:eastAsia="仿宋_GB2312"/>
                <w:sz w:val="32"/>
                <w:color w:val="000000"/>
              </w:rPr>
              <w:t>支付方式：费用按季度结算。</w:t>
            </w:r>
          </w:p>
          <w:p>
            <w:pPr>
              <w:pStyle w:val="null3"/>
              <w:spacing w:before="165"/>
              <w:ind w:left="930"/>
              <w:jc w:val="left"/>
            </w:pPr>
            <w:r>
              <w:rPr>
                <w:rFonts w:ascii="仿宋_GB2312" w:hAnsi="仿宋_GB2312" w:cs="仿宋_GB2312" w:eastAsia="仿宋_GB2312"/>
                <w:sz w:val="32"/>
                <w:color w:val="000000"/>
              </w:rPr>
              <w:t>2.</w:t>
            </w:r>
            <w:r>
              <w:rPr>
                <w:rFonts w:ascii="仿宋_GB2312" w:hAnsi="仿宋_GB2312" w:cs="仿宋_GB2312" w:eastAsia="仿宋_GB2312"/>
                <w:sz w:val="32"/>
                <w:color w:val="000000"/>
              </w:rPr>
              <w:t>服务期限：一年。</w:t>
            </w:r>
          </w:p>
          <w:p>
            <w:pPr>
              <w:pStyle w:val="null3"/>
              <w:spacing w:before="135"/>
              <w:ind w:left="930"/>
              <w:jc w:val="left"/>
            </w:pPr>
            <w:r>
              <w:rPr>
                <w:rFonts w:ascii="仿宋_GB2312" w:hAnsi="仿宋_GB2312" w:cs="仿宋_GB2312" w:eastAsia="仿宋_GB2312"/>
                <w:sz w:val="32"/>
                <w:color w:val="000000"/>
              </w:rPr>
              <w:t>3.</w:t>
            </w:r>
            <w:r>
              <w:rPr>
                <w:rFonts w:ascii="仿宋_GB2312" w:hAnsi="仿宋_GB2312" w:cs="仿宋_GB2312" w:eastAsia="仿宋_GB2312"/>
                <w:sz w:val="32"/>
                <w:color w:val="000000"/>
              </w:rPr>
              <w:t>进驻时间：合同约定时间。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西安高新区第五十三幼儿园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符合目前国家或地方现行的验收标准及办法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进度款，按季度支付，达到付款条件起7个工作日内，支付合同总金额的25.0%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进度款，按季度支付，达到付款条件起7个工作日内，支付合同总金额的25.0%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进度款，按季度支付，达到付款条件起7个工作日内，支付合同总金额的25.0%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进度款，按季度支付，达到付款条件起7个工作日内，支付合同总金额的25.0%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按照磋商文件和采购合同的约定执行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法定代表人授权书及被授权人身份证复印件 ( 被授权人参与投标需提供投标截止时间前三个月的本单位社保证明（不含当月），法定代表人直接参加投标，须提供法定代表人身份证明及身份证复印件）。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 体名单的供应商，不得为中国政府采购网（www.ccgp.gov.cn）政府采购严重违法失信行为记录名单中被财政部门禁止参加 政府采购活动的供应商。以开标当天查询截图为准。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；3、未超出采购预算或磋商文件规定的最高限价；4、本项目最高限价为一年服务费用的最高限价。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响应文件封面、响应函中体现的投项目名称、项目编号与本项目一致，且符合磋商文件签署 、盖章要求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一年</w:t>
            </w:r>
          </w:p>
        </w:tc>
        <w:tc>
          <w:tcPr>
            <w:tcW w:type="dxa" w:w="1661"/>
          </w:tcPr>
          <w:p>
            <w:pPr>
              <w:pStyle w:val="null3"/>
            </w:pPr>
            <w:r>
              <w:rPr>
                <w:rFonts w:ascii="仿宋_GB2312" w:hAnsi="仿宋_GB2312" w:cs="仿宋_GB2312" w:eastAsia="仿宋_GB2312"/>
              </w:rPr>
              <w:t>标的清单 报价表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响应文件封面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内容至少包括①服务理念及特色； ②服务目标；③服务计划；④公司内控管理制度（规章制度、组织架构及管理理念）；⑤日常档案资料管理制度；⑥进场方案、工作交接方案等。 评审标准：保洁服务、安防服务、综合维修各部分内容全面详细、阐述条理清晰详尽、符合本项目采购需求得18分，每缺一项内容扣3分，评审内容有瑕疵的，出现瑕疵的评审项扣1分，评审项内容有严重瑕疵，出现严重瑕疵的评审项扣2分。 备注：评审内容“瑕疵 ”是指：内容粗略、逻辑混乱、描述过于简单、与项目特点不匹配、逻辑漏洞、出现常识性错误、存在不适用项目实际情况的情形或只有标题没有实质性内容等。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活动保障及应急预案方案</w:t>
            </w:r>
          </w:p>
        </w:tc>
        <w:tc>
          <w:tcPr>
            <w:tcW w:type="dxa" w:w="2492"/>
          </w:tcPr>
          <w:p>
            <w:pPr>
              <w:pStyle w:val="null3"/>
            </w:pPr>
            <w:r>
              <w:rPr>
                <w:rFonts w:ascii="仿宋_GB2312" w:hAnsi="仿宋_GB2312" w:cs="仿宋_GB2312" w:eastAsia="仿宋_GB2312"/>
              </w:rPr>
              <w:t>内容至少包括①日常检查、考察接待方案；②日常活动、比赛、考试保障方案；③自然灾害（如极端天气、停电、停水、火灾等）预防及处置措施；④公共安全事件（如： 突发公共卫生、盗窃、打架、暴恐 、爆炸、意外伤亡、踩踏事件等）⑤应急常识宣传等。 预防及处置措施等。 评审标准：活动保障及应急预案方案各部分内容全面详细、阐述条理清晰详尽、符合本项目采购需求得25分，每缺一项内容扣5分，扣完为止。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供应商具有2023年01月01日至今（以合同签订时间为准）的类似项目业绩，投标文件中提供合同复印件加盖公章，每提供一个计3分，满分15分。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安全巡逻及清洁管理服务方案</w:t>
            </w:r>
          </w:p>
        </w:tc>
        <w:tc>
          <w:tcPr>
            <w:tcW w:type="dxa" w:w="2492"/>
          </w:tcPr>
          <w:p>
            <w:pPr>
              <w:pStyle w:val="null3"/>
            </w:pPr>
            <w:r>
              <w:rPr>
                <w:rFonts w:ascii="仿宋_GB2312" w:hAnsi="仿宋_GB2312" w:cs="仿宋_GB2312" w:eastAsia="仿宋_GB2312"/>
              </w:rPr>
              <w:t>内容至少包括①重点区域巡逻巡查方案；②昼夜巡逻计划方案；③学校区域清洁维护方案；④紧急情况处置方案等。 评审标准：安全巡逻巡查及秩序管理服务方案各部分内容全面详细、阐述条理清晰详尽、 符合本项目采购需求得12分，每缺一项内容扣3分，评审内容有瑕疵的，出现瑕疵的评审项扣1分，评审项内容有严重瑕疵，出现严重瑕疵的评审项扣2分。备注：评审内容“瑕疵”是指：内容粗略、逻辑混乱、描述过于简单、与项目特点不匹配、逻辑漏洞、出现常识性错误 、存在不适用项目实际情况的情形或只有标题没有实质性内容等。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内容至少包括①团队人员配备清单 ; 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评审标准：人员配备方案各部分内容全面详细、阐述条理清晰详尽、符合本项目采购需求得10分，每缺一项内容扣2.5分，评审内容有瑕疵的 , 出现瑕疵的评审项扣1分，评审项内容有严重瑕疵，出现严重瑕疵的评审项扣2分。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安保、保洁装备配备清单</w:t>
            </w:r>
          </w:p>
        </w:tc>
        <w:tc>
          <w:tcPr>
            <w:tcW w:type="dxa" w:w="2492"/>
          </w:tcPr>
          <w:p>
            <w:pPr>
              <w:pStyle w:val="null3"/>
            </w:pPr>
            <w:r>
              <w:rPr>
                <w:rFonts w:ascii="仿宋_GB2312" w:hAnsi="仿宋_GB2312" w:cs="仿宋_GB2312" w:eastAsia="仿宋_GB2312"/>
              </w:rPr>
              <w:t>内容至少包括①人员服装：春夏秋冬保安制服、扎武装带、防爆服、消防服、反光背心等；春夏秋冬保洁制服、清洁用具等②装备器材： 包括巡逻车、对讲机、橡胶棒，手电筒警棍、喇叭、 口哨、指挥棒、指挥旗、强光手电、盾牌、长棍、 防爆叉、对讲机、执法记录仪、防爆装备等。 评审标准：安保装备配备清单各部分内容全面详细、阐述条理清晰详尽、符合本项目采购需求得10分，每缺一项内容扣5分，扣完为止。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取有效磋商总报价的最低价为评审基准价；磋商报价得分=（评审基准价／最终磋商报价） ×价格权值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详见附件：XXX后勤保障服务协议（模版）(1).docx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