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版本号：LHZBZC2026087S20260701001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购置防暑降温物品</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LHZBZC2026087S</w:t>
      </w:r>
      <w:r>
        <w:br/>
      </w:r>
      <w:r>
        <w:br/>
      </w:r>
      <w:r>
        <w:br/>
      </w:r>
    </w:p>
    <w:p>
      <w:pPr>
        <w:pStyle w:val="null3"/>
        <w:jc w:val="center"/>
        <w:outlineLvl w:val="2"/>
      </w:pPr>
      <w:r>
        <w:rPr>
          <w:rFonts w:ascii="仿宋_GB2312" w:hAnsi="仿宋_GB2312" w:cs="仿宋_GB2312" w:eastAsia="仿宋_GB2312"/>
          <w:sz w:val="28"/>
          <w:b/>
        </w:rPr>
        <w:t>西安市新城区城市管理和综合执法局</w:t>
      </w:r>
    </w:p>
    <w:p>
      <w:pPr>
        <w:pStyle w:val="null3"/>
        <w:jc w:val="center"/>
        <w:outlineLvl w:val="2"/>
      </w:pPr>
      <w:r>
        <w:rPr>
          <w:rFonts w:ascii="仿宋_GB2312" w:hAnsi="仿宋_GB2312" w:cs="仿宋_GB2312" w:eastAsia="仿宋_GB2312"/>
          <w:sz w:val="28"/>
          <w:b/>
        </w:rPr>
        <w:t>凌辉建设工程咨询有限公司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凌辉建设工程咨询有限公司</w:t>
      </w:r>
      <w:r>
        <w:rPr>
          <w:rFonts w:ascii="仿宋_GB2312" w:hAnsi="仿宋_GB2312" w:cs="仿宋_GB2312" w:eastAsia="仿宋_GB2312"/>
        </w:rPr>
        <w:t>（以下简称“代理机构”）受</w:t>
      </w:r>
      <w:r>
        <w:rPr>
          <w:rFonts w:ascii="仿宋_GB2312" w:hAnsi="仿宋_GB2312" w:cs="仿宋_GB2312" w:eastAsia="仿宋_GB2312"/>
        </w:rPr>
        <w:t>西安市新城区城市管理和综合执法局</w:t>
      </w:r>
      <w:r>
        <w:rPr>
          <w:rFonts w:ascii="仿宋_GB2312" w:hAnsi="仿宋_GB2312" w:cs="仿宋_GB2312" w:eastAsia="仿宋_GB2312"/>
        </w:rPr>
        <w:t>委托，拟对</w:t>
      </w:r>
      <w:r>
        <w:rPr>
          <w:rFonts w:ascii="仿宋_GB2312" w:hAnsi="仿宋_GB2312" w:cs="仿宋_GB2312" w:eastAsia="仿宋_GB2312"/>
        </w:rPr>
        <w:t>购置防暑降温物品</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LHZBZC2026087S</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购置防暑降温物品</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为做好夏季防暑降温工作，保障奋战在一线的保洁员和环卫车辆驾驶员的身体健康及人身安全，特申请为全区2147名保洁员和环卫车辆驾驶员购置毛巾、绿豆、茶叶、肥皂等防暑降温用品。</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采购包1（购置防暑降温物品）：属于专门面向中小企业采购。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1、主体资格证明：具有独立承担民事责任能力的法人、其他组织或自然人：提供合法有效的统一社会信用代码营业执照（事业单位提供事业单位法人证书，自然人应提供身份证）。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报告：提供2024或2025年度具有财务审计资质的单位出具的财务审计报告（成立时间至投标时间不足一年的可提供成立后任意时段的财务报表）或磋商前三个月内基本开户银行出具的资信证明或财政部门认可的政府采购专业担保机构出具的投标担保函。</w:t>
      </w:r>
    </w:p>
    <w:p>
      <w:pPr>
        <w:pStyle w:val="null3"/>
      </w:pPr>
      <w:r>
        <w:rPr>
          <w:rFonts w:ascii="仿宋_GB2312" w:hAnsi="仿宋_GB2312" w:cs="仿宋_GB2312" w:eastAsia="仿宋_GB2312"/>
        </w:rPr>
        <w:t>3、社保缴纳证明：提供自2026年03月01日至递交磋商响应文件截止之日内任意一个月的社会保障资金缴存单据或社保机构开具的社会保险参保缴费情况证明。依法不需要缴纳社会保障资金的投标人应提供相关文件证明。</w:t>
      </w:r>
    </w:p>
    <w:p>
      <w:pPr>
        <w:pStyle w:val="null3"/>
      </w:pPr>
      <w:r>
        <w:rPr>
          <w:rFonts w:ascii="仿宋_GB2312" w:hAnsi="仿宋_GB2312" w:cs="仿宋_GB2312" w:eastAsia="仿宋_GB2312"/>
        </w:rPr>
        <w:t>4、税收缴纳证明：提供自2026年03月01日至递交磋商响应文件截止之日内已缴存任意一个月的依法缴纳税收的相关凭据，凭据应有税务机关或代收机关的公章或业务专用章。依法免税或无须缴纳税收的投标人，应提供相应证明文件。</w:t>
      </w:r>
    </w:p>
    <w:p>
      <w:pPr>
        <w:pStyle w:val="null3"/>
      </w:pPr>
      <w:r>
        <w:rPr>
          <w:rFonts w:ascii="仿宋_GB2312" w:hAnsi="仿宋_GB2312" w:cs="仿宋_GB2312" w:eastAsia="仿宋_GB2312"/>
        </w:rPr>
        <w:t>5、承诺书：提供具有履行本合同所必需的设备和专业技术能力的承诺。</w:t>
      </w:r>
    </w:p>
    <w:p>
      <w:pPr>
        <w:pStyle w:val="null3"/>
      </w:pPr>
      <w:r>
        <w:rPr>
          <w:rFonts w:ascii="仿宋_GB2312" w:hAnsi="仿宋_GB2312" w:cs="仿宋_GB2312" w:eastAsia="仿宋_GB2312"/>
        </w:rPr>
        <w:t>6、书面声明：参加政府采购活动前3年内，在经营活动中没有重大违法记录的书面声明。</w:t>
      </w:r>
    </w:p>
    <w:p>
      <w:pPr>
        <w:pStyle w:val="null3"/>
      </w:pPr>
      <w:r>
        <w:rPr>
          <w:rFonts w:ascii="仿宋_GB2312" w:hAnsi="仿宋_GB2312" w:cs="仿宋_GB2312" w:eastAsia="仿宋_GB2312"/>
        </w:rPr>
        <w:t>7、信用记录：供应商在信用中国（www.creditchina.gov.cn）未被列入重大税收违法失信主体、 在中国执行信息公开网（http://zxgk.court.gov.cn/）未被列入失信被执行人及在中国政府采购网（www.ccgp.gov.cn）未被列入政府采购严重违法失信行为记录名单。</w:t>
      </w:r>
    </w:p>
    <w:p>
      <w:pPr>
        <w:pStyle w:val="null3"/>
      </w:pPr>
      <w:r>
        <w:rPr>
          <w:rFonts w:ascii="仿宋_GB2312" w:hAnsi="仿宋_GB2312" w:cs="仿宋_GB2312" w:eastAsia="仿宋_GB2312"/>
        </w:rPr>
        <w:t>8、控股管理关系：提供直接控股和管理关系清单。若与其他投标人存在单位负责人为同一人或者存在直接控股、管理关系的，则磋商无效。</w:t>
      </w:r>
    </w:p>
    <w:p>
      <w:pPr>
        <w:pStyle w:val="null3"/>
      </w:pPr>
      <w:r>
        <w:rPr>
          <w:rFonts w:ascii="仿宋_GB2312" w:hAnsi="仿宋_GB2312" w:cs="仿宋_GB2312" w:eastAsia="仿宋_GB2312"/>
        </w:rPr>
        <w:t>9、法定代表人授权委托书：法定代表人参加磋商的，须提供本人身份证复印件(附在资格证明文件中)；法定代表人授权他人参加磋商的，须提供法定代表人授权委托书。磋商响应文件中凡是需要法定代表人盖章之处，非法人单位的负责人均参照执行。法人的分支机构参与磋商时，除提供《法定代表人授权委托书》外，还须同时提供法人给分支机构出具的授权书。</w:t>
      </w:r>
    </w:p>
    <w:p>
      <w:pPr>
        <w:pStyle w:val="null3"/>
      </w:pPr>
      <w:r>
        <w:rPr>
          <w:rFonts w:ascii="仿宋_GB2312" w:hAnsi="仿宋_GB2312" w:cs="仿宋_GB2312" w:eastAsia="仿宋_GB2312"/>
        </w:rPr>
        <w:t>10、本项目不接受联合体投标，不允许分包：本项目不接受联合体磋商，不允许分包：供应商应提供《非联合体不分包投标声明》，视为独立投标，不分包。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西安市新城区城市管理和综合执法局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西安市新城区东五路83号民安大厦B座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王嘉莹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029-87312569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凌辉建设工程咨询有限公司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西安市未央区大明宫中央广场A座22层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黄沛、宋妍、李晨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029-81010100-32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西安市新城区政府采购管理股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刘婷</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87438480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采购包1：343,520.00元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 xml:space="preserve">/ </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代理服务费收费标准：1、采购代理服务费：招标代理服务费参照《招标代理服务收费管理暂行办法》计价格[2002]1980号文和发改价格[2011]534号，以中标价为基数计取代理服务费。 2、本项目类型为：货物。 3、采购代理服务费币种为人民币。 4、采购代理服务费收取：单位名称：凌辉建设工程咨询有限公司 开户银行：招商银行西安南大街支行 账号：292083674310001</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西安市新城区城市管理和综合执法局</w:t>
      </w:r>
      <w:r>
        <w:rPr>
          <w:rFonts w:ascii="仿宋_GB2312" w:hAnsi="仿宋_GB2312" w:cs="仿宋_GB2312" w:eastAsia="仿宋_GB2312"/>
        </w:rPr>
        <w:t>和</w:t>
      </w:r>
      <w:r>
        <w:rPr>
          <w:rFonts w:ascii="仿宋_GB2312" w:hAnsi="仿宋_GB2312" w:cs="仿宋_GB2312" w:eastAsia="仿宋_GB2312"/>
        </w:rPr>
        <w:t>凌辉建设工程咨询有限公司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西安市新城区城市管理和综合执法局</w:t>
      </w:r>
      <w:r>
        <w:rPr>
          <w:rFonts w:ascii="仿宋_GB2312" w:hAnsi="仿宋_GB2312" w:cs="仿宋_GB2312" w:eastAsia="仿宋_GB2312"/>
        </w:rPr>
        <w:t>负责解释。除上述磋商文件内容，其他内容由</w:t>
      </w:r>
      <w:r>
        <w:rPr>
          <w:rFonts w:ascii="仿宋_GB2312" w:hAnsi="仿宋_GB2312" w:cs="仿宋_GB2312" w:eastAsia="仿宋_GB2312"/>
        </w:rPr>
        <w:t>凌辉建设工程咨询有限公司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西安市新城区城市管理和综合执法局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凌辉建设工程咨询有限公司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凌辉建设工程咨询有限公司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凌辉建设工程咨询有限公司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凌辉建设工程咨询有限公司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联系人：宋妍</w:t>
      </w:r>
    </w:p>
    <w:p>
      <w:pPr>
        <w:pStyle w:val="null3"/>
      </w:pPr>
      <w:r>
        <w:rPr>
          <w:rFonts w:ascii="仿宋_GB2312" w:hAnsi="仿宋_GB2312" w:cs="仿宋_GB2312" w:eastAsia="仿宋_GB2312"/>
        </w:rPr>
        <w:t>联系电话：029-81010100-32</w:t>
      </w:r>
    </w:p>
    <w:p>
      <w:pPr>
        <w:pStyle w:val="null3"/>
      </w:pPr>
      <w:r>
        <w:rPr>
          <w:rFonts w:ascii="仿宋_GB2312" w:hAnsi="仿宋_GB2312" w:cs="仿宋_GB2312" w:eastAsia="仿宋_GB2312"/>
        </w:rPr>
        <w:t>地址：西安市未央区大明宫中央广场A座22层</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为做好夏季防暑降温工作，保障奋战在一线的保洁员环卫车辆驾驶员的身体健康及人身安全，特申请为全区2147名保洁员和环卫车辆驾驶员购置毛巾、绿豆、茶叶、肥皂等防暑降温用品。</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343,520.00</w:t>
      </w:r>
    </w:p>
    <w:p>
      <w:pPr>
        <w:pStyle w:val="null3"/>
      </w:pPr>
      <w:r>
        <w:rPr>
          <w:rFonts w:ascii="仿宋_GB2312" w:hAnsi="仿宋_GB2312" w:cs="仿宋_GB2312" w:eastAsia="仿宋_GB2312"/>
        </w:rPr>
        <w:t>采购包最高限价（元）: 311,315.00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购置防暑降温物品</w:t>
            </w:r>
          </w:p>
        </w:tc>
        <w:tc>
          <w:tcPr>
            <w:tcW w:type="dxa" w:w="755"/>
          </w:tcPr>
          <w:p>
            <w:pPr>
              <w:pStyle w:val="null3"/>
              <w:jc w:val="right"/>
            </w:pPr>
            <w:r>
              <w:rPr>
                <w:rFonts w:ascii="仿宋_GB2312" w:hAnsi="仿宋_GB2312" w:cs="仿宋_GB2312" w:eastAsia="仿宋_GB2312"/>
              </w:rPr>
              <w:t>2,147.00</w:t>
            </w:r>
          </w:p>
        </w:tc>
        <w:tc>
          <w:tcPr>
            <w:tcW w:type="dxa" w:w="755"/>
          </w:tcPr>
          <w:p>
            <w:pPr>
              <w:pStyle w:val="null3"/>
              <w:jc w:val="right"/>
            </w:pPr>
            <w:r>
              <w:rPr>
                <w:rFonts w:ascii="仿宋_GB2312" w:hAnsi="仿宋_GB2312" w:cs="仿宋_GB2312" w:eastAsia="仿宋_GB2312"/>
              </w:rPr>
              <w:t>343,520.00</w:t>
            </w:r>
          </w:p>
        </w:tc>
        <w:tc>
          <w:tcPr>
            <w:tcW w:type="dxa" w:w="755"/>
          </w:tcPr>
          <w:p>
            <w:pPr>
              <w:pStyle w:val="null3"/>
            </w:pPr>
            <w:r>
              <w:rPr>
                <w:rFonts w:ascii="仿宋_GB2312" w:hAnsi="仿宋_GB2312" w:cs="仿宋_GB2312" w:eastAsia="仿宋_GB2312"/>
              </w:rPr>
              <w:t>件</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标的名称：购置防暑降温物品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color w:val="000000"/>
              </w:rPr>
              <w:t>一、招标内容</w:t>
            </w:r>
          </w:p>
          <w:p>
            <w:pPr>
              <w:pStyle w:val="null3"/>
              <w:jc w:val="both"/>
            </w:pPr>
            <w:r>
              <w:rPr>
                <w:rFonts w:ascii="仿宋_GB2312" w:hAnsi="仿宋_GB2312" w:cs="仿宋_GB2312" w:eastAsia="仿宋_GB2312"/>
                <w:sz w:val="20"/>
              </w:rPr>
              <w:t>1、项目名称：购置防暑降温物品</w:t>
            </w:r>
          </w:p>
          <w:p>
            <w:pPr>
              <w:pStyle w:val="null3"/>
              <w:jc w:val="both"/>
            </w:pPr>
            <w:r>
              <w:rPr>
                <w:rFonts w:ascii="仿宋_GB2312" w:hAnsi="仿宋_GB2312" w:cs="仿宋_GB2312" w:eastAsia="仿宋_GB2312"/>
                <w:sz w:val="20"/>
              </w:rPr>
              <w:t>2、预算金额：</w:t>
            </w:r>
            <w:r>
              <w:rPr>
                <w:rFonts w:ascii="仿宋_GB2312" w:hAnsi="仿宋_GB2312" w:cs="仿宋_GB2312" w:eastAsia="仿宋_GB2312"/>
                <w:sz w:val="20"/>
              </w:rPr>
              <w:t>343520.00</w:t>
            </w:r>
            <w:r>
              <w:rPr>
                <w:rFonts w:ascii="仿宋_GB2312" w:hAnsi="仿宋_GB2312" w:cs="仿宋_GB2312" w:eastAsia="仿宋_GB2312"/>
                <w:sz w:val="20"/>
              </w:rPr>
              <w:t>元</w:t>
            </w:r>
          </w:p>
          <w:p>
            <w:pPr>
              <w:pStyle w:val="null3"/>
              <w:jc w:val="both"/>
            </w:pPr>
            <w:r>
              <w:rPr>
                <w:rFonts w:ascii="仿宋_GB2312" w:hAnsi="仿宋_GB2312" w:cs="仿宋_GB2312" w:eastAsia="仿宋_GB2312"/>
                <w:sz w:val="20"/>
              </w:rPr>
              <w:t xml:space="preserve"> </w:t>
            </w:r>
            <w:r>
              <w:rPr>
                <w:rFonts w:ascii="仿宋_GB2312" w:hAnsi="仿宋_GB2312" w:cs="仿宋_GB2312" w:eastAsia="仿宋_GB2312"/>
                <w:sz w:val="20"/>
              </w:rPr>
              <w:t>最高限</w:t>
            </w:r>
            <w:r>
              <w:rPr>
                <w:rFonts w:ascii="仿宋_GB2312" w:hAnsi="仿宋_GB2312" w:cs="仿宋_GB2312" w:eastAsia="仿宋_GB2312"/>
                <w:sz w:val="20"/>
              </w:rPr>
              <w:t>价：</w:t>
            </w:r>
            <w:r>
              <w:rPr>
                <w:rFonts w:ascii="仿宋_GB2312" w:hAnsi="仿宋_GB2312" w:cs="仿宋_GB2312" w:eastAsia="仿宋_GB2312"/>
                <w:sz w:val="20"/>
              </w:rPr>
              <w:t>311315</w:t>
            </w:r>
            <w:r>
              <w:rPr>
                <w:rFonts w:ascii="仿宋_GB2312" w:hAnsi="仿宋_GB2312" w:cs="仿宋_GB2312" w:eastAsia="仿宋_GB2312"/>
                <w:sz w:val="20"/>
              </w:rPr>
              <w:t>元（</w:t>
            </w:r>
            <w:r>
              <w:rPr>
                <w:rFonts w:ascii="仿宋_GB2312" w:hAnsi="仿宋_GB2312" w:cs="仿宋_GB2312" w:eastAsia="仿宋_GB2312"/>
                <w:sz w:val="20"/>
              </w:rPr>
              <w:t>供应商报价超过本项目最高限价按无效文件处理）</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采购需求：</w:t>
            </w:r>
            <w:r>
              <w:rPr>
                <w:rFonts w:ascii="仿宋_GB2312" w:hAnsi="仿宋_GB2312" w:cs="仿宋_GB2312" w:eastAsia="仿宋_GB2312"/>
                <w:sz w:val="20"/>
              </w:rPr>
              <w:t>为做好夏季防暑降温工作，保障奋战在一线的保洁员和环卫车辆驾驶员的身体健康及人身安全，</w:t>
            </w:r>
            <w:r>
              <w:rPr>
                <w:rFonts w:ascii="仿宋_GB2312" w:hAnsi="仿宋_GB2312" w:cs="仿宋_GB2312" w:eastAsia="仿宋_GB2312"/>
                <w:sz w:val="20"/>
              </w:rPr>
              <w:t>特申请为全区</w:t>
            </w:r>
            <w:r>
              <w:rPr>
                <w:rFonts w:ascii="仿宋_GB2312" w:hAnsi="仿宋_GB2312" w:cs="仿宋_GB2312" w:eastAsia="仿宋_GB2312"/>
                <w:sz w:val="20"/>
              </w:rPr>
              <w:t>2147</w:t>
            </w:r>
            <w:r>
              <w:rPr>
                <w:rFonts w:ascii="仿宋_GB2312" w:hAnsi="仿宋_GB2312" w:cs="仿宋_GB2312" w:eastAsia="仿宋_GB2312"/>
                <w:sz w:val="20"/>
              </w:rPr>
              <w:t>名保洁员和环卫车辆驾驶员购置毛巾、绿豆、茶叶、肥皂等防暑降温用品。</w:t>
            </w:r>
          </w:p>
          <w:p>
            <w:pPr>
              <w:pStyle w:val="null3"/>
              <w:jc w:val="both"/>
            </w:pPr>
            <w:r>
              <w:rPr>
                <w:rFonts w:ascii="仿宋_GB2312" w:hAnsi="仿宋_GB2312" w:cs="仿宋_GB2312" w:eastAsia="仿宋_GB2312"/>
                <w:sz w:val="20"/>
              </w:rPr>
              <w:t>二、商务要求</w:t>
            </w:r>
            <w:r>
              <w:rPr>
                <w:rFonts w:ascii="仿宋_GB2312" w:hAnsi="仿宋_GB2312" w:cs="仿宋_GB2312" w:eastAsia="仿宋_GB2312"/>
              </w:rPr>
              <w:t xml:space="preserve">  </w:t>
            </w:r>
          </w:p>
          <w:p>
            <w:pPr>
              <w:pStyle w:val="null3"/>
              <w:jc w:val="both"/>
            </w:pPr>
            <w:r>
              <w:rPr>
                <w:rFonts w:ascii="仿宋_GB2312" w:hAnsi="仿宋_GB2312" w:cs="仿宋_GB2312" w:eastAsia="仿宋_GB2312"/>
                <w:sz w:val="20"/>
              </w:rPr>
              <w:t>1、配送地点：西安市新城区辖区内（具体地点由采购人指定）。</w:t>
            </w:r>
          </w:p>
          <w:p>
            <w:pPr>
              <w:pStyle w:val="null3"/>
              <w:jc w:val="both"/>
            </w:pPr>
            <w:r>
              <w:rPr>
                <w:rFonts w:ascii="仿宋_GB2312" w:hAnsi="仿宋_GB2312" w:cs="仿宋_GB2312" w:eastAsia="仿宋_GB2312"/>
                <w:sz w:val="20"/>
              </w:rPr>
              <w:t>2、服务期限：采购合同签订之日起5日内完成供货。</w:t>
            </w:r>
          </w:p>
          <w:p>
            <w:pPr>
              <w:pStyle w:val="null3"/>
              <w:jc w:val="both"/>
            </w:pPr>
            <w:r>
              <w:rPr>
                <w:rFonts w:ascii="仿宋_GB2312" w:hAnsi="仿宋_GB2312" w:cs="仿宋_GB2312" w:eastAsia="仿宋_GB2312"/>
                <w:sz w:val="20"/>
              </w:rPr>
              <w:t>3、运输要求：运输工具应清洁卫生无污染，食品运输必须采用符合卫生标准的外包装和运载工具，并且要保持清洁和定期消毒。</w:t>
            </w:r>
          </w:p>
          <w:p>
            <w:pPr>
              <w:pStyle w:val="null3"/>
              <w:jc w:val="both"/>
            </w:pPr>
            <w:r>
              <w:rPr>
                <w:rFonts w:ascii="仿宋_GB2312" w:hAnsi="仿宋_GB2312" w:cs="仿宋_GB2312" w:eastAsia="仿宋_GB2312"/>
                <w:sz w:val="20"/>
              </w:rPr>
              <w:t>4、供应</w:t>
            </w:r>
            <w:r>
              <w:rPr>
                <w:rFonts w:ascii="仿宋_GB2312" w:hAnsi="仿宋_GB2312" w:cs="仿宋_GB2312" w:eastAsia="仿宋_GB2312"/>
                <w:sz w:val="20"/>
              </w:rPr>
              <w:t>商</w:t>
            </w:r>
            <w:r>
              <w:rPr>
                <w:rFonts w:ascii="仿宋_GB2312" w:hAnsi="仿宋_GB2312" w:cs="仿宋_GB2312" w:eastAsia="仿宋_GB2312"/>
                <w:sz w:val="20"/>
              </w:rPr>
              <w:t>责任：</w:t>
            </w:r>
          </w:p>
          <w:p>
            <w:pPr>
              <w:pStyle w:val="null3"/>
              <w:jc w:val="both"/>
            </w:pPr>
            <w:r>
              <w:rPr>
                <w:rFonts w:ascii="仿宋_GB2312" w:hAnsi="仿宋_GB2312" w:cs="仿宋_GB2312" w:eastAsia="仿宋_GB2312"/>
                <w:sz w:val="20"/>
              </w:rPr>
              <w:t>4.1在服务期间，供应商必须保障货源充足，不能断货。应按照采购人要求的时间、地点及质量，按时、按量地提供货品，凡属于质量问题必须包退包换，退补货品需在当天完成退补。如果未能及时补给，采购人则扣除供货商总货款的3%作为违约处罚。</w:t>
            </w:r>
          </w:p>
          <w:p>
            <w:pPr>
              <w:pStyle w:val="null3"/>
              <w:jc w:val="both"/>
            </w:pPr>
            <w:r>
              <w:rPr>
                <w:rFonts w:ascii="仿宋_GB2312" w:hAnsi="仿宋_GB2312" w:cs="仿宋_GB2312" w:eastAsia="仿宋_GB2312"/>
                <w:sz w:val="20"/>
              </w:rPr>
              <w:t>4.2货物包装应完好无破漏，可视的内容物无腐败霉变或影响使用的</w:t>
            </w:r>
            <w:r>
              <w:rPr>
                <w:rFonts w:ascii="仿宋_GB2312" w:hAnsi="仿宋_GB2312" w:cs="仿宋_GB2312" w:eastAsia="仿宋_GB2312"/>
                <w:sz w:val="20"/>
              </w:rPr>
              <w:t>变形</w:t>
            </w:r>
            <w:r>
              <w:rPr>
                <w:rFonts w:ascii="仿宋_GB2312" w:hAnsi="仿宋_GB2312" w:cs="仿宋_GB2312" w:eastAsia="仿宋_GB2312"/>
                <w:sz w:val="20"/>
              </w:rPr>
              <w:t>，不存在危及人身、财产安全的不合理危险。</w:t>
            </w:r>
          </w:p>
          <w:p>
            <w:pPr>
              <w:pStyle w:val="null3"/>
              <w:jc w:val="both"/>
            </w:pPr>
            <w:r>
              <w:rPr>
                <w:rFonts w:ascii="仿宋_GB2312" w:hAnsi="仿宋_GB2312" w:cs="仿宋_GB2312" w:eastAsia="仿宋_GB2312"/>
                <w:sz w:val="20"/>
              </w:rPr>
              <w:t>4.3</w:t>
            </w:r>
            <w:r>
              <w:rPr>
                <w:rFonts w:ascii="仿宋_GB2312" w:hAnsi="仿宋_GB2312" w:cs="仿宋_GB2312" w:eastAsia="仿宋_GB2312"/>
                <w:sz w:val="20"/>
              </w:rPr>
              <w:t>绿豆</w:t>
            </w:r>
            <w:r>
              <w:rPr>
                <w:rFonts w:ascii="仿宋_GB2312" w:hAnsi="仿宋_GB2312" w:cs="仿宋_GB2312" w:eastAsia="仿宋_GB2312"/>
                <w:sz w:val="20"/>
              </w:rPr>
              <w:t>：</w:t>
            </w:r>
            <w:r>
              <w:rPr>
                <w:rFonts w:ascii="仿宋_GB2312" w:hAnsi="仿宋_GB2312" w:cs="仿宋_GB2312" w:eastAsia="仿宋_GB2312"/>
                <w:sz w:val="20"/>
              </w:rPr>
              <w:t>符合</w:t>
            </w:r>
            <w:r>
              <w:rPr>
                <w:rFonts w:ascii="仿宋_GB2312" w:hAnsi="仿宋_GB2312" w:cs="仿宋_GB2312" w:eastAsia="仿宋_GB2312"/>
                <w:sz w:val="20"/>
              </w:rPr>
              <w:t>GB/T10462-2008</w:t>
            </w:r>
            <w:r>
              <w:rPr>
                <w:rFonts w:ascii="仿宋_GB2312" w:hAnsi="仿宋_GB2312" w:cs="仿宋_GB2312" w:eastAsia="仿宋_GB2312"/>
                <w:sz w:val="20"/>
              </w:rPr>
              <w:t>，《食品安全国家标准食品中污染物限量》</w:t>
            </w:r>
            <w:r>
              <w:rPr>
                <w:rFonts w:ascii="仿宋_GB2312" w:hAnsi="仿宋_GB2312" w:cs="仿宋_GB2312" w:eastAsia="仿宋_GB2312"/>
                <w:sz w:val="20"/>
              </w:rPr>
              <w:t>GB2762-2022。绿茶：质量等级：一级，符合《量包装商品净含量计量检验规则》JJF1070-2023，</w:t>
            </w:r>
            <w:r>
              <w:rPr>
                <w:rFonts w:ascii="仿宋_GB2312" w:hAnsi="仿宋_GB2312" w:cs="仿宋_GB2312" w:eastAsia="仿宋_GB2312"/>
                <w:sz w:val="20"/>
              </w:rPr>
              <w:t>如有最新标准，按最新的文件执行（过渡期的除外）。食品包装标签应符合《食品安全国家标准预包装食品标签通则》（</w:t>
            </w:r>
            <w:r>
              <w:rPr>
                <w:rFonts w:ascii="仿宋_GB2312" w:hAnsi="仿宋_GB2312" w:cs="仿宋_GB2312" w:eastAsia="仿宋_GB2312"/>
                <w:sz w:val="20"/>
              </w:rPr>
              <w:t>GB 7718-2011）或《食品安全国家标准预包装食品标签通则》（GB 7718-2025）要求，包括食品名称、配料表、净含量、规格、制造商（或）经销者的名称、地址和联系方式、生产日期和保质期、贮存条件、食品生产许可证编号、产品标准代号等内容。</w:t>
            </w:r>
          </w:p>
          <w:p>
            <w:pPr>
              <w:pStyle w:val="null3"/>
              <w:jc w:val="both"/>
            </w:pPr>
            <w:r>
              <w:rPr>
                <w:rFonts w:ascii="仿宋_GB2312" w:hAnsi="仿宋_GB2312" w:cs="仿宋_GB2312" w:eastAsia="仿宋_GB2312"/>
                <w:sz w:val="20"/>
              </w:rPr>
              <w:t>4.4供应商配送的食品应当符合《</w:t>
            </w:r>
            <w:r>
              <w:rPr>
                <w:rFonts w:ascii="仿宋_GB2312" w:hAnsi="仿宋_GB2312" w:cs="仿宋_GB2312" w:eastAsia="仿宋_GB2312"/>
                <w:sz w:val="20"/>
              </w:rPr>
              <w:t>中华人民共和国产品质量法</w:t>
            </w:r>
            <w:r>
              <w:rPr>
                <w:rFonts w:ascii="仿宋_GB2312" w:hAnsi="仿宋_GB2312" w:cs="仿宋_GB2312" w:eastAsia="仿宋_GB2312"/>
                <w:sz w:val="20"/>
              </w:rPr>
              <w:t>》和</w:t>
            </w:r>
            <w:r>
              <w:rPr>
                <w:rFonts w:ascii="仿宋_GB2312" w:hAnsi="仿宋_GB2312" w:cs="仿宋_GB2312" w:eastAsia="仿宋_GB2312"/>
                <w:sz w:val="20"/>
              </w:rPr>
              <w:t>《中华人民共和国食品安全法》</w:t>
            </w:r>
            <w:r>
              <w:rPr>
                <w:rFonts w:ascii="仿宋_GB2312" w:hAnsi="仿宋_GB2312" w:cs="仿宋_GB2312" w:eastAsia="仿宋_GB2312"/>
                <w:sz w:val="20"/>
              </w:rPr>
              <w:t>等相关法律法规规定的质量标准，未具体约</w:t>
            </w:r>
            <w:r>
              <w:rPr>
                <w:rFonts w:ascii="仿宋_GB2312" w:hAnsi="仿宋_GB2312" w:cs="仿宋_GB2312" w:eastAsia="仿宋_GB2312"/>
                <w:sz w:val="20"/>
              </w:rPr>
              <w:t>定的应当符合国家食品安全要求的质量标准；没有国家标准</w:t>
            </w:r>
            <w:r>
              <w:rPr>
                <w:rFonts w:ascii="仿宋_GB2312" w:hAnsi="仿宋_GB2312" w:cs="仿宋_GB2312" w:eastAsia="仿宋_GB2312"/>
                <w:sz w:val="20"/>
              </w:rPr>
              <w:t>或行业标准</w:t>
            </w:r>
            <w:r>
              <w:rPr>
                <w:rFonts w:ascii="仿宋_GB2312" w:hAnsi="仿宋_GB2312" w:cs="仿宋_GB2312" w:eastAsia="仿宋_GB2312"/>
                <w:sz w:val="20"/>
              </w:rPr>
              <w:t>的按照本省地方标准执行；无国家质量标准或本省地方标准的，按照通常标准或者符合合同目的的特定标准履行。</w:t>
            </w:r>
          </w:p>
          <w:p>
            <w:pPr>
              <w:pStyle w:val="null3"/>
              <w:jc w:val="both"/>
            </w:pPr>
            <w:r>
              <w:rPr>
                <w:rFonts w:ascii="仿宋_GB2312" w:hAnsi="仿宋_GB2312" w:cs="仿宋_GB2312" w:eastAsia="仿宋_GB2312"/>
                <w:sz w:val="20"/>
              </w:rPr>
              <w:t>4.5如因供应商提供的物资，因质量等问题造成人员发生食物中毒事件的，供应商将承担相应的法律责任。</w:t>
            </w:r>
          </w:p>
          <w:p>
            <w:pPr>
              <w:pStyle w:val="null3"/>
              <w:jc w:val="both"/>
            </w:pPr>
            <w:r>
              <w:rPr>
                <w:rFonts w:ascii="仿宋_GB2312" w:hAnsi="仿宋_GB2312" w:cs="仿宋_GB2312" w:eastAsia="仿宋_GB2312"/>
                <w:sz w:val="20"/>
              </w:rPr>
              <w:t>4.6供应商应严格遵守</w:t>
            </w:r>
            <w:r>
              <w:rPr>
                <w:rFonts w:ascii="仿宋_GB2312" w:hAnsi="仿宋_GB2312" w:cs="仿宋_GB2312" w:eastAsia="仿宋_GB2312"/>
                <w:sz w:val="20"/>
              </w:rPr>
              <w:t>《中华人民共和国食品安全法》</w:t>
            </w:r>
            <w:r>
              <w:rPr>
                <w:rFonts w:ascii="仿宋_GB2312" w:hAnsi="仿宋_GB2312" w:cs="仿宋_GB2312" w:eastAsia="仿宋_GB2312"/>
                <w:sz w:val="20"/>
              </w:rPr>
              <w:t>、《食品安全国家标准食品添加剂使用标准》（</w:t>
            </w:r>
            <w:r>
              <w:rPr>
                <w:rFonts w:ascii="仿宋_GB2312" w:hAnsi="仿宋_GB2312" w:cs="仿宋_GB2312" w:eastAsia="仿宋_GB2312"/>
                <w:sz w:val="20"/>
              </w:rPr>
              <w:t>GB 2760-20</w:t>
            </w:r>
            <w:r>
              <w:rPr>
                <w:rFonts w:ascii="仿宋_GB2312" w:hAnsi="仿宋_GB2312" w:cs="仿宋_GB2312" w:eastAsia="仿宋_GB2312"/>
                <w:sz w:val="20"/>
              </w:rPr>
              <w:t>24</w:t>
            </w:r>
            <w:r>
              <w:rPr>
                <w:rFonts w:ascii="仿宋_GB2312" w:hAnsi="仿宋_GB2312" w:cs="仿宋_GB2312" w:eastAsia="仿宋_GB2312"/>
                <w:sz w:val="20"/>
              </w:rPr>
              <w:t>）等相关规定。</w:t>
            </w:r>
          </w:p>
          <w:p>
            <w:pPr>
              <w:pStyle w:val="null3"/>
              <w:jc w:val="both"/>
            </w:pPr>
            <w:r>
              <w:rPr>
                <w:rFonts w:ascii="仿宋_GB2312" w:hAnsi="仿宋_GB2312" w:cs="仿宋_GB2312" w:eastAsia="仿宋_GB2312"/>
                <w:sz w:val="20"/>
              </w:rPr>
              <w:t>5、验收标准：</w:t>
            </w:r>
          </w:p>
          <w:p>
            <w:pPr>
              <w:pStyle w:val="null3"/>
              <w:jc w:val="both"/>
            </w:pPr>
            <w:r>
              <w:rPr>
                <w:rFonts w:ascii="仿宋_GB2312" w:hAnsi="仿宋_GB2312" w:cs="仿宋_GB2312" w:eastAsia="仿宋_GB2312"/>
                <w:sz w:val="20"/>
              </w:rPr>
              <w:t>供应商每次随货送上一式三份的送货清单，采购人指派专人接收、称重并验收货品质量；验收合格后由采购人指定验收员签字核认，作为结算凭证。对不符合质量的品种，采购人有权退、换货。货品验收合格后签收。</w:t>
            </w:r>
          </w:p>
          <w:p>
            <w:pPr>
              <w:pStyle w:val="null3"/>
              <w:jc w:val="both"/>
            </w:pPr>
            <w:r>
              <w:rPr>
                <w:rFonts w:ascii="仿宋_GB2312" w:hAnsi="仿宋_GB2312" w:cs="仿宋_GB2312" w:eastAsia="仿宋_GB2312"/>
                <w:sz w:val="20"/>
              </w:rPr>
              <w:t>6、监督管理：</w:t>
            </w:r>
          </w:p>
          <w:p>
            <w:pPr>
              <w:pStyle w:val="null3"/>
              <w:jc w:val="both"/>
            </w:pPr>
            <w:r>
              <w:rPr>
                <w:rFonts w:ascii="仿宋_GB2312" w:hAnsi="仿宋_GB2312" w:cs="仿宋_GB2312" w:eastAsia="仿宋_GB2312"/>
                <w:sz w:val="20"/>
              </w:rPr>
              <w:t>6.1本项目由采购人验收人员会同供应商依据采购要求进行监督管理，如有短缺、规格质量不符、资料不全等，由供应商在当日内无偿给予更换、补齐，并承担由此产生的全部费用。对于不</w:t>
            </w:r>
            <w:r>
              <w:rPr>
                <w:rFonts w:ascii="仿宋_GB2312" w:hAnsi="仿宋_GB2312" w:cs="仿宋_GB2312" w:eastAsia="仿宋_GB2312"/>
                <w:sz w:val="20"/>
              </w:rPr>
              <w:t>符合</w:t>
            </w:r>
            <w:r>
              <w:rPr>
                <w:rFonts w:ascii="仿宋_GB2312" w:hAnsi="仿宋_GB2312" w:cs="仿宋_GB2312" w:eastAsia="仿宋_GB2312"/>
                <w:sz w:val="20"/>
              </w:rPr>
              <w:t>规格要求、以次充好、质量问题等现象，采购人有权退货，供应商必须无条件退换，并保证正常就餐。</w:t>
            </w:r>
          </w:p>
          <w:p>
            <w:pPr>
              <w:pStyle w:val="null3"/>
              <w:jc w:val="both"/>
            </w:pPr>
            <w:r>
              <w:rPr>
                <w:rFonts w:ascii="仿宋_GB2312" w:hAnsi="仿宋_GB2312" w:cs="仿宋_GB2312" w:eastAsia="仿宋_GB2312"/>
                <w:sz w:val="20"/>
              </w:rPr>
              <w:t>6.2供应商必须自行提供配送服务，不得将配送项目进行任何方式的转包、分包，项目经理实行备案制度，不得擅自更换项目经理，如遇特殊情况进行更换时需得到采购人同意，并备案后方可更换。</w:t>
            </w:r>
          </w:p>
          <w:p>
            <w:pPr>
              <w:pStyle w:val="null3"/>
              <w:jc w:val="both"/>
            </w:pPr>
            <w:r>
              <w:rPr>
                <w:rFonts w:ascii="仿宋_GB2312" w:hAnsi="仿宋_GB2312" w:cs="仿宋_GB2312" w:eastAsia="仿宋_GB2312"/>
                <w:sz w:val="20"/>
              </w:rPr>
              <w:t>7、售后服务：</w:t>
            </w:r>
          </w:p>
          <w:p>
            <w:pPr>
              <w:pStyle w:val="null3"/>
              <w:jc w:val="both"/>
            </w:pPr>
            <w:r>
              <w:rPr>
                <w:rFonts w:ascii="仿宋_GB2312" w:hAnsi="仿宋_GB2312" w:cs="仿宋_GB2312" w:eastAsia="仿宋_GB2312"/>
                <w:sz w:val="20"/>
              </w:rPr>
              <w:t>因产品质量问题出现安全事故，供应商应在</w:t>
            </w:r>
            <w:r>
              <w:rPr>
                <w:rFonts w:ascii="仿宋_GB2312" w:hAnsi="仿宋_GB2312" w:cs="仿宋_GB2312" w:eastAsia="仿宋_GB2312"/>
                <w:sz w:val="20"/>
              </w:rPr>
              <w:t>2小时内到达现场处理，主动做好协调、救援、安抚、善后等工作。若出现群体呕吐、腹泻等其他情况，经相关职能部门或机构检测确系产品质量问题导致的，由供应商负全责，采购人有权终止合同，所造成的一切经济损失和法律责任由供应商自行承担。</w:t>
            </w:r>
          </w:p>
          <w:p>
            <w:pPr>
              <w:pStyle w:val="null3"/>
              <w:jc w:val="both"/>
            </w:pPr>
            <w:r>
              <w:rPr>
                <w:rFonts w:ascii="仿宋_GB2312" w:hAnsi="仿宋_GB2312" w:cs="仿宋_GB2312" w:eastAsia="仿宋_GB2312"/>
                <w:sz w:val="20"/>
              </w:rPr>
              <w:t>供应商主要负责人和相关主管人员必须到现场指导、处理，慰问，做好安抚工作和善后处理，并承担一切责任和产生的一切费用。</w:t>
            </w:r>
          </w:p>
          <w:p>
            <w:pPr>
              <w:pStyle w:val="null3"/>
              <w:spacing w:before="150" w:after="150"/>
              <w:jc w:val="left"/>
            </w:pPr>
            <w:r>
              <w:rPr>
                <w:rFonts w:ascii="仿宋_GB2312" w:hAnsi="仿宋_GB2312" w:cs="仿宋_GB2312" w:eastAsia="仿宋_GB2312"/>
                <w:sz w:val="20"/>
                <w:b/>
              </w:rPr>
              <w:t>三、采购内容及要求</w:t>
            </w:r>
          </w:p>
          <w:tbl>
            <w:tblPr>
              <w:tblInd w:type="dxa" w:w="120"/>
              <w:tblBorders>
                <w:top w:val="none" w:color="000000" w:sz="4"/>
                <w:left w:val="none" w:color="000000" w:sz="4"/>
                <w:bottom w:val="none" w:color="000000" w:sz="4"/>
                <w:right w:val="none" w:color="000000" w:sz="4"/>
                <w:insideH w:val="none"/>
                <w:insideV w:val="none"/>
              </w:tblBorders>
            </w:tblPr>
            <w:tblGrid>
              <w:gridCol w:w="220"/>
              <w:gridCol w:w="298"/>
              <w:gridCol w:w="382"/>
              <w:gridCol w:w="922"/>
              <w:gridCol w:w="712"/>
            </w:tblGrid>
            <w:tr>
              <w:tc>
                <w:tcPr>
                  <w:tcW w:type="dxa" w:w="2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2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采购内容</w:t>
                  </w:r>
                </w:p>
              </w:tc>
              <w:tc>
                <w:tcPr>
                  <w:tcW w:type="dxa" w:w="3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数量</w:t>
                  </w:r>
                </w:p>
              </w:tc>
              <w:tc>
                <w:tcPr>
                  <w:tcW w:type="dxa" w:w="9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规格</w:t>
                  </w:r>
                </w:p>
              </w:tc>
              <w:tc>
                <w:tcPr>
                  <w:tcW w:type="dxa" w:w="7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服务要求</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绿豆</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2.5kg</w:t>
                  </w:r>
                </w:p>
              </w:tc>
              <w:tc>
                <w:tcPr>
                  <w:tcW w:type="dxa" w:w="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袋装</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独立包装，每袋</w:t>
                  </w:r>
                  <w:r>
                    <w:rPr>
                      <w:rFonts w:ascii="仿宋_GB2312" w:hAnsi="仿宋_GB2312" w:cs="仿宋_GB2312" w:eastAsia="仿宋_GB2312"/>
                      <w:sz w:val="20"/>
                    </w:rPr>
                    <w:t>2.5kg</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茶叶（核心产品）</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0.25kg</w:t>
                  </w:r>
                </w:p>
              </w:tc>
              <w:tc>
                <w:tcPr>
                  <w:tcW w:type="dxa" w:w="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袋装绿茶</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独立包装，每袋</w:t>
                  </w:r>
                  <w:r>
                    <w:rPr>
                      <w:rFonts w:ascii="仿宋_GB2312" w:hAnsi="仿宋_GB2312" w:cs="仿宋_GB2312" w:eastAsia="仿宋_GB2312"/>
                      <w:sz w:val="20"/>
                    </w:rPr>
                    <w:t>0.</w:t>
                  </w:r>
                  <w:r>
                    <w:rPr>
                      <w:rFonts w:ascii="仿宋_GB2312" w:hAnsi="仿宋_GB2312" w:cs="仿宋_GB2312" w:eastAsia="仿宋_GB2312"/>
                      <w:sz w:val="20"/>
                    </w:rPr>
                    <w:t>25</w:t>
                  </w:r>
                  <w:r>
                    <w:rPr>
                      <w:rFonts w:ascii="仿宋_GB2312" w:hAnsi="仿宋_GB2312" w:cs="仿宋_GB2312" w:eastAsia="仿宋_GB2312"/>
                      <w:sz w:val="20"/>
                    </w:rPr>
                    <w:t>kg</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毛巾</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2条</w:t>
                  </w:r>
                </w:p>
              </w:tc>
              <w:tc>
                <w:tcPr>
                  <w:tcW w:type="dxa" w:w="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纯棉</w:t>
                  </w:r>
                  <w:r>
                    <w:rPr>
                      <w:rFonts w:ascii="仿宋_GB2312" w:hAnsi="仿宋_GB2312" w:cs="仿宋_GB2312" w:eastAsia="仿宋_GB2312"/>
                      <w:sz w:val="20"/>
                    </w:rPr>
                    <w:t xml:space="preserve">                     </w:t>
                  </w:r>
                  <w:r>
                    <w:rPr>
                      <w:rFonts w:ascii="仿宋_GB2312" w:hAnsi="仿宋_GB2312" w:cs="仿宋_GB2312" w:eastAsia="仿宋_GB2312"/>
                      <w:sz w:val="20"/>
                    </w:rPr>
                    <w:t>大小：</w:t>
                  </w:r>
                  <w:r>
                    <w:rPr>
                      <w:rFonts w:ascii="仿宋_GB2312" w:hAnsi="仿宋_GB2312" w:cs="仿宋_GB2312" w:eastAsia="仿宋_GB2312"/>
                      <w:sz w:val="20"/>
                    </w:rPr>
                    <w:t>33*75cm-40*80cm</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独立包装</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肥皂</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6块</w:t>
                  </w:r>
                </w:p>
              </w:tc>
              <w:tc>
                <w:tcPr>
                  <w:tcW w:type="dxa" w:w="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去渍</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独立包装</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备注</w:t>
                  </w:r>
                </w:p>
              </w:tc>
              <w:tc>
                <w:tcPr>
                  <w:tcW w:type="dxa" w:w="2314"/>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绿豆</w:t>
                  </w:r>
                  <w:r>
                    <w:rPr>
                      <w:rFonts w:ascii="仿宋_GB2312" w:hAnsi="仿宋_GB2312" w:cs="仿宋_GB2312" w:eastAsia="仿宋_GB2312"/>
                      <w:sz w:val="20"/>
                    </w:rPr>
                    <w:t>2.5kg、茶叶0.</w:t>
                  </w:r>
                  <w:r>
                    <w:rPr>
                      <w:rFonts w:ascii="仿宋_GB2312" w:hAnsi="仿宋_GB2312" w:cs="仿宋_GB2312" w:eastAsia="仿宋_GB2312"/>
                      <w:sz w:val="20"/>
                    </w:rPr>
                    <w:t>25</w:t>
                  </w:r>
                  <w:r>
                    <w:rPr>
                      <w:rFonts w:ascii="仿宋_GB2312" w:hAnsi="仿宋_GB2312" w:cs="仿宋_GB2312" w:eastAsia="仿宋_GB2312"/>
                      <w:sz w:val="20"/>
                    </w:rPr>
                    <w:t>kg、毛巾2条、肥皂6块装订打包成一份物资，全区共计需要</w:t>
                  </w:r>
                  <w:r>
                    <w:rPr>
                      <w:rFonts w:ascii="仿宋_GB2312" w:hAnsi="仿宋_GB2312" w:cs="仿宋_GB2312" w:eastAsia="仿宋_GB2312"/>
                      <w:sz w:val="20"/>
                    </w:rPr>
                    <w:t>2</w:t>
                  </w:r>
                  <w:r>
                    <w:rPr>
                      <w:rFonts w:ascii="仿宋_GB2312" w:hAnsi="仿宋_GB2312" w:cs="仿宋_GB2312" w:eastAsia="仿宋_GB2312"/>
                      <w:sz w:val="20"/>
                    </w:rPr>
                    <w:t>147</w:t>
                  </w:r>
                  <w:r>
                    <w:rPr>
                      <w:rFonts w:ascii="仿宋_GB2312" w:hAnsi="仿宋_GB2312" w:cs="仿宋_GB2312" w:eastAsia="仿宋_GB2312"/>
                      <w:sz w:val="20"/>
                    </w:rPr>
                    <w:t>份物资。（注：具体份数以采购人实际采购数量为准，按供应商磋商现场最后投标单价据实结算</w:t>
                  </w:r>
                  <w:r>
                    <w:rPr>
                      <w:rFonts w:ascii="仿宋_GB2312" w:hAnsi="仿宋_GB2312" w:cs="仿宋_GB2312" w:eastAsia="仿宋_GB2312"/>
                      <w:sz w:val="20"/>
                    </w:rPr>
                    <w:t>)</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采购合同签订之日起5日内完成供货</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西安市新城区辖区内（具体地点由采购人指定）</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其他，供应商全部配送完成所有采购物资后，供应商应开具相应发票给采购人，达到付款条件起20个工作日内，支付合同总金额的100.0%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每次随货送上一式三份的送货清单，采购人指派专人接收、称重并验收货品质量；验收合格后由采购人指定验收员签字核认，作为结算凭证。对不符合质量的品种，采购人有权退、换货。货品验收合格后签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2、乙方履约延误 2.1如乙方事先未征得甲方同意并得到甲方的谅解而单方面延迟交货，将按违约终止合同。 2.2在履行合同过程中，如果乙方遇到可能妨碍按时交货和提供服务的情况，应及时以书面形式将拖延的事实，可能拖延的期限和理由通知甲方。甲方在收到乙方通知后，应尽快对情况进行评价，并确定是否通过修改合同，酌情延长交货时间或对乙方加收误期赔偿金。每延误一周的赔偿费按迟交货物交货价或未提供服务的服务费用的百分之零点五（0.5%）计收，直至交货或提供服务为止。误期赔偿费的最高限额为合同价格的百分之五（5%）。一旦达到误期赔偿费的最高限额，甲方可终止合同。 3、因采购人原因导致变更、中止或者终止政府采购合同的，采购人应当依照合同约定对供应商受到的损失予以赔偿或者补偿。 4、违约终止合同：未按合同要求提供货物或质量不能满足技术要求，甲方会同监督机构有权终止合同，对乙方违约行为进行追究，同时按政府采购法的有关规定进行相应的处罚。 5、争议解决办法：向辖区人民法院提起诉讼。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1、本项目属性为：货物 。 2、本项目采购标的所属行业为：批发业 。（按照《工信部、国家统计局、发改委、财政部、工信部联企业》中小企业划型标准（〔2011〕300号）规定：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 3、特别注意事项：本项目给财政局报预算时含白糖采购，金额343520.00元；由于白糖单独采购等原因，本次采购最高限价金额为311315元；各供应商在报价时应报单价和总价，采购单位根据实际采购数量按照磋商现场最后报价单价金额据实结算。 4、现场磋商结束后,各供应商须将磋商响应文件格式中分项报价表继续作为最后报价中分项报价表填写并盖章后上传到最后报价页面的附件上，作为最后报价的依据。</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年度具有财务审计资质的单位出具的财务审计报告（成立时间至投标时间不足一年的可提供成立后任意时段的财务报表）或磋商前三个月内基本开户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资格证明资料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资格证明资料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具有财务审计资质的单位出具的财务审计报告（成立时间至投标时间不足一年的可提供成立后任意时段的财务报表）或磋商前三个月内基本开户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资格证明资料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提供自2026年03月01日至递交磋商响应文件截止之日内任意一个月的社会保障资金缴存单据或社保机构开具的社会保险参保缴费情况证明。依法不需要缴纳社会保障资金的投标人应提供相关文件证明。</w:t>
            </w:r>
          </w:p>
        </w:tc>
        <w:tc>
          <w:tcPr>
            <w:tcW w:type="dxa" w:w="1661"/>
          </w:tcPr>
          <w:p>
            <w:pPr>
              <w:pStyle w:val="null3"/>
            </w:pPr>
            <w:r>
              <w:rPr>
                <w:rFonts w:ascii="仿宋_GB2312" w:hAnsi="仿宋_GB2312" w:cs="仿宋_GB2312" w:eastAsia="仿宋_GB2312"/>
              </w:rPr>
              <w:t>资格证明资料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提供自2026年03月01日至递交磋商响应文件截止之日内已缴存任意一个月的依法缴纳税收的相关凭据，凭据应有税务机关或代收机关的公章或业务专用章。依法免税或无须缴纳税收的投标人，应提供相应证明文件。</w:t>
            </w:r>
          </w:p>
        </w:tc>
        <w:tc>
          <w:tcPr>
            <w:tcW w:type="dxa" w:w="1661"/>
          </w:tcPr>
          <w:p>
            <w:pPr>
              <w:pStyle w:val="null3"/>
            </w:pPr>
            <w:r>
              <w:rPr>
                <w:rFonts w:ascii="仿宋_GB2312" w:hAnsi="仿宋_GB2312" w:cs="仿宋_GB2312" w:eastAsia="仿宋_GB2312"/>
              </w:rPr>
              <w:t>资格证明资料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资格证明资料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资格证明资料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供应商在信用中国（www.creditchina.gov.cn）未被列入重大税收违法失信主体、 在中国执行信息公开网（http://zxgk.court.gov.cn/）未被列入失信被执行人及在中国政府采购网（www.ccgp.gov.cn）未被列入政府采购严重违法失信行为记录名单。</w:t>
            </w:r>
          </w:p>
        </w:tc>
        <w:tc>
          <w:tcPr>
            <w:tcW w:type="dxa" w:w="1661"/>
          </w:tcPr>
          <w:p>
            <w:pPr>
              <w:pStyle w:val="null3"/>
            </w:pPr>
            <w:r>
              <w:rPr>
                <w:rFonts w:ascii="仿宋_GB2312" w:hAnsi="仿宋_GB2312" w:cs="仿宋_GB2312" w:eastAsia="仿宋_GB2312"/>
              </w:rPr>
              <w:t>资格证明资料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提供直接控股和管理关系清单。若与其他投标人存在单位负责人为同一人或者存在直接控股、管理关系的，则磋商无效。</w:t>
            </w:r>
          </w:p>
        </w:tc>
        <w:tc>
          <w:tcPr>
            <w:tcW w:type="dxa" w:w="1661"/>
          </w:tcPr>
          <w:p>
            <w:pPr>
              <w:pStyle w:val="null3"/>
            </w:pPr>
            <w:r>
              <w:rPr>
                <w:rFonts w:ascii="仿宋_GB2312" w:hAnsi="仿宋_GB2312" w:cs="仿宋_GB2312" w:eastAsia="仿宋_GB2312"/>
              </w:rPr>
              <w:t>资格证明资料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本人身份证复印件(附在资格证明文件中)；法定代表人授权他人参加磋商的，须提供法定代表人授权委托书。磋商响应文件中凡是需要法定代表人盖章之处，非法人单位的负责人均参照执行。法人的分支机构参与磋商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资格证明资料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本项目不接受联合体磋商，不允许分包：供应商应提供《非联合体不分包投标声明》，视为独立投标，不分包。</w:t>
            </w:r>
          </w:p>
        </w:tc>
        <w:tc>
          <w:tcPr>
            <w:tcW w:type="dxa" w:w="1661"/>
          </w:tcPr>
          <w:p>
            <w:pPr>
              <w:pStyle w:val="null3"/>
            </w:pPr>
            <w:r>
              <w:rPr>
                <w:rFonts w:ascii="仿宋_GB2312" w:hAnsi="仿宋_GB2312" w:cs="仿宋_GB2312" w:eastAsia="仿宋_GB2312"/>
              </w:rPr>
              <w:t>资格证明资料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响应文件中项目名称、项目编号与本项目一致，无遗漏；</w:t>
            </w:r>
          </w:p>
        </w:tc>
        <w:tc>
          <w:tcPr>
            <w:tcW w:type="dxa" w:w="1661"/>
          </w:tcPr>
          <w:p>
            <w:pPr>
              <w:pStyle w:val="null3"/>
            </w:pPr>
            <w:r>
              <w:rPr>
                <w:rFonts w:ascii="仿宋_GB2312" w:hAnsi="仿宋_GB2312" w:cs="仿宋_GB2312" w:eastAsia="仿宋_GB2312"/>
              </w:rPr>
              <w:t>资格证明资料 响应文件封面 偏离表 分项报价表 中小企业声明函 残疾人福利性单位声明函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遵循公平竞争的原则，没有弄虚作假、恶意串通或妨碍其他供应商的竞争行为，损害采购人或者其他供应商的合法权益；弄虚作假、相互串通的情形。</w:t>
            </w:r>
          </w:p>
        </w:tc>
        <w:tc>
          <w:tcPr>
            <w:tcW w:type="dxa" w:w="1661"/>
          </w:tcPr>
          <w:p>
            <w:pPr>
              <w:pStyle w:val="null3"/>
            </w:pPr>
            <w:r>
              <w:rPr>
                <w:rFonts w:ascii="仿宋_GB2312" w:hAnsi="仿宋_GB2312" w:cs="仿宋_GB2312" w:eastAsia="仿宋_GB2312"/>
              </w:rPr>
              <w:t>陕西省政府采购供应商拒绝政府采购领域商业贿赂承诺书</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签字或盖章</w:t>
            </w:r>
          </w:p>
        </w:tc>
        <w:tc>
          <w:tcPr>
            <w:tcW w:type="dxa" w:w="3322"/>
          </w:tcPr>
          <w:p>
            <w:pPr>
              <w:pStyle w:val="null3"/>
            </w:pPr>
            <w:r>
              <w:rPr>
                <w:rFonts w:ascii="仿宋_GB2312" w:hAnsi="仿宋_GB2312" w:cs="仿宋_GB2312" w:eastAsia="仿宋_GB2312"/>
              </w:rPr>
              <w:t>响应文件签署、盖章及响应有效期符合磋商文件要求；</w:t>
            </w:r>
          </w:p>
        </w:tc>
        <w:tc>
          <w:tcPr>
            <w:tcW w:type="dxa" w:w="1661"/>
          </w:tcPr>
          <w:p>
            <w:pPr>
              <w:pStyle w:val="null3"/>
            </w:pPr>
            <w:r>
              <w:rPr>
                <w:rFonts w:ascii="仿宋_GB2312" w:hAnsi="仿宋_GB2312" w:cs="仿宋_GB2312" w:eastAsia="仿宋_GB2312"/>
              </w:rPr>
              <w:t>响应文件封面 资格证明资料 分项报价表 中小企业声明函 残疾人福利性单位声明函 陕西省政府采购供应商拒绝政府采购领域商业贿赂承诺书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投标报价符合唯一性要求</w:t>
            </w:r>
          </w:p>
        </w:tc>
        <w:tc>
          <w:tcPr>
            <w:tcW w:type="dxa" w:w="3322"/>
          </w:tcPr>
          <w:p>
            <w:pPr>
              <w:pStyle w:val="null3"/>
            </w:pPr>
            <w:r>
              <w:rPr>
                <w:rFonts w:ascii="仿宋_GB2312" w:hAnsi="仿宋_GB2312" w:cs="仿宋_GB2312" w:eastAsia="仿宋_GB2312"/>
              </w:rPr>
              <w:t>报价符合唯一性要求；磋商报价未超出采购最高限价；</w:t>
            </w:r>
          </w:p>
        </w:tc>
        <w:tc>
          <w:tcPr>
            <w:tcW w:type="dxa" w:w="1661"/>
          </w:tcPr>
          <w:p>
            <w:pPr>
              <w:pStyle w:val="null3"/>
            </w:pPr>
            <w:r>
              <w:rPr>
                <w:rFonts w:ascii="仿宋_GB2312" w:hAnsi="仿宋_GB2312" w:cs="仿宋_GB2312" w:eastAsia="仿宋_GB2312"/>
              </w:rPr>
              <w:t>分项报价表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响应产品的技术指标及商务、合同条款</w:t>
            </w:r>
          </w:p>
        </w:tc>
        <w:tc>
          <w:tcPr>
            <w:tcW w:type="dxa" w:w="3322"/>
          </w:tcPr>
          <w:p>
            <w:pPr>
              <w:pStyle w:val="null3"/>
            </w:pPr>
            <w:r>
              <w:rPr>
                <w:rFonts w:ascii="仿宋_GB2312" w:hAnsi="仿宋_GB2312" w:cs="仿宋_GB2312" w:eastAsia="仿宋_GB2312"/>
              </w:rPr>
              <w:t>磋商响应产品的技术指标无重大偏离，未造成产品档次降低或严重影响产品质量；商务、合同条款满足磋商文件要求。</w:t>
            </w:r>
          </w:p>
        </w:tc>
        <w:tc>
          <w:tcPr>
            <w:tcW w:type="dxa" w:w="1661"/>
          </w:tcPr>
          <w:p>
            <w:pPr>
              <w:pStyle w:val="null3"/>
            </w:pPr>
            <w:r>
              <w:rPr>
                <w:rFonts w:ascii="仿宋_GB2312" w:hAnsi="仿宋_GB2312" w:cs="仿宋_GB2312" w:eastAsia="仿宋_GB2312"/>
              </w:rPr>
              <w:t>偏离表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1.评审内容 供应商需针对本项目提供整体服务方案。内容包含但不限于：①供货方式及供货时效；②供货计划；③供货组织。 2.评审标准： ①可实施性：切合本项目实际情况，方案全面、实施步骤清晰、计划合理； ②针对性：方案能够紧扣项目实际情况，内容科学合理； 3.赋分标准： ①供货方式及供货时效：每完全满足一项评审标准得1分，满分2分； ②供货计划：每完全满足一项评审标准得1分，满分2分； ③供货组织：每完全满足一项评审标准得1分，满分2分； 内容有缺陷扣0.5分，缺项或未提供得0分。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w:t>
            </w:r>
          </w:p>
        </w:tc>
      </w:tr>
      <w:tr>
        <w:tc>
          <w:tcPr>
            <w:tcW w:type="dxa" w:w="831"/>
            <w:vMerge/>
          </w:tcPr>
          <w:p/>
        </w:tc>
        <w:tc>
          <w:tcPr>
            <w:tcW w:type="dxa" w:w="1661"/>
          </w:tcPr>
          <w:p>
            <w:pPr>
              <w:pStyle w:val="null3"/>
            </w:pPr>
            <w:r>
              <w:rPr>
                <w:rFonts w:ascii="仿宋_GB2312" w:hAnsi="仿宋_GB2312" w:cs="仿宋_GB2312" w:eastAsia="仿宋_GB2312"/>
              </w:rPr>
              <w:t>储存场地</w:t>
            </w:r>
          </w:p>
        </w:tc>
        <w:tc>
          <w:tcPr>
            <w:tcW w:type="dxa" w:w="2492"/>
          </w:tcPr>
          <w:p>
            <w:pPr>
              <w:pStyle w:val="null3"/>
            </w:pPr>
            <w:r>
              <w:rPr>
                <w:rFonts w:ascii="仿宋_GB2312" w:hAnsi="仿宋_GB2312" w:cs="仿宋_GB2312" w:eastAsia="仿宋_GB2312"/>
              </w:rPr>
              <w:t>供应商具有专门销售的店面或储存场地面积：≥1500平方米，得6分； 供应商具有专门销售的店面或储存场地面积：≥1000平方米，得4分； 供应商具有专门销售的店面或储存场地面积：≥500平方米，得2分。其他不得分。 注：提供店面或储存场地照片、产权证明或租赁协议或其他证明资料。</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技术服务方案</w:t>
            </w:r>
          </w:p>
        </w:tc>
      </w:tr>
      <w:tr>
        <w:tc>
          <w:tcPr>
            <w:tcW w:type="dxa" w:w="831"/>
            <w:vMerge/>
          </w:tcPr>
          <w:p/>
        </w:tc>
        <w:tc>
          <w:tcPr>
            <w:tcW w:type="dxa" w:w="1661"/>
          </w:tcPr>
          <w:p>
            <w:pPr>
              <w:pStyle w:val="null3"/>
            </w:pPr>
            <w:r>
              <w:rPr>
                <w:rFonts w:ascii="仿宋_GB2312" w:hAnsi="仿宋_GB2312" w:cs="仿宋_GB2312" w:eastAsia="仿宋_GB2312"/>
              </w:rPr>
              <w:t>团队人员配置</w:t>
            </w:r>
          </w:p>
        </w:tc>
        <w:tc>
          <w:tcPr>
            <w:tcW w:type="dxa" w:w="2492"/>
          </w:tcPr>
          <w:p>
            <w:pPr>
              <w:pStyle w:val="null3"/>
            </w:pPr>
            <w:r>
              <w:rPr>
                <w:rFonts w:ascii="仿宋_GB2312" w:hAnsi="仿宋_GB2312" w:cs="仿宋_GB2312" w:eastAsia="仿宋_GB2312"/>
              </w:rPr>
              <w:t>供应商针对拟投入本项目的团队人员配置： 项目管理人员：1名，得2分。 售后人员：每提供1人得1分，最高得2分。 配送人员：每提供1人得1分，最高得3分。 质检人员：每提供1人得1分，最高得2分。 其他人员：供应商根据项目情况，每增加1人得1分，最高得3分。 注：以上人员需提供身份证等证明资料。</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1.评审内容 供应商针对本次采购活动提供的物品质量保证措施：①物品质量、安全与卫生②物品采购安全执行标准； 2.评审标准： ①完整性：方案必须全面，对评审内容中的各项要求有详细描述； ②可实施性：切合本项目实际情况，提出步骤清晰、合理的方案； ③针对性：方案能够紧扣项目实际情况，内容科学合理。 3.赋分标准： ①物品质量、安全与卫生：每完全满足一项评审标准得1分，满分3分。 ②物品采购安全执行标准：每完全满足一项评审标准得1分，满分3分。 内容有缺陷扣0.5分，缺项或未提供得0分。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1.评审内容 针对本项目有应急处理预案，包含但不限于①工作响应时效；②应急保障措施 2.评审标准： ①可实施性：切合本项目实际情况，方案全面、实施步骤清晰、计划合理； ②针对性：方案能够紧扣项目实际情况，内容科学合理； 3.赋分标准： ①工作响应时效：每完全满足一项评审标准得1分，满分2分。 ②应急保障措施：每完全满足一项评审标准得1分，满分2分。 内容有缺陷扣0.5分，缺项或未提供得0分。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1.评审内容 根据项目实际需求提供售后服务方案。内容包含①售后服务内容及方式②售后服务保障措施。 2.评审标准： ①可实施性：切合本项目实际情况，方案全面、实施步骤清晰、计划合理； ②针对性：方案能够紧扣项目实际情况，内容科学合理； 3.赋分标准： ①售后服务内容及方式：每完全满足一个评审标准得1分，满分2分； ②售后服务保障措施:每完全满足一个评审标准得1分，满分2分； 内容有缺陷扣0.5分，缺项或未提供得0分。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w:t>
            </w:r>
          </w:p>
        </w:tc>
      </w:tr>
      <w:tr>
        <w:tc>
          <w:tcPr>
            <w:tcW w:type="dxa" w:w="831"/>
            <w:vMerge/>
          </w:tcPr>
          <w:p/>
        </w:tc>
        <w:tc>
          <w:tcPr>
            <w:tcW w:type="dxa" w:w="1661"/>
          </w:tcPr>
          <w:p>
            <w:pPr>
              <w:pStyle w:val="null3"/>
            </w:pPr>
            <w:r>
              <w:rPr>
                <w:rFonts w:ascii="仿宋_GB2312" w:hAnsi="仿宋_GB2312" w:cs="仿宋_GB2312" w:eastAsia="仿宋_GB2312"/>
              </w:rPr>
              <w:t>检验证明</w:t>
            </w:r>
          </w:p>
        </w:tc>
        <w:tc>
          <w:tcPr>
            <w:tcW w:type="dxa" w:w="2492"/>
          </w:tcPr>
          <w:p>
            <w:pPr>
              <w:pStyle w:val="null3"/>
            </w:pPr>
            <w:r>
              <w:rPr>
                <w:rFonts w:ascii="仿宋_GB2312" w:hAnsi="仿宋_GB2312" w:cs="仿宋_GB2312" w:eastAsia="仿宋_GB2312"/>
              </w:rPr>
              <w:t>提供第三方检测公司出具的绿豆、茶叶、毛巾、肥皂检验报告，每提供一项得2分。共计8分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为更好的服务于本项目，供应商提出适用本项目实施的合理化建议：对本项目服务工作中的常见问题进行梳理，针对问题提供的解决方案。每提供一条得2分，最高得4分。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供应商提供近三年（2023年06月至磋商截止时间止）具有类似项目业绩，每提供一份得5分，满分20分。 评审依据：提供供应商加盖公章的合同协议书复印件，以合同签订时间为准。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30分钟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采用低价优先法计算，即满足磋商文件要求且投标价格最低的投标报价为评标基准价，其价格分为满分。 投标报价得分＝（评标基准价/投标报价）×30 备注：当磋商小组认为某个供应商的报价明显低于其他通过符合性审查供应商的报价，有可能影响产品质量和不能诚信履约的，应要求该供应商在评标现场合理的时间内提供书面说明，必要时提交相关证明材料；供应商不能证明其报价合理的，磋商小组将其作为无效投标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详见附件：资格证明资料</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详见附件：偏离表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详见附件：技术服务方案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